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8745">
      <w:pPr>
        <w:rPr>
          <w:rStyle w:val="7"/>
          <w:rFonts w:hint="eastAsia"/>
        </w:rPr>
      </w:pPr>
      <w:bookmarkStart w:id="0" w:name="_Toc103774294"/>
      <w:r>
        <w:rPr>
          <w:rStyle w:val="7"/>
          <w:rFonts w:hint="eastAsia"/>
        </w:rPr>
        <w:t>（一）技术条款</w:t>
      </w:r>
      <w:bookmarkEnd w:id="0"/>
    </w:p>
    <w:p w14:paraId="310D8A27">
      <w:pPr>
        <w:rPr>
          <w:b/>
          <w:sz w:val="28"/>
          <w:szCs w:val="28"/>
        </w:rPr>
      </w:pPr>
      <w:r>
        <w:rPr>
          <w:rFonts w:hint="eastAsia"/>
          <w:b/>
          <w:sz w:val="28"/>
          <w:szCs w:val="28"/>
        </w:rPr>
        <w:t>1、乙型肝炎病毒表面抗原诊断试剂盒（酶联免疫法）</w:t>
      </w:r>
    </w:p>
    <w:p w14:paraId="6532C038">
      <w:pPr>
        <w:adjustRightInd w:val="0"/>
        <w:snapToGrid w:val="0"/>
        <w:rPr>
          <w:rFonts w:ascii="宋体" w:hAnsi="宋体"/>
          <w:sz w:val="24"/>
          <w:szCs w:val="24"/>
        </w:rPr>
      </w:pPr>
      <w:r>
        <w:rPr>
          <w:rFonts w:hint="eastAsia" w:ascii="宋体" w:hAnsi="宋体"/>
          <w:sz w:val="24"/>
          <w:szCs w:val="24"/>
        </w:rPr>
        <w:t>（1）96T/盒，用于检测献血者血清/血浆样本中的乙型肝炎病毒表面抗原（HBsAg）。</w:t>
      </w:r>
    </w:p>
    <w:p w14:paraId="584BD8EA">
      <w:pPr>
        <w:adjustRightInd w:val="0"/>
        <w:snapToGrid w:val="0"/>
        <w:rPr>
          <w:rFonts w:ascii="宋体" w:hAnsi="宋体"/>
          <w:sz w:val="24"/>
          <w:szCs w:val="24"/>
        </w:rPr>
      </w:pPr>
      <w:r>
        <w:rPr>
          <w:rFonts w:hint="eastAsia" w:ascii="宋体" w:hAnsi="宋体"/>
          <w:sz w:val="24"/>
          <w:szCs w:val="24"/>
        </w:rPr>
        <w:t>（2）检测方法：酶联免疫两步检测法，适用于血液筛查。</w:t>
      </w:r>
    </w:p>
    <w:p w14:paraId="3159EA37">
      <w:pPr>
        <w:adjustRightInd w:val="0"/>
        <w:snapToGrid w:val="0"/>
        <w:rPr>
          <w:rFonts w:ascii="宋体" w:hAnsi="宋体"/>
          <w:sz w:val="24"/>
          <w:szCs w:val="24"/>
        </w:rPr>
      </w:pPr>
      <w:r>
        <w:rPr>
          <w:rFonts w:hint="eastAsia" w:ascii="宋体" w:hAnsi="宋体"/>
          <w:sz w:val="24"/>
          <w:szCs w:val="24"/>
        </w:rPr>
        <w:t>（3）试剂批内、批间变异系数（CV）＜15%；试剂特异性≥95%、灵敏度≥99%。</w:t>
      </w:r>
    </w:p>
    <w:p w14:paraId="749CDEBF">
      <w:pPr>
        <w:adjustRightInd w:val="0"/>
        <w:snapToGrid w:val="0"/>
        <w:rPr>
          <w:rFonts w:ascii="宋体" w:hAnsi="宋体"/>
          <w:sz w:val="24"/>
          <w:szCs w:val="24"/>
        </w:rPr>
      </w:pPr>
      <w:r>
        <w:rPr>
          <w:rFonts w:hint="eastAsia" w:ascii="宋体" w:hAnsi="宋体"/>
          <w:sz w:val="24"/>
          <w:szCs w:val="24"/>
        </w:rPr>
        <w:t>（4）试剂盒所配96孔微孔板必须符合标准（12条，每条8孔），适合全自动酶免分析系统、酶标仪和洗板机使用。</w:t>
      </w:r>
    </w:p>
    <w:p w14:paraId="560C9A24">
      <w:pPr>
        <w:adjustRightInd w:val="0"/>
        <w:snapToGrid w:val="0"/>
        <w:rPr>
          <w:rFonts w:ascii="宋体" w:hAnsi="宋体"/>
          <w:sz w:val="24"/>
          <w:szCs w:val="24"/>
        </w:rPr>
      </w:pPr>
      <w:r>
        <w:rPr>
          <w:rFonts w:hint="eastAsia" w:ascii="宋体" w:hAnsi="宋体"/>
          <w:sz w:val="24"/>
          <w:szCs w:val="24"/>
        </w:rPr>
        <w:t>（5）试剂盒内各种组份齐全和足量，用户不需配制，适用于全自动酶免分析系统检测和手工检测。</w:t>
      </w:r>
    </w:p>
    <w:p w14:paraId="6115720D">
      <w:pPr>
        <w:adjustRightInd w:val="0"/>
        <w:snapToGrid w:val="0"/>
        <w:rPr>
          <w:rFonts w:ascii="宋体" w:hAnsi="宋体"/>
          <w:sz w:val="24"/>
          <w:szCs w:val="24"/>
        </w:rPr>
      </w:pPr>
      <w:r>
        <w:rPr>
          <w:rFonts w:hint="eastAsia" w:ascii="宋体" w:hAnsi="宋体"/>
          <w:sz w:val="24"/>
          <w:szCs w:val="24"/>
        </w:rPr>
        <w:t>（6）如有加样本稀释液步骤，要求加样本后有变色反应，避免漏加样。</w:t>
      </w:r>
    </w:p>
    <w:p w14:paraId="678DEFDC">
      <w:pPr>
        <w:rPr>
          <w:rFonts w:ascii="宋体" w:hAnsi="宋体"/>
          <w:sz w:val="24"/>
          <w:szCs w:val="24"/>
        </w:rPr>
      </w:pPr>
      <w:r>
        <w:rPr>
          <w:rFonts w:hint="eastAsia" w:ascii="宋体" w:hAnsi="宋体"/>
          <w:sz w:val="24"/>
          <w:szCs w:val="24"/>
        </w:rPr>
        <w:t>（7）2020年度使用该投标产品上报采供血机构血液检验结果的实验室用户数须大于300家 (投标人须提供该产品2020年度国家卫健委临检中心三次采供血机构血液检验室间质评实验室用户数总和的数据并加盖投标人公章）</w:t>
      </w:r>
    </w:p>
    <w:p w14:paraId="50EC6E42">
      <w:pPr>
        <w:rPr>
          <w:rFonts w:ascii="宋体" w:hAnsi="宋体"/>
          <w:b/>
          <w:sz w:val="24"/>
        </w:rPr>
      </w:pPr>
    </w:p>
    <w:p w14:paraId="0D7C9C99">
      <w:pPr>
        <w:adjustRightInd w:val="0"/>
        <w:snapToGrid w:val="0"/>
        <w:rPr>
          <w:b/>
          <w:sz w:val="28"/>
          <w:szCs w:val="28"/>
        </w:rPr>
      </w:pPr>
      <w:r>
        <w:rPr>
          <w:rFonts w:hint="eastAsia"/>
          <w:b/>
          <w:sz w:val="28"/>
          <w:szCs w:val="28"/>
        </w:rPr>
        <w:t>2、丙型肝炎病毒抗体诊断试剂盒</w:t>
      </w:r>
      <w:r>
        <w:rPr>
          <w:rFonts w:hint="eastAsia"/>
          <w:b/>
          <w:sz w:val="28"/>
          <w:szCs w:val="28"/>
          <w:lang w:val="en-US" w:eastAsia="zh-CN"/>
        </w:rPr>
        <w:t>四代</w:t>
      </w:r>
      <w:bookmarkStart w:id="1" w:name="_GoBack"/>
      <w:bookmarkEnd w:id="1"/>
      <w:r>
        <w:rPr>
          <w:rFonts w:hint="eastAsia"/>
          <w:b/>
          <w:sz w:val="28"/>
          <w:szCs w:val="28"/>
        </w:rPr>
        <w:t>（酶联免疫法）</w:t>
      </w:r>
    </w:p>
    <w:p w14:paraId="1953A83F">
      <w:pPr>
        <w:spacing w:line="360" w:lineRule="auto"/>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1.产品要求：经国家药品监督管理局批准，获得产品注册证；</w:t>
      </w:r>
    </w:p>
    <w:p w14:paraId="5069AB27">
      <w:pPr>
        <w:spacing w:line="360" w:lineRule="auto"/>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2.产品用途：定性检测人血清或血浆中的丙型肝炎病毒（HCV）抗体；</w:t>
      </w:r>
    </w:p>
    <w:p w14:paraId="09705D30">
      <w:pPr>
        <w:spacing w:line="360" w:lineRule="auto"/>
        <w:rPr>
          <w:rFonts w:ascii="Times New Roman" w:hAnsi="Times New Roman" w:eastAsia="宋体" w:cs="Times New Roman"/>
          <w:kern w:val="0"/>
          <w:sz w:val="24"/>
          <w:szCs w:val="32"/>
        </w:rPr>
      </w:pPr>
      <w:r>
        <w:rPr>
          <w:rFonts w:ascii="Times New Roman" w:hAnsi="Times New Roman" w:eastAsia="宋体" w:cs="Times New Roman"/>
          <w:color w:val="000000"/>
          <w:sz w:val="24"/>
          <w:szCs w:val="32"/>
        </w:rPr>
        <w:t>3.检测原理：双抗原夹心法酶联免疫法；</w:t>
      </w:r>
      <w:r>
        <w:rPr>
          <w:rFonts w:ascii="Times New Roman" w:hAnsi="Times New Roman" w:eastAsia="宋体" w:cs="Times New Roman"/>
          <w:kern w:val="0"/>
          <w:sz w:val="24"/>
          <w:szCs w:val="32"/>
        </w:rPr>
        <w:t>借助生物素-亲和素级联放大原理；</w:t>
      </w:r>
    </w:p>
    <w:p w14:paraId="7221291F">
      <w:pPr>
        <w:spacing w:line="360" w:lineRule="auto"/>
        <w:rPr>
          <w:rFonts w:ascii="Times New Roman" w:hAnsi="Times New Roman" w:eastAsia="宋体" w:cs="Times New Roman"/>
          <w:kern w:val="0"/>
          <w:sz w:val="24"/>
          <w:szCs w:val="32"/>
        </w:rPr>
      </w:pPr>
      <w:r>
        <w:rPr>
          <w:rFonts w:ascii="Times New Roman" w:hAnsi="Times New Roman" w:eastAsia="宋体" w:cs="Times New Roman"/>
          <w:kern w:val="0"/>
          <w:sz w:val="24"/>
          <w:szCs w:val="32"/>
        </w:rPr>
        <w:t>4.产品规格：96人份/盒</w:t>
      </w:r>
      <w:r>
        <w:rPr>
          <w:rFonts w:hint="eastAsia" w:ascii="Times New Roman" w:hAnsi="Times New Roman" w:eastAsia="宋体" w:cs="Times New Roman"/>
          <w:kern w:val="0"/>
          <w:sz w:val="24"/>
          <w:szCs w:val="32"/>
        </w:rPr>
        <w:t>（8孔*12条）</w:t>
      </w:r>
      <w:r>
        <w:rPr>
          <w:rFonts w:ascii="Times New Roman" w:hAnsi="Times New Roman" w:eastAsia="宋体" w:cs="Times New Roman"/>
          <w:kern w:val="0"/>
          <w:sz w:val="24"/>
          <w:szCs w:val="32"/>
        </w:rPr>
        <w:t xml:space="preserve">； </w:t>
      </w:r>
    </w:p>
    <w:p w14:paraId="3368B393">
      <w:pPr>
        <w:spacing w:line="360" w:lineRule="auto"/>
        <w:rPr>
          <w:rFonts w:ascii="Times New Roman" w:hAnsi="Times New Roman" w:eastAsia="宋体" w:cs="Times New Roman"/>
          <w:kern w:val="0"/>
          <w:sz w:val="24"/>
          <w:szCs w:val="32"/>
        </w:rPr>
      </w:pPr>
      <w:r>
        <w:rPr>
          <w:rFonts w:ascii="Times New Roman" w:hAnsi="Times New Roman" w:eastAsia="宋体" w:cs="Times New Roman"/>
          <w:kern w:val="0"/>
          <w:sz w:val="24"/>
          <w:szCs w:val="32"/>
        </w:rPr>
        <w:t>5.储存条件及有效期：</w:t>
      </w:r>
      <w:r>
        <w:rPr>
          <w:rFonts w:ascii="Times New Roman" w:hAnsi="Times New Roman" w:eastAsia="宋体" w:cs="Times New Roman"/>
          <w:sz w:val="24"/>
          <w:szCs w:val="28"/>
        </w:rPr>
        <w:t>2-8℃避光保存，有效期不少于（可包含）12 个月；</w:t>
      </w:r>
    </w:p>
    <w:p w14:paraId="78361926">
      <w:pPr>
        <w:spacing w:line="360" w:lineRule="auto"/>
        <w:rPr>
          <w:rFonts w:ascii="Times New Roman" w:hAnsi="Times New Roman" w:eastAsia="宋体" w:cs="Times New Roman"/>
          <w:kern w:val="0"/>
          <w:sz w:val="24"/>
          <w:szCs w:val="32"/>
        </w:rPr>
      </w:pPr>
      <w:r>
        <w:rPr>
          <w:rFonts w:ascii="Times New Roman" w:hAnsi="Times New Roman" w:eastAsia="宋体" w:cs="Times New Roman"/>
          <w:kern w:val="0"/>
          <w:sz w:val="24"/>
          <w:szCs w:val="28"/>
        </w:rPr>
        <w:t>6</w:t>
      </w:r>
      <w:r>
        <w:rPr>
          <w:rFonts w:ascii="Times New Roman" w:hAnsi="Times New Roman" w:eastAsia="宋体" w:cs="Times New Roman"/>
          <w:kern w:val="0"/>
          <w:sz w:val="24"/>
          <w:szCs w:val="32"/>
        </w:rPr>
        <w:t>.加样量：加样量不低于50uL；</w:t>
      </w:r>
    </w:p>
    <w:p w14:paraId="5B6AD6CF">
      <w:pPr>
        <w:spacing w:line="360" w:lineRule="auto"/>
        <w:rPr>
          <w:rFonts w:ascii="Times New Roman" w:hAnsi="Times New Roman" w:eastAsia="宋体" w:cs="Times New Roman"/>
          <w:kern w:val="0"/>
          <w:sz w:val="24"/>
          <w:szCs w:val="32"/>
        </w:rPr>
      </w:pPr>
      <w:r>
        <w:rPr>
          <w:rFonts w:ascii="Times New Roman" w:hAnsi="Times New Roman" w:eastAsia="宋体" w:cs="Times New Roman"/>
          <w:kern w:val="0"/>
          <w:sz w:val="24"/>
          <w:szCs w:val="32"/>
        </w:rPr>
        <w:t>7.抗干扰性强：常见的干扰因素如类风湿因子、ALT升高均不会造成假阳性；黄疸、高脂血、溶血样本中胆红素、甘油三酯和血红蛋白含量分别低于1.71mmol/L、170mmol/L 和2000mg/L时，对结果判定无影响（见产品说明书）；</w:t>
      </w:r>
    </w:p>
    <w:p w14:paraId="33E21313">
      <w:pPr>
        <w:spacing w:line="360" w:lineRule="auto"/>
        <w:rPr>
          <w:rFonts w:ascii="Times New Roman" w:hAnsi="Times New Roman" w:eastAsia="宋体" w:cs="Times New Roman"/>
          <w:kern w:val="0"/>
          <w:sz w:val="24"/>
          <w:szCs w:val="32"/>
        </w:rPr>
      </w:pPr>
      <w:r>
        <w:rPr>
          <w:rFonts w:hint="eastAsia" w:ascii="Times New Roman" w:hAnsi="Times New Roman" w:eastAsia="宋体" w:cs="Times New Roman"/>
          <w:kern w:val="0"/>
          <w:sz w:val="24"/>
          <w:szCs w:val="32"/>
        </w:rPr>
        <w:t>8</w:t>
      </w:r>
      <w:r>
        <w:rPr>
          <w:rFonts w:ascii="Times New Roman" w:hAnsi="Times New Roman" w:eastAsia="宋体" w:cs="Times New Roman"/>
          <w:kern w:val="0"/>
          <w:sz w:val="24"/>
          <w:szCs w:val="32"/>
        </w:rPr>
        <w:t>.室间质评： HCV项目（</w:t>
      </w:r>
      <w:r>
        <w:rPr>
          <w:rFonts w:ascii="Times New Roman" w:hAnsi="Times New Roman" w:eastAsia="宋体" w:cs="Times New Roman"/>
          <w:color w:val="000000"/>
          <w:sz w:val="24"/>
          <w:szCs w:val="32"/>
        </w:rPr>
        <w:t>双抗原夹心法</w:t>
      </w:r>
      <w:r>
        <w:rPr>
          <w:rFonts w:ascii="Times New Roman" w:hAnsi="Times New Roman" w:eastAsia="宋体" w:cs="Times New Roman"/>
          <w:kern w:val="0"/>
          <w:sz w:val="24"/>
          <w:szCs w:val="32"/>
        </w:rPr>
        <w:t>）使用单位数不少于300家；</w:t>
      </w:r>
    </w:p>
    <w:p w14:paraId="0C1EA6B9">
      <w:pPr>
        <w:spacing w:line="360" w:lineRule="auto"/>
        <w:rPr>
          <w:rFonts w:ascii="Times New Roman" w:hAnsi="Times New Roman" w:eastAsia="宋体" w:cs="Times New Roman"/>
          <w:kern w:val="0"/>
          <w:sz w:val="24"/>
          <w:szCs w:val="32"/>
        </w:rPr>
      </w:pPr>
      <w:r>
        <w:rPr>
          <w:rFonts w:hint="eastAsia" w:ascii="Times New Roman" w:hAnsi="Times New Roman" w:eastAsia="宋体" w:cs="Times New Roman"/>
          <w:kern w:val="0"/>
          <w:sz w:val="24"/>
          <w:szCs w:val="32"/>
        </w:rPr>
        <w:t>9</w:t>
      </w:r>
      <w:r>
        <w:rPr>
          <w:rFonts w:ascii="Times New Roman" w:hAnsi="Times New Roman" w:eastAsia="宋体" w:cs="Times New Roman"/>
          <w:kern w:val="0"/>
          <w:sz w:val="24"/>
          <w:szCs w:val="32"/>
        </w:rPr>
        <w:t>.用户数量：省级血液中心的用户数量不小于10家</w:t>
      </w:r>
      <w:r>
        <w:rPr>
          <w:rFonts w:hint="eastAsia" w:ascii="Times New Roman" w:hAnsi="Times New Roman" w:eastAsia="宋体" w:cs="Times New Roman"/>
          <w:kern w:val="0"/>
          <w:sz w:val="24"/>
          <w:szCs w:val="32"/>
        </w:rPr>
        <w:t>，总</w:t>
      </w:r>
      <w:r>
        <w:rPr>
          <w:rFonts w:ascii="Times New Roman" w:hAnsi="Times New Roman" w:eastAsia="宋体" w:cs="Times New Roman"/>
          <w:kern w:val="0"/>
          <w:sz w:val="24"/>
          <w:szCs w:val="32"/>
        </w:rPr>
        <w:t>使用单位数不少于400家；</w:t>
      </w:r>
    </w:p>
    <w:p w14:paraId="2FA24E75">
      <w:pPr>
        <w:adjustRightInd w:val="0"/>
        <w:snapToGrid w:val="0"/>
        <w:rPr>
          <w:rFonts w:ascii="宋体" w:hAnsi="宋体" w:cs="Arial"/>
          <w:sz w:val="24"/>
        </w:rPr>
      </w:pPr>
    </w:p>
    <w:p w14:paraId="03AF92DA">
      <w:pPr>
        <w:rPr>
          <w:b/>
          <w:sz w:val="28"/>
          <w:szCs w:val="28"/>
        </w:rPr>
      </w:pPr>
      <w:r>
        <w:rPr>
          <w:rFonts w:hint="eastAsia"/>
          <w:b/>
          <w:sz w:val="28"/>
          <w:szCs w:val="28"/>
        </w:rPr>
        <w:t>3、人类免疫缺陷病毒抗体诊断试剂盒（酶联免疫法）</w:t>
      </w:r>
    </w:p>
    <w:p w14:paraId="107F0B91">
      <w:pPr>
        <w:adjustRightInd w:val="0"/>
        <w:snapToGrid w:val="0"/>
        <w:rPr>
          <w:rFonts w:ascii="宋体" w:hAnsi="宋体" w:cs="Arial"/>
          <w:sz w:val="24"/>
        </w:rPr>
      </w:pPr>
      <w:r>
        <w:rPr>
          <w:rFonts w:hint="eastAsia" w:ascii="宋体" w:hAnsi="宋体" w:cs="Arial"/>
          <w:sz w:val="24"/>
        </w:rPr>
        <w:t>（1）96T/盒，用于检测献血者血清/血浆样本中的人类免疫缺陷病毒抗体（HIV-1、2型抗体）。</w:t>
      </w:r>
    </w:p>
    <w:p w14:paraId="6E7B13FF">
      <w:pPr>
        <w:adjustRightInd w:val="0"/>
        <w:snapToGrid w:val="0"/>
        <w:rPr>
          <w:rFonts w:ascii="宋体" w:hAnsi="宋体" w:cs="Arial"/>
          <w:sz w:val="24"/>
        </w:rPr>
      </w:pPr>
      <w:r>
        <w:rPr>
          <w:rFonts w:hint="eastAsia" w:ascii="宋体" w:hAnsi="宋体" w:cs="Arial"/>
          <w:sz w:val="24"/>
        </w:rPr>
        <w:t>（2）检测方法：酶联免疫两步检测法，适用于血液筛查。</w:t>
      </w:r>
    </w:p>
    <w:p w14:paraId="0C260220">
      <w:pPr>
        <w:adjustRightInd w:val="0"/>
        <w:snapToGrid w:val="0"/>
        <w:rPr>
          <w:rFonts w:ascii="宋体" w:hAnsi="宋体" w:cs="Arial"/>
          <w:sz w:val="24"/>
        </w:rPr>
      </w:pPr>
      <w:r>
        <w:rPr>
          <w:rFonts w:hint="eastAsia" w:ascii="宋体" w:hAnsi="宋体" w:cs="Arial"/>
          <w:sz w:val="24"/>
        </w:rPr>
        <w:t>（3）试剂批内、批间变异系数（CV）＜15%；试剂特异性≥95%、灵敏度≥99%。</w:t>
      </w:r>
    </w:p>
    <w:p w14:paraId="143959CB">
      <w:pPr>
        <w:adjustRightInd w:val="0"/>
        <w:snapToGrid w:val="0"/>
        <w:rPr>
          <w:rFonts w:ascii="宋体" w:hAnsi="宋体" w:cs="Arial"/>
          <w:sz w:val="24"/>
        </w:rPr>
      </w:pPr>
      <w:r>
        <w:rPr>
          <w:rFonts w:hint="eastAsia" w:ascii="宋体" w:hAnsi="宋体" w:cs="Arial"/>
          <w:sz w:val="24"/>
        </w:rPr>
        <w:t>（4）试剂盒所配96孔微孔板必须符合标准（12条，每条8孔），适合全自动酶免分析系统、酶标仪和洗板机使用。</w:t>
      </w:r>
    </w:p>
    <w:p w14:paraId="4824A254">
      <w:pPr>
        <w:adjustRightInd w:val="0"/>
        <w:snapToGrid w:val="0"/>
        <w:rPr>
          <w:rFonts w:ascii="宋体" w:hAnsi="宋体" w:cs="Arial"/>
          <w:sz w:val="24"/>
        </w:rPr>
      </w:pPr>
      <w:r>
        <w:rPr>
          <w:rFonts w:hint="eastAsia" w:ascii="宋体" w:hAnsi="宋体" w:cs="Arial"/>
          <w:sz w:val="24"/>
        </w:rPr>
        <w:t>（5）试剂盒内各种组份齐全和足量，用户不需配制，适用于全自动酶免分析系统检测和手工检测。</w:t>
      </w:r>
    </w:p>
    <w:p w14:paraId="2B8D433C">
      <w:pPr>
        <w:adjustRightInd w:val="0"/>
        <w:snapToGrid w:val="0"/>
        <w:rPr>
          <w:rFonts w:ascii="宋体" w:hAnsi="宋体" w:cs="Arial"/>
          <w:sz w:val="24"/>
        </w:rPr>
      </w:pPr>
      <w:r>
        <w:rPr>
          <w:rFonts w:hint="eastAsia" w:ascii="宋体" w:hAnsi="宋体" w:cs="Arial"/>
          <w:sz w:val="24"/>
        </w:rPr>
        <w:t>（6）如有加样本稀释液步骤，要求加样本后有变色反应，避免漏加样。</w:t>
      </w:r>
    </w:p>
    <w:p w14:paraId="400C7094">
      <w:pPr>
        <w:rPr>
          <w:rFonts w:ascii="宋体" w:hAnsi="宋体" w:cs="Arial"/>
          <w:sz w:val="24"/>
        </w:rPr>
      </w:pPr>
      <w:r>
        <w:rPr>
          <w:rFonts w:hint="eastAsia" w:ascii="宋体" w:hAnsi="宋体" w:cs="Arial"/>
          <w:sz w:val="24"/>
        </w:rPr>
        <w:t>（7）2020年度使用该投标产品上报采供血机构血液检验结果的实验室用户数须大于300家 (投标人须提供该产品2020年度国家卫健委临检中心三次采供血机构血液检验室间质评实验室用户数总和的数据并加盖投标人公章）</w:t>
      </w:r>
    </w:p>
    <w:p w14:paraId="01AE6132">
      <w:pPr>
        <w:adjustRightInd w:val="0"/>
        <w:snapToGrid w:val="0"/>
        <w:rPr>
          <w:b/>
          <w:sz w:val="28"/>
          <w:szCs w:val="28"/>
        </w:rPr>
      </w:pPr>
    </w:p>
    <w:p w14:paraId="33FB7FF5">
      <w:pPr>
        <w:adjustRightInd w:val="0"/>
        <w:snapToGrid w:val="0"/>
        <w:rPr>
          <w:b/>
          <w:sz w:val="28"/>
          <w:szCs w:val="28"/>
        </w:rPr>
      </w:pPr>
      <w:r>
        <w:rPr>
          <w:rFonts w:hint="eastAsia"/>
          <w:b/>
          <w:sz w:val="28"/>
          <w:szCs w:val="28"/>
        </w:rPr>
        <w:t>4、梅毒螺旋体抗体诊断试剂盒（酶联免疫法）</w:t>
      </w:r>
    </w:p>
    <w:p w14:paraId="3EBAAB4B">
      <w:pPr>
        <w:adjustRightInd w:val="0"/>
        <w:snapToGrid w:val="0"/>
        <w:rPr>
          <w:rFonts w:ascii="宋体" w:hAnsi="宋体" w:cs="Arial"/>
          <w:sz w:val="24"/>
        </w:rPr>
      </w:pPr>
      <w:r>
        <w:rPr>
          <w:rFonts w:hint="eastAsia" w:ascii="宋体" w:hAnsi="宋体" w:cs="Arial"/>
          <w:sz w:val="24"/>
        </w:rPr>
        <w:t>（1）96T/盒，用于检测献血者血清/血浆样本中的梅毒螺旋体抗体。</w:t>
      </w:r>
    </w:p>
    <w:p w14:paraId="32C4DA3E">
      <w:pPr>
        <w:adjustRightInd w:val="0"/>
        <w:snapToGrid w:val="0"/>
        <w:rPr>
          <w:rFonts w:ascii="宋体" w:hAnsi="宋体" w:cs="Arial"/>
          <w:sz w:val="24"/>
        </w:rPr>
      </w:pPr>
      <w:r>
        <w:rPr>
          <w:rFonts w:hint="eastAsia" w:ascii="宋体" w:hAnsi="宋体" w:cs="Arial"/>
          <w:sz w:val="24"/>
        </w:rPr>
        <w:t>（2）检测方法：酶联免疫两步检测法，适用于血液筛查。</w:t>
      </w:r>
    </w:p>
    <w:p w14:paraId="21FE320F">
      <w:pPr>
        <w:adjustRightInd w:val="0"/>
        <w:snapToGrid w:val="0"/>
        <w:rPr>
          <w:rFonts w:ascii="宋体" w:hAnsi="宋体" w:cs="Arial"/>
          <w:sz w:val="24"/>
        </w:rPr>
      </w:pPr>
      <w:r>
        <w:rPr>
          <w:rFonts w:hint="eastAsia" w:ascii="宋体" w:hAnsi="宋体" w:cs="Arial"/>
          <w:sz w:val="24"/>
        </w:rPr>
        <w:t>（3）试剂批内、批间变异系数（CV）＜15%；试剂特异性≥95%、灵敏度≥99%。</w:t>
      </w:r>
    </w:p>
    <w:p w14:paraId="01D21D98">
      <w:pPr>
        <w:adjustRightInd w:val="0"/>
        <w:snapToGrid w:val="0"/>
        <w:rPr>
          <w:rFonts w:ascii="宋体" w:hAnsi="宋体" w:cs="Arial"/>
          <w:sz w:val="24"/>
        </w:rPr>
      </w:pPr>
      <w:r>
        <w:rPr>
          <w:rFonts w:hint="eastAsia" w:ascii="宋体" w:hAnsi="宋体" w:cs="Arial"/>
          <w:sz w:val="24"/>
        </w:rPr>
        <w:t>（4）试剂盒所配96孔微孔板必须符合标准（12条，每条8孔），适合全自动酶免分析系统、酶标仪和洗板机使用。</w:t>
      </w:r>
    </w:p>
    <w:p w14:paraId="20F11C92">
      <w:pPr>
        <w:adjustRightInd w:val="0"/>
        <w:snapToGrid w:val="0"/>
        <w:rPr>
          <w:rFonts w:ascii="宋体" w:hAnsi="宋体"/>
          <w:sz w:val="24"/>
          <w:szCs w:val="24"/>
        </w:rPr>
      </w:pPr>
      <w:r>
        <w:rPr>
          <w:rFonts w:hint="eastAsia" w:ascii="宋体" w:hAnsi="宋体"/>
          <w:sz w:val="24"/>
          <w:szCs w:val="24"/>
        </w:rPr>
        <w:t>（5）试剂盒内各种组份齐全和足量，用户不需配制，适用于全自动酶免分析系统检测和手工检测。</w:t>
      </w:r>
    </w:p>
    <w:p w14:paraId="640AF93B">
      <w:pPr>
        <w:adjustRightInd w:val="0"/>
        <w:snapToGrid w:val="0"/>
        <w:rPr>
          <w:rFonts w:ascii="宋体" w:hAnsi="宋体"/>
          <w:sz w:val="24"/>
          <w:szCs w:val="24"/>
        </w:rPr>
      </w:pPr>
      <w:r>
        <w:rPr>
          <w:rFonts w:hint="eastAsia" w:ascii="宋体" w:hAnsi="宋体"/>
          <w:sz w:val="24"/>
          <w:szCs w:val="24"/>
        </w:rPr>
        <w:t>（6）如有加样本稀释液步骤，要求加样本后有变色反应，避免漏加样。</w:t>
      </w:r>
    </w:p>
    <w:p w14:paraId="7E0B64C2">
      <w:pPr>
        <w:rPr>
          <w:rFonts w:ascii="宋体" w:hAnsi="宋体"/>
          <w:sz w:val="24"/>
          <w:szCs w:val="24"/>
        </w:rPr>
      </w:pPr>
      <w:r>
        <w:rPr>
          <w:rFonts w:hint="eastAsia" w:ascii="宋体" w:hAnsi="宋体"/>
          <w:sz w:val="24"/>
          <w:szCs w:val="24"/>
        </w:rPr>
        <w:t>（7）2020年度使用该投标产品上报采供血机构血液检验结果的实验室用户数须大于300家 (投标人须提供该产品2020年度国家卫健委临检中心三次采供血机构血液检验室间质评实验室用户数总和的数据并加盖投标人公章）。</w:t>
      </w:r>
    </w:p>
    <w:p w14:paraId="4A083D90">
      <w:pPr>
        <w:pStyle w:val="9"/>
        <w:rPr>
          <w:rFonts w:hint="eastAsia" w:ascii="宋体" w:hAnsi="宋体" w:eastAsia="宋体"/>
          <w:b/>
          <w:color w:val="auto"/>
          <w:kern w:val="2"/>
        </w:rPr>
      </w:pPr>
    </w:p>
    <w:p w14:paraId="2A6125F0">
      <w:pPr>
        <w:pStyle w:val="9"/>
        <w:rPr>
          <w:rFonts w:hint="eastAsia" w:ascii="宋体" w:hAnsi="宋体" w:eastAsia="宋体"/>
          <w:b/>
          <w:color w:val="auto"/>
          <w:kern w:val="2"/>
        </w:rPr>
      </w:pPr>
    </w:p>
    <w:p w14:paraId="567C18C2">
      <w:pPr>
        <w:pStyle w:val="3"/>
        <w:jc w:val="left"/>
        <w:rPr>
          <w:rFonts w:hAnsi="宋体"/>
          <w:b/>
          <w:sz w:val="24"/>
          <w:szCs w:val="24"/>
        </w:rPr>
      </w:pPr>
      <w:r>
        <w:rPr>
          <w:rFonts w:hint="eastAsia" w:hAnsi="宋体"/>
          <w:b/>
          <w:sz w:val="24"/>
          <w:szCs w:val="24"/>
        </w:rPr>
        <w:t>说明：以上技术条款为谈判文件的实质性内容，供应商须全部响应或优于，否则为无效响应。</w:t>
      </w:r>
    </w:p>
    <w:p w14:paraId="6CABFB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2714"/>
    <w:rsid w:val="00DD1016"/>
    <w:rsid w:val="00DF2714"/>
    <w:rsid w:val="52F04B6B"/>
    <w:rsid w:val="54130CA9"/>
    <w:rsid w:val="60D64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7"/>
    <w:qFormat/>
    <w:uiPriority w:val="0"/>
    <w:pPr>
      <w:keepNext/>
      <w:keepLines/>
      <w:spacing w:before="260" w:after="260" w:line="413" w:lineRule="auto"/>
      <w:jc w:val="center"/>
      <w:outlineLvl w:val="1"/>
    </w:pPr>
    <w:rPr>
      <w:rFonts w:ascii="Arial" w:hAnsi="Arial" w:eastAsia="黑体"/>
      <w:b/>
      <w:sz w:val="32"/>
    </w:rPr>
  </w:style>
  <w:style w:type="paragraph" w:styleId="3">
    <w:name w:val="heading 9"/>
    <w:basedOn w:val="1"/>
    <w:next w:val="1"/>
    <w:link w:val="8"/>
    <w:qFormat/>
    <w:uiPriority w:val="0"/>
    <w:pPr>
      <w:keepNext/>
      <w:tabs>
        <w:tab w:val="left" w:pos="360"/>
        <w:tab w:val="left" w:pos="540"/>
        <w:tab w:val="left" w:pos="2052"/>
      </w:tabs>
      <w:autoSpaceDE w:val="0"/>
      <w:autoSpaceDN w:val="0"/>
      <w:adjustRightInd w:val="0"/>
      <w:spacing w:line="311" w:lineRule="atLeast"/>
      <w:outlineLvl w:val="8"/>
    </w:pPr>
    <w:rPr>
      <w:rFonts w:ascii="宋体"/>
      <w:color w:val="000000"/>
      <w:kern w:val="0"/>
      <w:sz w:val="28"/>
      <w:lang w:val="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uiPriority w:val="0"/>
    <w:rPr>
      <w:rFonts w:ascii="Arial" w:hAnsi="Arial" w:eastAsia="黑体" w:cs="Times New Roman"/>
      <w:b/>
      <w:sz w:val="32"/>
      <w:szCs w:val="20"/>
    </w:rPr>
  </w:style>
  <w:style w:type="character" w:customStyle="1" w:styleId="8">
    <w:name w:val="标题 9 Char"/>
    <w:basedOn w:val="6"/>
    <w:link w:val="3"/>
    <w:uiPriority w:val="0"/>
    <w:rPr>
      <w:rFonts w:ascii="宋体" w:hAnsi="Times New Roman" w:eastAsia="宋体" w:cs="Times New Roman"/>
      <w:color w:val="000000"/>
      <w:kern w:val="0"/>
      <w:sz w:val="28"/>
      <w:szCs w:val="20"/>
      <w:lang w:val="zh-CN"/>
    </w:rPr>
  </w:style>
  <w:style w:type="paragraph" w:customStyle="1" w:styleId="9">
    <w:name w:val="Default"/>
    <w:qFormat/>
    <w:uiPriority w:val="0"/>
    <w:pPr>
      <w:widowControl w:val="0"/>
      <w:autoSpaceDE w:val="0"/>
      <w:autoSpaceDN w:val="0"/>
      <w:adjustRightInd w:val="0"/>
    </w:pPr>
    <w:rPr>
      <w:rFonts w:ascii="微软雅黑" w:hAnsi="Calibri" w:eastAsia="微软雅黑" w:cs="微软雅黑"/>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1421</Words>
  <Characters>1514</Characters>
  <Lines>11</Lines>
  <Paragraphs>3</Paragraphs>
  <TotalTime>0</TotalTime>
  <ScaleCrop>false</ScaleCrop>
  <LinksUpToDate>false</LinksUpToDate>
  <CharactersWithSpaces>1518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2022-06-01T02:48:00Z</dcterms:created>
  <dc:creator>admin</dc:creator>
  <cp:lastModifiedBy>梅</cp:lastModifiedBy>
  <dcterms:modified xsi:type="dcterms:W3CDTF">2026-03-27T06:22:02Z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eyJoZGlkIjoiMjU0MzQxNDI1MGI4Y2JhZmQ5MTZkOGQyNjIwNWMzMjkiLCJ1c2VySWQiOiIyMDI4MDM2NTkifQ==</vt:lpwstr>
  </property>
  <property fmtid="{D5CDD505-2E9C-101B-9397-08002B2CF9AE}" pid="3" name="KSOProductBuildVer">
    <vt:lpwstr>2052-12.1.0.25225</vt:lpwstr>
  </property>
  <property fmtid="{D5CDD505-2E9C-101B-9397-08002B2CF9AE}" pid="4" name="ICV">
    <vt:lpwstr>4DA4A9A56E14474D82E898A43519AA49_12</vt:lpwstr>
  </property>
</Properties>
</file>