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8B884">
      <w:pPr>
        <w:ind w:firstLine="880"/>
        <w:jc w:val="center"/>
        <w:rPr>
          <w:rFonts w:hint="eastAsia" w:ascii="等线" w:hAnsi="等线"/>
          <w:color w:val="auto"/>
          <w:sz w:val="44"/>
          <w:szCs w:val="44"/>
        </w:rPr>
      </w:pPr>
      <w:bookmarkStart w:id="0" w:name="_Toc369249418"/>
      <w:bookmarkEnd w:id="0"/>
      <w:bookmarkStart w:id="1" w:name="_Toc366076083"/>
      <w:bookmarkEnd w:id="1"/>
      <w:bookmarkStart w:id="2" w:name="_Toc358325667"/>
      <w:bookmarkEnd w:id="2"/>
      <w:bookmarkStart w:id="3" w:name="_Hlk160805986"/>
    </w:p>
    <w:p w14:paraId="4A2F9D21">
      <w:pPr>
        <w:ind w:left="242" w:leftChars="101" w:firstLine="0" w:firstLineChars="0"/>
        <w:jc w:val="center"/>
        <w:rPr>
          <w:rFonts w:hint="eastAsia"/>
          <w:b/>
          <w:color w:val="auto"/>
          <w:sz w:val="52"/>
          <w:szCs w:val="52"/>
          <w:lang w:eastAsia="zh-CN"/>
        </w:rPr>
      </w:pPr>
      <w:r>
        <w:rPr>
          <w:rFonts w:hint="eastAsia"/>
          <w:b/>
          <w:color w:val="auto"/>
          <w:sz w:val="52"/>
          <w:szCs w:val="52"/>
          <w:lang w:val="en-US" w:eastAsia="zh-CN"/>
        </w:rPr>
        <w:t>樟树市人民医院院内信息化建设项目</w:t>
      </w:r>
    </w:p>
    <w:p w14:paraId="15B8D2CA">
      <w:pPr>
        <w:ind w:left="242" w:leftChars="101" w:firstLine="0" w:firstLineChars="0"/>
        <w:jc w:val="center"/>
        <w:rPr>
          <w:rFonts w:hint="eastAsia"/>
          <w:b/>
          <w:color w:val="auto"/>
          <w:sz w:val="52"/>
          <w:szCs w:val="52"/>
        </w:rPr>
      </w:pPr>
      <w:r>
        <w:rPr>
          <w:rFonts w:hint="eastAsia"/>
          <w:b/>
          <w:color w:val="auto"/>
          <w:sz w:val="52"/>
          <w:szCs w:val="52"/>
        </w:rPr>
        <w:t>技术方案</w:t>
      </w:r>
    </w:p>
    <w:p w14:paraId="610C2F4C">
      <w:pPr>
        <w:ind w:left="242" w:leftChars="101" w:firstLine="0" w:firstLineChars="0"/>
        <w:jc w:val="center"/>
        <w:rPr>
          <w:rFonts w:hint="eastAsia"/>
          <w:b/>
          <w:color w:val="auto"/>
          <w:sz w:val="52"/>
          <w:szCs w:val="52"/>
        </w:rPr>
      </w:pPr>
    </w:p>
    <w:p w14:paraId="2EF72F66">
      <w:pPr>
        <w:ind w:left="242" w:leftChars="101" w:firstLine="0" w:firstLineChars="0"/>
        <w:jc w:val="center"/>
        <w:rPr>
          <w:rFonts w:hint="eastAsia"/>
          <w:b/>
          <w:color w:val="auto"/>
          <w:sz w:val="52"/>
          <w:szCs w:val="52"/>
        </w:rPr>
      </w:pPr>
    </w:p>
    <w:p w14:paraId="7A22B866">
      <w:pPr>
        <w:pStyle w:val="2"/>
        <w:ind w:firstLine="280"/>
        <w:rPr>
          <w:rFonts w:hint="eastAsia"/>
          <w:color w:val="auto"/>
        </w:rPr>
      </w:pPr>
    </w:p>
    <w:p w14:paraId="2B293DAD">
      <w:pPr>
        <w:ind w:firstLine="560"/>
        <w:rPr>
          <w:rFonts w:hint="eastAsia"/>
          <w:color w:val="auto"/>
        </w:rPr>
      </w:pPr>
    </w:p>
    <w:p w14:paraId="02384D48">
      <w:pPr>
        <w:ind w:left="0" w:leftChars="0" w:firstLine="0" w:firstLineChars="0"/>
        <w:jc w:val="both"/>
        <w:rPr>
          <w:rFonts w:hint="eastAsia" w:ascii="等线" w:hAnsi="等线"/>
          <w:color w:val="auto"/>
          <w:sz w:val="44"/>
          <w:szCs w:val="44"/>
        </w:rPr>
      </w:pPr>
    </w:p>
    <w:p w14:paraId="2ECBE6FB">
      <w:pPr>
        <w:pStyle w:val="2"/>
        <w:rPr>
          <w:rFonts w:hint="eastAsia" w:ascii="等线" w:hAnsi="等线"/>
          <w:color w:val="auto"/>
          <w:sz w:val="44"/>
          <w:szCs w:val="44"/>
        </w:rPr>
      </w:pPr>
    </w:p>
    <w:p w14:paraId="78BFB962">
      <w:pPr>
        <w:pStyle w:val="2"/>
        <w:ind w:left="0" w:leftChars="0" w:firstLine="0" w:firstLineChars="0"/>
        <w:rPr>
          <w:rFonts w:hint="eastAsia"/>
          <w:color w:val="auto"/>
        </w:rPr>
      </w:pPr>
    </w:p>
    <w:p w14:paraId="5B39BF47">
      <w:pPr>
        <w:ind w:firstLine="2249" w:firstLineChars="700"/>
        <w:rPr>
          <w:rFonts w:hint="eastAsia" w:cs="Times New Roman"/>
          <w:b/>
          <w:color w:val="auto"/>
          <w:sz w:val="32"/>
          <w:szCs w:val="32"/>
        </w:rPr>
      </w:pPr>
    </w:p>
    <w:p w14:paraId="66E08608">
      <w:pPr>
        <w:ind w:firstLine="2249" w:firstLineChars="700"/>
        <w:rPr>
          <w:rFonts w:hint="eastAsia" w:cs="Times New Roman"/>
          <w:b/>
          <w:color w:val="auto"/>
          <w:sz w:val="32"/>
          <w:szCs w:val="32"/>
        </w:rPr>
      </w:pPr>
    </w:p>
    <w:p w14:paraId="0DC187A4">
      <w:pPr>
        <w:ind w:left="0" w:leftChars="0" w:firstLine="0" w:firstLineChars="0"/>
        <w:jc w:val="both"/>
        <w:rPr>
          <w:rFonts w:hint="eastAsia" w:cs="Times New Roman"/>
          <w:b/>
          <w:color w:val="auto"/>
          <w:sz w:val="32"/>
          <w:szCs w:val="32"/>
          <w:lang w:eastAsia="zh-CN"/>
        </w:rPr>
      </w:pPr>
    </w:p>
    <w:p w14:paraId="23F27F7E">
      <w:pPr>
        <w:ind w:left="0" w:leftChars="0" w:firstLine="0" w:firstLineChars="0"/>
        <w:jc w:val="center"/>
        <w:rPr>
          <w:rFonts w:hint="eastAsia" w:cs="Times New Roman"/>
          <w:b/>
          <w:color w:val="auto"/>
          <w:sz w:val="32"/>
          <w:szCs w:val="32"/>
        </w:rPr>
      </w:pPr>
      <w:r>
        <w:rPr>
          <w:rFonts w:hint="eastAsia" w:cs="Times New Roman"/>
          <w:b/>
          <w:color w:val="auto"/>
          <w:sz w:val="32"/>
          <w:szCs w:val="32"/>
          <w:lang w:eastAsia="zh-CN"/>
        </w:rPr>
        <w:t>樟树市人民医院</w:t>
      </w:r>
    </w:p>
    <w:p w14:paraId="25D02D02">
      <w:pPr>
        <w:ind w:firstLine="1558" w:firstLineChars="485"/>
        <w:rPr>
          <w:rFonts w:hint="eastAsia"/>
          <w:b/>
          <w:color w:val="auto"/>
          <w:sz w:val="32"/>
          <w:szCs w:val="32"/>
        </w:rPr>
      </w:pPr>
    </w:p>
    <w:p w14:paraId="6612512C">
      <w:pPr>
        <w:ind w:firstLine="643"/>
        <w:jc w:val="center"/>
        <w:rPr>
          <w:rFonts w:hint="eastAsia"/>
          <w:b/>
          <w:color w:val="auto"/>
          <w:sz w:val="32"/>
          <w:szCs w:val="32"/>
        </w:rPr>
      </w:pPr>
    </w:p>
    <w:bookmarkEnd w:id="3"/>
    <w:p w14:paraId="57B4663E">
      <w:pPr>
        <w:ind w:firstLine="0" w:firstLineChars="0"/>
        <w:rPr>
          <w:rFonts w:ascii="Times New Roman" w:hAnsi="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418" w:left="1418" w:header="850" w:footer="992" w:gutter="0"/>
          <w:pgBorders>
            <w:top w:val="none" w:sz="0" w:space="0"/>
            <w:left w:val="none" w:sz="0" w:space="0"/>
            <w:bottom w:val="none" w:sz="0" w:space="0"/>
            <w:right w:val="none" w:sz="0" w:space="0"/>
          </w:pgBorders>
          <w:pgNumType w:fmt="upperRoman"/>
          <w:cols w:space="720" w:num="1"/>
          <w:titlePg/>
          <w:docGrid w:type="lines" w:linePitch="381" w:charSpace="0"/>
        </w:sectPr>
      </w:pPr>
    </w:p>
    <w:sdt>
      <w:sdtPr>
        <w:rPr>
          <w:rFonts w:ascii="宋体" w:hAnsi="宋体" w:eastAsia="宋体" w:cs="Times New Roman"/>
          <w:color w:val="auto"/>
          <w:kern w:val="2"/>
          <w:sz w:val="28"/>
          <w:szCs w:val="28"/>
          <w:lang w:val="zh-CN"/>
        </w:rPr>
        <w:id w:val="1897931248"/>
        <w:docPartObj>
          <w:docPartGallery w:val="Table of Contents"/>
          <w:docPartUnique/>
        </w:docPartObj>
      </w:sdtPr>
      <w:sdtEndPr>
        <w:rPr>
          <w:rFonts w:ascii="宋体" w:hAnsi="宋体" w:eastAsia="宋体" w:cs="Times New Roman"/>
          <w:b/>
          <w:bCs/>
          <w:color w:val="auto"/>
          <w:kern w:val="2"/>
          <w:sz w:val="28"/>
          <w:szCs w:val="28"/>
          <w:lang w:val="zh-CN"/>
        </w:rPr>
      </w:sdtEndPr>
      <w:sdtContent>
        <w:p w14:paraId="05FED0A7">
          <w:pPr>
            <w:pStyle w:val="96"/>
            <w:ind w:firstLine="560"/>
            <w:jc w:val="center"/>
            <w:rPr>
              <w:rFonts w:hint="eastAsia" w:ascii="宋体" w:hAnsi="宋体" w:eastAsia="宋体"/>
              <w:b/>
              <w:color w:val="auto"/>
              <w:sz w:val="44"/>
            </w:rPr>
          </w:pPr>
          <w:r>
            <w:rPr>
              <w:rFonts w:ascii="宋体" w:hAnsi="宋体" w:eastAsia="宋体"/>
              <w:b/>
              <w:color w:val="auto"/>
              <w:sz w:val="44"/>
              <w:lang w:val="zh-CN"/>
            </w:rPr>
            <w:t>目录</w:t>
          </w:r>
        </w:p>
        <w:p w14:paraId="24D204BF">
          <w:pPr>
            <w:pStyle w:val="36"/>
            <w:tabs>
              <w:tab w:val="right" w:leader="dot" w:pos="8306"/>
            </w:tabs>
          </w:pPr>
          <w:r>
            <w:rPr>
              <w:b/>
              <w:bCs/>
              <w:color w:val="auto"/>
              <w:lang w:val="zh-CN"/>
            </w:rPr>
            <w:fldChar w:fldCharType="begin"/>
          </w:r>
          <w:r>
            <w:rPr>
              <w:b/>
              <w:bCs/>
              <w:color w:val="auto"/>
              <w:lang w:val="zh-CN"/>
            </w:rPr>
            <w:instrText xml:space="preserve"> TOC \o "1-3" \h \z \u </w:instrText>
          </w:r>
          <w:r>
            <w:rPr>
              <w:b/>
              <w:bCs/>
              <w:color w:val="auto"/>
              <w:lang w:val="zh-CN"/>
            </w:rPr>
            <w:fldChar w:fldCharType="separate"/>
          </w:r>
          <w:r>
            <w:rPr>
              <w:bCs/>
              <w:color w:val="auto"/>
              <w:lang w:val="zh-CN"/>
            </w:rPr>
            <w:fldChar w:fldCharType="begin"/>
          </w:r>
          <w:r>
            <w:rPr>
              <w:bCs/>
              <w:lang w:val="zh-CN"/>
            </w:rPr>
            <w:instrText xml:space="preserve"> HYPERLINK \l _Toc21499 </w:instrText>
          </w:r>
          <w:r>
            <w:rPr>
              <w:bCs/>
              <w:lang w:val="zh-CN"/>
            </w:rPr>
            <w:fldChar w:fldCharType="separate"/>
          </w:r>
          <w:r>
            <w:rPr>
              <w:rFonts w:hint="default"/>
            </w:rPr>
            <w:t xml:space="preserve">第1章 </w:t>
          </w:r>
          <w:r>
            <w:rPr>
              <w:rFonts w:hint="eastAsia"/>
            </w:rPr>
            <w:t>项目概述</w:t>
          </w:r>
          <w:r>
            <w:tab/>
          </w:r>
          <w:r>
            <w:fldChar w:fldCharType="begin"/>
          </w:r>
          <w:r>
            <w:instrText xml:space="preserve"> PAGEREF _Toc21499 \h </w:instrText>
          </w:r>
          <w:r>
            <w:fldChar w:fldCharType="separate"/>
          </w:r>
          <w:r>
            <w:t>1</w:t>
          </w:r>
          <w:r>
            <w:fldChar w:fldCharType="end"/>
          </w:r>
          <w:r>
            <w:rPr>
              <w:bCs/>
              <w:color w:val="auto"/>
              <w:lang w:val="zh-CN"/>
            </w:rPr>
            <w:fldChar w:fldCharType="end"/>
          </w:r>
        </w:p>
        <w:p w14:paraId="05F7E8EB">
          <w:pPr>
            <w:pStyle w:val="39"/>
            <w:tabs>
              <w:tab w:val="right" w:leader="dot" w:pos="8306"/>
            </w:tabs>
          </w:pPr>
          <w:r>
            <w:rPr>
              <w:bCs/>
              <w:color w:val="auto"/>
              <w:lang w:val="zh-CN"/>
            </w:rPr>
            <w:fldChar w:fldCharType="begin"/>
          </w:r>
          <w:r>
            <w:rPr>
              <w:bCs/>
              <w:lang w:val="zh-CN"/>
            </w:rPr>
            <w:instrText xml:space="preserve"> HYPERLINK \l _Toc8586 </w:instrText>
          </w:r>
          <w:r>
            <w:rPr>
              <w:bCs/>
              <w:lang w:val="zh-CN"/>
            </w:rPr>
            <w:fldChar w:fldCharType="separate"/>
          </w:r>
          <w:r>
            <w:rPr>
              <w:rFonts w:hint="default" w:ascii="宋体" w:hAnsi="宋体"/>
              <w:bCs/>
              <w:szCs w:val="36"/>
              <w:lang w:val="en-US" w:eastAsia="zh-CN"/>
            </w:rPr>
            <w:t xml:space="preserve">1.1 </w:t>
          </w:r>
          <w:r>
            <w:rPr>
              <w:rFonts w:hint="eastAsia"/>
              <w:lang w:val="en-US" w:eastAsia="zh-CN"/>
            </w:rPr>
            <w:t>建设目标、规模、内容、建设期</w:t>
          </w:r>
          <w:r>
            <w:tab/>
          </w:r>
          <w:r>
            <w:fldChar w:fldCharType="begin"/>
          </w:r>
          <w:r>
            <w:instrText xml:space="preserve"> PAGEREF _Toc8586 \h </w:instrText>
          </w:r>
          <w:r>
            <w:fldChar w:fldCharType="separate"/>
          </w:r>
          <w:r>
            <w:t>1</w:t>
          </w:r>
          <w:r>
            <w:fldChar w:fldCharType="end"/>
          </w:r>
          <w:r>
            <w:rPr>
              <w:bCs/>
              <w:color w:val="auto"/>
              <w:lang w:val="zh-CN"/>
            </w:rPr>
            <w:fldChar w:fldCharType="end"/>
          </w:r>
        </w:p>
        <w:p w14:paraId="1103E030">
          <w:pPr>
            <w:pStyle w:val="28"/>
            <w:tabs>
              <w:tab w:val="right" w:leader="dot" w:pos="8306"/>
            </w:tabs>
          </w:pPr>
          <w:r>
            <w:rPr>
              <w:bCs/>
              <w:color w:val="auto"/>
              <w:lang w:val="zh-CN"/>
            </w:rPr>
            <w:fldChar w:fldCharType="begin"/>
          </w:r>
          <w:r>
            <w:rPr>
              <w:bCs/>
              <w:lang w:val="zh-CN"/>
            </w:rPr>
            <w:instrText xml:space="preserve"> HYPERLINK \l _Toc1492 </w:instrText>
          </w:r>
          <w:r>
            <w:rPr>
              <w:bCs/>
              <w:lang w:val="zh-CN"/>
            </w:rPr>
            <w:fldChar w:fldCharType="separate"/>
          </w:r>
          <w:r>
            <w:rPr>
              <w:rFonts w:hint="default" w:ascii="宋体" w:hAnsi="宋体"/>
              <w:bCs/>
              <w:szCs w:val="36"/>
            </w:rPr>
            <w:t xml:space="preserve">1.1.1 </w:t>
          </w:r>
          <w:r>
            <w:rPr>
              <w:rFonts w:hint="eastAsia"/>
              <w:lang w:val="en-US" w:eastAsia="zh-CN"/>
            </w:rPr>
            <w:t>总体</w:t>
          </w:r>
          <w:r>
            <w:rPr>
              <w:rFonts w:hint="eastAsia"/>
            </w:rPr>
            <w:t>建设目标</w:t>
          </w:r>
          <w:r>
            <w:rPr>
              <w:rFonts w:hint="eastAsia"/>
              <w:lang w:val="en-US" w:eastAsia="zh-CN"/>
            </w:rPr>
            <w:t>和任务</w:t>
          </w:r>
          <w:r>
            <w:tab/>
          </w:r>
          <w:r>
            <w:fldChar w:fldCharType="begin"/>
          </w:r>
          <w:r>
            <w:instrText xml:space="preserve"> PAGEREF _Toc1492 \h </w:instrText>
          </w:r>
          <w:r>
            <w:fldChar w:fldCharType="separate"/>
          </w:r>
          <w:r>
            <w:t>1</w:t>
          </w:r>
          <w:r>
            <w:fldChar w:fldCharType="end"/>
          </w:r>
          <w:r>
            <w:rPr>
              <w:bCs/>
              <w:color w:val="auto"/>
              <w:lang w:val="zh-CN"/>
            </w:rPr>
            <w:fldChar w:fldCharType="end"/>
          </w:r>
        </w:p>
        <w:p w14:paraId="6B2768A9">
          <w:pPr>
            <w:pStyle w:val="28"/>
            <w:tabs>
              <w:tab w:val="right" w:leader="dot" w:pos="8306"/>
            </w:tabs>
          </w:pPr>
          <w:r>
            <w:rPr>
              <w:bCs/>
              <w:color w:val="auto"/>
              <w:lang w:val="zh-CN"/>
            </w:rPr>
            <w:fldChar w:fldCharType="begin"/>
          </w:r>
          <w:r>
            <w:rPr>
              <w:bCs/>
              <w:lang w:val="zh-CN"/>
            </w:rPr>
            <w:instrText xml:space="preserve"> HYPERLINK \l _Toc19650 </w:instrText>
          </w:r>
          <w:r>
            <w:rPr>
              <w:bCs/>
              <w:lang w:val="zh-CN"/>
            </w:rPr>
            <w:fldChar w:fldCharType="separate"/>
          </w:r>
          <w:r>
            <w:rPr>
              <w:rFonts w:hint="default" w:ascii="宋体" w:hAnsi="宋体"/>
              <w:bCs/>
              <w:szCs w:val="36"/>
            </w:rPr>
            <w:t xml:space="preserve">1.1.2 </w:t>
          </w:r>
          <w:r>
            <w:rPr>
              <w:rFonts w:hint="eastAsia"/>
            </w:rPr>
            <w:t>建设目标</w:t>
          </w:r>
          <w:r>
            <w:rPr>
              <w:rFonts w:hint="eastAsia"/>
              <w:lang w:val="en-US" w:eastAsia="zh-CN"/>
            </w:rPr>
            <w:t>和内容</w:t>
          </w:r>
          <w:r>
            <w:tab/>
          </w:r>
          <w:r>
            <w:fldChar w:fldCharType="begin"/>
          </w:r>
          <w:r>
            <w:instrText xml:space="preserve"> PAGEREF _Toc19650 \h </w:instrText>
          </w:r>
          <w:r>
            <w:fldChar w:fldCharType="separate"/>
          </w:r>
          <w:r>
            <w:t>2</w:t>
          </w:r>
          <w:r>
            <w:fldChar w:fldCharType="end"/>
          </w:r>
          <w:r>
            <w:rPr>
              <w:bCs/>
              <w:color w:val="auto"/>
              <w:lang w:val="zh-CN"/>
            </w:rPr>
            <w:fldChar w:fldCharType="end"/>
          </w:r>
        </w:p>
        <w:p w14:paraId="55D54091">
          <w:pPr>
            <w:pStyle w:val="36"/>
            <w:tabs>
              <w:tab w:val="right" w:leader="dot" w:pos="8306"/>
            </w:tabs>
          </w:pPr>
          <w:r>
            <w:rPr>
              <w:bCs/>
              <w:color w:val="auto"/>
              <w:lang w:val="zh-CN"/>
            </w:rPr>
            <w:fldChar w:fldCharType="begin"/>
          </w:r>
          <w:r>
            <w:rPr>
              <w:bCs/>
              <w:lang w:val="zh-CN"/>
            </w:rPr>
            <w:instrText xml:space="preserve"> HYPERLINK \l _Toc19590 </w:instrText>
          </w:r>
          <w:r>
            <w:rPr>
              <w:bCs/>
              <w:lang w:val="zh-CN"/>
            </w:rPr>
            <w:fldChar w:fldCharType="separate"/>
          </w:r>
          <w:r>
            <w:rPr>
              <w:rFonts w:hint="default"/>
            </w:rPr>
            <w:t xml:space="preserve">第2章 </w:t>
          </w:r>
          <w:r>
            <w:rPr>
              <w:rFonts w:hint="eastAsia"/>
            </w:rPr>
            <w:t>项目建设方案</w:t>
          </w:r>
          <w:r>
            <w:tab/>
          </w:r>
          <w:r>
            <w:fldChar w:fldCharType="begin"/>
          </w:r>
          <w:r>
            <w:instrText xml:space="preserve"> PAGEREF _Toc19590 \h </w:instrText>
          </w:r>
          <w:r>
            <w:fldChar w:fldCharType="separate"/>
          </w:r>
          <w:r>
            <w:t>10</w:t>
          </w:r>
          <w:r>
            <w:fldChar w:fldCharType="end"/>
          </w:r>
          <w:r>
            <w:rPr>
              <w:bCs/>
              <w:color w:val="auto"/>
              <w:lang w:val="zh-CN"/>
            </w:rPr>
            <w:fldChar w:fldCharType="end"/>
          </w:r>
        </w:p>
        <w:p w14:paraId="26256688">
          <w:pPr>
            <w:pStyle w:val="39"/>
            <w:tabs>
              <w:tab w:val="right" w:leader="dot" w:pos="8306"/>
            </w:tabs>
          </w:pPr>
          <w:r>
            <w:rPr>
              <w:bCs/>
              <w:color w:val="auto"/>
              <w:lang w:val="zh-CN"/>
            </w:rPr>
            <w:fldChar w:fldCharType="begin"/>
          </w:r>
          <w:r>
            <w:rPr>
              <w:bCs/>
              <w:lang w:val="zh-CN"/>
            </w:rPr>
            <w:instrText xml:space="preserve"> HYPERLINK \l _Toc32705 </w:instrText>
          </w:r>
          <w:r>
            <w:rPr>
              <w:bCs/>
              <w:lang w:val="zh-CN"/>
            </w:rPr>
            <w:fldChar w:fldCharType="separate"/>
          </w:r>
          <w:r>
            <w:rPr>
              <w:rFonts w:hint="default" w:ascii="宋体" w:hAnsi="宋体"/>
              <w:bCs/>
              <w:szCs w:val="36"/>
            </w:rPr>
            <w:t xml:space="preserve">2.1 </w:t>
          </w:r>
          <w:r>
            <w:rPr>
              <w:rFonts w:hint="eastAsia"/>
              <w:highlight w:val="none"/>
              <w:lang w:val="en-US" w:eastAsia="zh-CN"/>
            </w:rPr>
            <w:t>总体</w:t>
          </w:r>
          <w:r>
            <w:rPr>
              <w:rFonts w:hint="eastAsia"/>
              <w:highlight w:val="none"/>
            </w:rPr>
            <w:t>建设</w:t>
          </w:r>
          <w:r>
            <w:rPr>
              <w:rFonts w:hint="eastAsia"/>
              <w:highlight w:val="none"/>
              <w:lang w:val="en-US" w:eastAsia="zh-CN"/>
            </w:rPr>
            <w:t>方案</w:t>
          </w:r>
          <w:r>
            <w:tab/>
          </w:r>
          <w:r>
            <w:fldChar w:fldCharType="begin"/>
          </w:r>
          <w:r>
            <w:instrText xml:space="preserve"> PAGEREF _Toc32705 \h </w:instrText>
          </w:r>
          <w:r>
            <w:fldChar w:fldCharType="separate"/>
          </w:r>
          <w:r>
            <w:t>10</w:t>
          </w:r>
          <w:r>
            <w:fldChar w:fldCharType="end"/>
          </w:r>
          <w:r>
            <w:rPr>
              <w:bCs/>
              <w:color w:val="auto"/>
              <w:lang w:val="zh-CN"/>
            </w:rPr>
            <w:fldChar w:fldCharType="end"/>
          </w:r>
        </w:p>
        <w:p w14:paraId="66DCF425">
          <w:pPr>
            <w:pStyle w:val="28"/>
            <w:tabs>
              <w:tab w:val="right" w:leader="dot" w:pos="8306"/>
            </w:tabs>
          </w:pPr>
          <w:r>
            <w:rPr>
              <w:bCs/>
              <w:color w:val="auto"/>
              <w:lang w:val="zh-CN"/>
            </w:rPr>
            <w:fldChar w:fldCharType="begin"/>
          </w:r>
          <w:r>
            <w:rPr>
              <w:bCs/>
              <w:lang w:val="zh-CN"/>
            </w:rPr>
            <w:instrText xml:space="preserve"> HYPERLINK \l _Toc32240 </w:instrText>
          </w:r>
          <w:r>
            <w:rPr>
              <w:bCs/>
              <w:lang w:val="zh-CN"/>
            </w:rPr>
            <w:fldChar w:fldCharType="separate"/>
          </w:r>
          <w:r>
            <w:rPr>
              <w:rFonts w:hint="default" w:ascii="宋体" w:hAnsi="宋体"/>
              <w:bCs/>
              <w:szCs w:val="36"/>
              <w:lang w:val="en-US" w:eastAsia="zh-CN"/>
            </w:rPr>
            <w:t xml:space="preserve">2.1.1 </w:t>
          </w:r>
          <w:r>
            <w:rPr>
              <w:rFonts w:hint="eastAsia"/>
              <w:lang w:val="en-US" w:eastAsia="zh-CN"/>
            </w:rPr>
            <w:t>建设思路</w:t>
          </w:r>
          <w:r>
            <w:tab/>
          </w:r>
          <w:r>
            <w:fldChar w:fldCharType="begin"/>
          </w:r>
          <w:r>
            <w:instrText xml:space="preserve"> PAGEREF _Toc32240 \h </w:instrText>
          </w:r>
          <w:r>
            <w:fldChar w:fldCharType="separate"/>
          </w:r>
          <w:r>
            <w:t>10</w:t>
          </w:r>
          <w:r>
            <w:fldChar w:fldCharType="end"/>
          </w:r>
          <w:r>
            <w:rPr>
              <w:bCs/>
              <w:color w:val="auto"/>
              <w:lang w:val="zh-CN"/>
            </w:rPr>
            <w:fldChar w:fldCharType="end"/>
          </w:r>
        </w:p>
        <w:p w14:paraId="12493300">
          <w:pPr>
            <w:pStyle w:val="28"/>
            <w:tabs>
              <w:tab w:val="right" w:leader="dot" w:pos="8306"/>
            </w:tabs>
          </w:pPr>
          <w:r>
            <w:rPr>
              <w:bCs/>
              <w:color w:val="auto"/>
              <w:lang w:val="zh-CN"/>
            </w:rPr>
            <w:fldChar w:fldCharType="begin"/>
          </w:r>
          <w:r>
            <w:rPr>
              <w:bCs/>
              <w:lang w:val="zh-CN"/>
            </w:rPr>
            <w:instrText xml:space="preserve"> HYPERLINK \l _Toc28017 </w:instrText>
          </w:r>
          <w:r>
            <w:rPr>
              <w:bCs/>
              <w:lang w:val="zh-CN"/>
            </w:rPr>
            <w:fldChar w:fldCharType="separate"/>
          </w:r>
          <w:r>
            <w:rPr>
              <w:rFonts w:hint="default" w:ascii="宋体" w:hAnsi="宋体"/>
              <w:bCs/>
              <w:szCs w:val="36"/>
              <w:lang w:val="en-US" w:eastAsia="zh-CN"/>
            </w:rPr>
            <w:t xml:space="preserve">2.1.2 </w:t>
          </w:r>
          <w:r>
            <w:rPr>
              <w:rFonts w:hint="eastAsia"/>
              <w:lang w:val="en-US" w:eastAsia="zh-CN"/>
            </w:rPr>
            <w:t>总体目标</w:t>
          </w:r>
          <w:r>
            <w:tab/>
          </w:r>
          <w:r>
            <w:fldChar w:fldCharType="begin"/>
          </w:r>
          <w:r>
            <w:instrText xml:space="preserve"> PAGEREF _Toc28017 \h </w:instrText>
          </w:r>
          <w:r>
            <w:fldChar w:fldCharType="separate"/>
          </w:r>
          <w:r>
            <w:t>10</w:t>
          </w:r>
          <w:r>
            <w:fldChar w:fldCharType="end"/>
          </w:r>
          <w:r>
            <w:rPr>
              <w:bCs/>
              <w:color w:val="auto"/>
              <w:lang w:val="zh-CN"/>
            </w:rPr>
            <w:fldChar w:fldCharType="end"/>
          </w:r>
        </w:p>
        <w:p w14:paraId="7636DFDE">
          <w:pPr>
            <w:pStyle w:val="28"/>
            <w:tabs>
              <w:tab w:val="right" w:leader="dot" w:pos="8306"/>
            </w:tabs>
          </w:pPr>
          <w:r>
            <w:rPr>
              <w:bCs/>
              <w:color w:val="auto"/>
              <w:lang w:val="zh-CN"/>
            </w:rPr>
            <w:fldChar w:fldCharType="begin"/>
          </w:r>
          <w:r>
            <w:rPr>
              <w:bCs/>
              <w:lang w:val="zh-CN"/>
            </w:rPr>
            <w:instrText xml:space="preserve"> HYPERLINK \l _Toc2995 </w:instrText>
          </w:r>
          <w:r>
            <w:rPr>
              <w:bCs/>
              <w:lang w:val="zh-CN"/>
            </w:rPr>
            <w:fldChar w:fldCharType="separate"/>
          </w:r>
          <w:r>
            <w:rPr>
              <w:rFonts w:hint="default" w:ascii="宋体" w:hAnsi="宋体"/>
              <w:bCs/>
              <w:szCs w:val="36"/>
              <w:lang w:val="en-US" w:eastAsia="zh-CN"/>
            </w:rPr>
            <w:t xml:space="preserve">2.1.3 </w:t>
          </w:r>
          <w:r>
            <w:rPr>
              <w:rFonts w:hint="eastAsia"/>
              <w:highlight w:val="none"/>
              <w:lang w:val="en-US" w:eastAsia="zh-CN"/>
            </w:rPr>
            <w:t>本次建设总体架构</w:t>
          </w:r>
          <w:r>
            <w:tab/>
          </w:r>
          <w:r>
            <w:fldChar w:fldCharType="begin"/>
          </w:r>
          <w:r>
            <w:instrText xml:space="preserve"> PAGEREF _Toc2995 \h </w:instrText>
          </w:r>
          <w:r>
            <w:fldChar w:fldCharType="separate"/>
          </w:r>
          <w:r>
            <w:t>11</w:t>
          </w:r>
          <w:r>
            <w:fldChar w:fldCharType="end"/>
          </w:r>
          <w:r>
            <w:rPr>
              <w:bCs/>
              <w:color w:val="auto"/>
              <w:lang w:val="zh-CN"/>
            </w:rPr>
            <w:fldChar w:fldCharType="end"/>
          </w:r>
        </w:p>
        <w:p w14:paraId="3FA5319F">
          <w:pPr>
            <w:pStyle w:val="28"/>
            <w:tabs>
              <w:tab w:val="right" w:leader="dot" w:pos="8306"/>
            </w:tabs>
          </w:pPr>
          <w:r>
            <w:rPr>
              <w:bCs/>
              <w:color w:val="auto"/>
              <w:lang w:val="zh-CN"/>
            </w:rPr>
            <w:fldChar w:fldCharType="begin"/>
          </w:r>
          <w:r>
            <w:rPr>
              <w:bCs/>
              <w:lang w:val="zh-CN"/>
            </w:rPr>
            <w:instrText xml:space="preserve"> HYPERLINK \l _Toc10700 </w:instrText>
          </w:r>
          <w:r>
            <w:rPr>
              <w:bCs/>
              <w:lang w:val="zh-CN"/>
            </w:rPr>
            <w:fldChar w:fldCharType="separate"/>
          </w:r>
          <w:r>
            <w:rPr>
              <w:rFonts w:hint="default" w:ascii="宋体" w:hAnsi="宋体"/>
              <w:bCs/>
              <w:szCs w:val="36"/>
            </w:rPr>
            <w:t xml:space="preserve">2.1.4 </w:t>
          </w:r>
          <w:r>
            <w:rPr>
              <w:rFonts w:hint="eastAsia"/>
            </w:rPr>
            <w:t>标准规范建设内容</w:t>
          </w:r>
          <w:r>
            <w:tab/>
          </w:r>
          <w:r>
            <w:fldChar w:fldCharType="begin"/>
          </w:r>
          <w:r>
            <w:instrText xml:space="preserve"> PAGEREF _Toc10700 \h </w:instrText>
          </w:r>
          <w:r>
            <w:fldChar w:fldCharType="separate"/>
          </w:r>
          <w:r>
            <w:t>11</w:t>
          </w:r>
          <w:r>
            <w:fldChar w:fldCharType="end"/>
          </w:r>
          <w:r>
            <w:rPr>
              <w:bCs/>
              <w:color w:val="auto"/>
              <w:lang w:val="zh-CN"/>
            </w:rPr>
            <w:fldChar w:fldCharType="end"/>
          </w:r>
        </w:p>
        <w:p w14:paraId="20DB6A28">
          <w:pPr>
            <w:pStyle w:val="39"/>
            <w:tabs>
              <w:tab w:val="right" w:leader="dot" w:pos="8306"/>
            </w:tabs>
          </w:pPr>
          <w:r>
            <w:rPr>
              <w:bCs/>
              <w:color w:val="auto"/>
              <w:lang w:val="zh-CN"/>
            </w:rPr>
            <w:fldChar w:fldCharType="begin"/>
          </w:r>
          <w:r>
            <w:rPr>
              <w:bCs/>
              <w:lang w:val="zh-CN"/>
            </w:rPr>
            <w:instrText xml:space="preserve"> HYPERLINK \l _Toc26455 </w:instrText>
          </w:r>
          <w:r>
            <w:rPr>
              <w:bCs/>
              <w:lang w:val="zh-CN"/>
            </w:rPr>
            <w:fldChar w:fldCharType="separate"/>
          </w:r>
          <w:r>
            <w:rPr>
              <w:rFonts w:hint="default" w:ascii="宋体" w:hAnsi="宋体"/>
              <w:bCs/>
              <w:szCs w:val="36"/>
            </w:rPr>
            <w:t xml:space="preserve">2.2 </w:t>
          </w:r>
          <w:r>
            <w:rPr>
              <w:rFonts w:hint="eastAsia"/>
            </w:rPr>
            <w:t>技术方案</w:t>
          </w:r>
          <w:r>
            <w:tab/>
          </w:r>
          <w:r>
            <w:fldChar w:fldCharType="begin"/>
          </w:r>
          <w:r>
            <w:instrText xml:space="preserve"> PAGEREF _Toc26455 \h </w:instrText>
          </w:r>
          <w:r>
            <w:fldChar w:fldCharType="separate"/>
          </w:r>
          <w:r>
            <w:t>16</w:t>
          </w:r>
          <w:r>
            <w:fldChar w:fldCharType="end"/>
          </w:r>
          <w:r>
            <w:rPr>
              <w:bCs/>
              <w:color w:val="auto"/>
              <w:lang w:val="zh-CN"/>
            </w:rPr>
            <w:fldChar w:fldCharType="end"/>
          </w:r>
        </w:p>
        <w:p w14:paraId="205B3AA8">
          <w:pPr>
            <w:pStyle w:val="28"/>
            <w:tabs>
              <w:tab w:val="right" w:leader="dot" w:pos="8306"/>
            </w:tabs>
          </w:pPr>
          <w:r>
            <w:rPr>
              <w:bCs/>
              <w:color w:val="auto"/>
              <w:lang w:val="zh-CN"/>
            </w:rPr>
            <w:fldChar w:fldCharType="begin"/>
          </w:r>
          <w:r>
            <w:rPr>
              <w:bCs/>
              <w:lang w:val="zh-CN"/>
            </w:rPr>
            <w:instrText xml:space="preserve"> HYPERLINK \l _Toc8164 </w:instrText>
          </w:r>
          <w:r>
            <w:rPr>
              <w:bCs/>
              <w:lang w:val="zh-CN"/>
            </w:rPr>
            <w:fldChar w:fldCharType="separate"/>
          </w:r>
          <w:r>
            <w:rPr>
              <w:rFonts w:hint="default" w:ascii="宋体" w:hAnsi="宋体"/>
              <w:bCs/>
              <w:szCs w:val="36"/>
            </w:rPr>
            <w:t xml:space="preserve">2.2.1 </w:t>
          </w:r>
          <w:r>
            <w:rPr>
              <w:rFonts w:hint="eastAsia"/>
              <w:lang w:val="en-US" w:eastAsia="zh-CN"/>
            </w:rPr>
            <w:t>关键</w:t>
          </w:r>
          <w:r>
            <w:rPr>
              <w:rFonts w:hint="eastAsia"/>
            </w:rPr>
            <w:t>技术路线</w:t>
          </w:r>
          <w:r>
            <w:tab/>
          </w:r>
          <w:r>
            <w:fldChar w:fldCharType="begin"/>
          </w:r>
          <w:r>
            <w:instrText xml:space="preserve"> PAGEREF _Toc8164 \h </w:instrText>
          </w:r>
          <w:r>
            <w:fldChar w:fldCharType="separate"/>
          </w:r>
          <w:r>
            <w:t>16</w:t>
          </w:r>
          <w:r>
            <w:fldChar w:fldCharType="end"/>
          </w:r>
          <w:r>
            <w:rPr>
              <w:bCs/>
              <w:color w:val="auto"/>
              <w:lang w:val="zh-CN"/>
            </w:rPr>
            <w:fldChar w:fldCharType="end"/>
          </w:r>
        </w:p>
        <w:p w14:paraId="664EC4AA">
          <w:pPr>
            <w:pStyle w:val="28"/>
            <w:tabs>
              <w:tab w:val="right" w:leader="dot" w:pos="8306"/>
            </w:tabs>
          </w:pPr>
          <w:r>
            <w:rPr>
              <w:bCs/>
              <w:color w:val="auto"/>
              <w:lang w:val="zh-CN"/>
            </w:rPr>
            <w:fldChar w:fldCharType="begin"/>
          </w:r>
          <w:r>
            <w:rPr>
              <w:bCs/>
              <w:lang w:val="zh-CN"/>
            </w:rPr>
            <w:instrText xml:space="preserve"> HYPERLINK \l _Toc14502 </w:instrText>
          </w:r>
          <w:r>
            <w:rPr>
              <w:bCs/>
              <w:lang w:val="zh-CN"/>
            </w:rPr>
            <w:fldChar w:fldCharType="separate"/>
          </w:r>
          <w:r>
            <w:rPr>
              <w:rFonts w:hint="default" w:ascii="宋体" w:hAnsi="宋体"/>
              <w:bCs/>
              <w:szCs w:val="36"/>
            </w:rPr>
            <w:t xml:space="preserve">2.2.2 </w:t>
          </w:r>
          <w:r>
            <w:rPr>
              <w:rFonts w:hint="eastAsia"/>
            </w:rPr>
            <w:t>软件技术</w:t>
          </w:r>
          <w:r>
            <w:tab/>
          </w:r>
          <w:r>
            <w:fldChar w:fldCharType="begin"/>
          </w:r>
          <w:r>
            <w:instrText xml:space="preserve"> PAGEREF _Toc14502 \h </w:instrText>
          </w:r>
          <w:r>
            <w:fldChar w:fldCharType="separate"/>
          </w:r>
          <w:r>
            <w:t>17</w:t>
          </w:r>
          <w:r>
            <w:fldChar w:fldCharType="end"/>
          </w:r>
          <w:r>
            <w:rPr>
              <w:bCs/>
              <w:color w:val="auto"/>
              <w:lang w:val="zh-CN"/>
            </w:rPr>
            <w:fldChar w:fldCharType="end"/>
          </w:r>
        </w:p>
        <w:p w14:paraId="4C17A43F">
          <w:pPr>
            <w:pStyle w:val="28"/>
            <w:tabs>
              <w:tab w:val="right" w:leader="dot" w:pos="8306"/>
            </w:tabs>
          </w:pPr>
          <w:r>
            <w:rPr>
              <w:bCs/>
              <w:color w:val="auto"/>
              <w:lang w:val="zh-CN"/>
            </w:rPr>
            <w:fldChar w:fldCharType="begin"/>
          </w:r>
          <w:r>
            <w:rPr>
              <w:bCs/>
              <w:lang w:val="zh-CN"/>
            </w:rPr>
            <w:instrText xml:space="preserve"> HYPERLINK \l _Toc9553 </w:instrText>
          </w:r>
          <w:r>
            <w:rPr>
              <w:bCs/>
              <w:lang w:val="zh-CN"/>
            </w:rPr>
            <w:fldChar w:fldCharType="separate"/>
          </w:r>
          <w:r>
            <w:rPr>
              <w:rFonts w:hint="default" w:ascii="宋体" w:hAnsi="宋体"/>
              <w:bCs/>
              <w:szCs w:val="36"/>
            </w:rPr>
            <w:t xml:space="preserve">2.2.3 </w:t>
          </w:r>
          <w:r>
            <w:rPr>
              <w:rFonts w:hint="eastAsia"/>
            </w:rPr>
            <w:t>安全技术</w:t>
          </w:r>
          <w:r>
            <w:tab/>
          </w:r>
          <w:r>
            <w:fldChar w:fldCharType="begin"/>
          </w:r>
          <w:r>
            <w:instrText xml:space="preserve"> PAGEREF _Toc9553 \h </w:instrText>
          </w:r>
          <w:r>
            <w:fldChar w:fldCharType="separate"/>
          </w:r>
          <w:r>
            <w:t>17</w:t>
          </w:r>
          <w:r>
            <w:fldChar w:fldCharType="end"/>
          </w:r>
          <w:r>
            <w:rPr>
              <w:bCs/>
              <w:color w:val="auto"/>
              <w:lang w:val="zh-CN"/>
            </w:rPr>
            <w:fldChar w:fldCharType="end"/>
          </w:r>
        </w:p>
        <w:p w14:paraId="61734B9C">
          <w:pPr>
            <w:pStyle w:val="28"/>
            <w:tabs>
              <w:tab w:val="right" w:leader="dot" w:pos="8306"/>
            </w:tabs>
          </w:pPr>
          <w:r>
            <w:rPr>
              <w:bCs/>
              <w:color w:val="auto"/>
              <w:lang w:val="zh-CN"/>
            </w:rPr>
            <w:fldChar w:fldCharType="begin"/>
          </w:r>
          <w:r>
            <w:rPr>
              <w:bCs/>
              <w:lang w:val="zh-CN"/>
            </w:rPr>
            <w:instrText xml:space="preserve"> HYPERLINK \l _Toc32744 </w:instrText>
          </w:r>
          <w:r>
            <w:rPr>
              <w:bCs/>
              <w:lang w:val="zh-CN"/>
            </w:rPr>
            <w:fldChar w:fldCharType="separate"/>
          </w:r>
          <w:r>
            <w:rPr>
              <w:rFonts w:hint="default" w:ascii="宋体" w:hAnsi="宋体"/>
              <w:bCs/>
              <w:szCs w:val="36"/>
            </w:rPr>
            <w:t xml:space="preserve">2.2.4 </w:t>
          </w:r>
          <w:r>
            <w:rPr>
              <w:rFonts w:hint="eastAsia"/>
            </w:rPr>
            <w:t>总体技术架构设计</w:t>
          </w:r>
          <w:r>
            <w:tab/>
          </w:r>
          <w:r>
            <w:fldChar w:fldCharType="begin"/>
          </w:r>
          <w:r>
            <w:instrText xml:space="preserve"> PAGEREF _Toc32744 \h </w:instrText>
          </w:r>
          <w:r>
            <w:fldChar w:fldCharType="separate"/>
          </w:r>
          <w:r>
            <w:t>18</w:t>
          </w:r>
          <w:r>
            <w:fldChar w:fldCharType="end"/>
          </w:r>
          <w:r>
            <w:rPr>
              <w:bCs/>
              <w:color w:val="auto"/>
              <w:lang w:val="zh-CN"/>
            </w:rPr>
            <w:fldChar w:fldCharType="end"/>
          </w:r>
        </w:p>
        <w:p w14:paraId="0A882002">
          <w:pPr>
            <w:pStyle w:val="28"/>
            <w:tabs>
              <w:tab w:val="right" w:leader="dot" w:pos="8306"/>
            </w:tabs>
          </w:pPr>
          <w:r>
            <w:rPr>
              <w:bCs/>
              <w:color w:val="auto"/>
              <w:lang w:val="zh-CN"/>
            </w:rPr>
            <w:fldChar w:fldCharType="begin"/>
          </w:r>
          <w:r>
            <w:rPr>
              <w:bCs/>
              <w:lang w:val="zh-CN"/>
            </w:rPr>
            <w:instrText xml:space="preserve"> HYPERLINK \l _Toc32267 </w:instrText>
          </w:r>
          <w:r>
            <w:rPr>
              <w:bCs/>
              <w:lang w:val="zh-CN"/>
            </w:rPr>
            <w:fldChar w:fldCharType="separate"/>
          </w:r>
          <w:r>
            <w:rPr>
              <w:rFonts w:hint="default" w:ascii="宋体" w:hAnsi="宋体"/>
              <w:bCs/>
              <w:szCs w:val="36"/>
            </w:rPr>
            <w:t xml:space="preserve">2.2.5 </w:t>
          </w:r>
          <w:r>
            <w:rPr>
              <w:rFonts w:hint="eastAsia"/>
            </w:rPr>
            <w:t>关键系统技术实现</w:t>
          </w:r>
          <w:r>
            <w:tab/>
          </w:r>
          <w:r>
            <w:fldChar w:fldCharType="begin"/>
          </w:r>
          <w:r>
            <w:instrText xml:space="preserve"> PAGEREF _Toc32267 \h </w:instrText>
          </w:r>
          <w:r>
            <w:fldChar w:fldCharType="separate"/>
          </w:r>
          <w:r>
            <w:t>19</w:t>
          </w:r>
          <w:r>
            <w:fldChar w:fldCharType="end"/>
          </w:r>
          <w:r>
            <w:rPr>
              <w:bCs/>
              <w:color w:val="auto"/>
              <w:lang w:val="zh-CN"/>
            </w:rPr>
            <w:fldChar w:fldCharType="end"/>
          </w:r>
        </w:p>
        <w:p w14:paraId="643C2838">
          <w:pPr>
            <w:pStyle w:val="39"/>
            <w:tabs>
              <w:tab w:val="right" w:leader="dot" w:pos="8306"/>
            </w:tabs>
          </w:pPr>
          <w:r>
            <w:rPr>
              <w:bCs/>
              <w:color w:val="auto"/>
              <w:lang w:val="zh-CN"/>
            </w:rPr>
            <w:fldChar w:fldCharType="begin"/>
          </w:r>
          <w:r>
            <w:rPr>
              <w:bCs/>
              <w:lang w:val="zh-CN"/>
            </w:rPr>
            <w:instrText xml:space="preserve"> HYPERLINK \l _Toc19165 </w:instrText>
          </w:r>
          <w:r>
            <w:rPr>
              <w:bCs/>
              <w:lang w:val="zh-CN"/>
            </w:rPr>
            <w:fldChar w:fldCharType="separate"/>
          </w:r>
          <w:r>
            <w:rPr>
              <w:rFonts w:hint="default" w:ascii="宋体" w:hAnsi="宋体"/>
              <w:bCs/>
              <w:szCs w:val="36"/>
              <w:lang w:val="en-US" w:eastAsia="zh-CN"/>
            </w:rPr>
            <w:t xml:space="preserve">2.3 </w:t>
          </w:r>
          <w:r>
            <w:rPr>
              <w:rFonts w:hint="eastAsia"/>
              <w:lang w:val="en-US" w:eastAsia="zh-CN"/>
            </w:rPr>
            <w:t>数字化方案</w:t>
          </w:r>
          <w:r>
            <w:tab/>
          </w:r>
          <w:r>
            <w:fldChar w:fldCharType="begin"/>
          </w:r>
          <w:r>
            <w:instrText xml:space="preserve"> PAGEREF _Toc19165 \h </w:instrText>
          </w:r>
          <w:r>
            <w:fldChar w:fldCharType="separate"/>
          </w:r>
          <w:r>
            <w:t>20</w:t>
          </w:r>
          <w:r>
            <w:fldChar w:fldCharType="end"/>
          </w:r>
          <w:r>
            <w:rPr>
              <w:bCs/>
              <w:color w:val="auto"/>
              <w:lang w:val="zh-CN"/>
            </w:rPr>
            <w:fldChar w:fldCharType="end"/>
          </w:r>
        </w:p>
        <w:p w14:paraId="45940513">
          <w:pPr>
            <w:pStyle w:val="28"/>
            <w:tabs>
              <w:tab w:val="right" w:leader="dot" w:pos="8306"/>
            </w:tabs>
          </w:pPr>
          <w:r>
            <w:rPr>
              <w:bCs/>
              <w:color w:val="auto"/>
              <w:lang w:val="zh-CN"/>
            </w:rPr>
            <w:fldChar w:fldCharType="begin"/>
          </w:r>
          <w:r>
            <w:rPr>
              <w:bCs/>
              <w:lang w:val="zh-CN"/>
            </w:rPr>
            <w:instrText xml:space="preserve"> HYPERLINK \l _Toc31722 </w:instrText>
          </w:r>
          <w:r>
            <w:rPr>
              <w:bCs/>
              <w:lang w:val="zh-CN"/>
            </w:rPr>
            <w:fldChar w:fldCharType="separate"/>
          </w:r>
          <w:r>
            <w:rPr>
              <w:rFonts w:hint="default" w:ascii="宋体" w:hAnsi="宋体"/>
              <w:bCs/>
              <w:szCs w:val="36"/>
              <w:lang w:val="en-US" w:eastAsia="zh-CN"/>
            </w:rPr>
            <w:t xml:space="preserve">2.3.1 </w:t>
          </w:r>
          <w:r>
            <w:rPr>
              <w:rFonts w:hint="eastAsia"/>
              <w:lang w:val="en-US" w:eastAsia="zh-CN"/>
            </w:rPr>
            <w:t>应用系统</w:t>
          </w:r>
          <w:r>
            <w:tab/>
          </w:r>
          <w:r>
            <w:fldChar w:fldCharType="begin"/>
          </w:r>
          <w:r>
            <w:instrText xml:space="preserve"> PAGEREF _Toc31722 \h </w:instrText>
          </w:r>
          <w:r>
            <w:fldChar w:fldCharType="separate"/>
          </w:r>
          <w:r>
            <w:t>20</w:t>
          </w:r>
          <w:r>
            <w:fldChar w:fldCharType="end"/>
          </w:r>
          <w:r>
            <w:rPr>
              <w:bCs/>
              <w:color w:val="auto"/>
              <w:lang w:val="zh-CN"/>
            </w:rPr>
            <w:fldChar w:fldCharType="end"/>
          </w:r>
        </w:p>
        <w:p w14:paraId="3A1A68DC">
          <w:pPr>
            <w:pStyle w:val="28"/>
            <w:tabs>
              <w:tab w:val="right" w:leader="dot" w:pos="8306"/>
            </w:tabs>
          </w:pPr>
          <w:r>
            <w:rPr>
              <w:bCs/>
              <w:color w:val="auto"/>
              <w:lang w:val="zh-CN"/>
            </w:rPr>
            <w:fldChar w:fldCharType="begin"/>
          </w:r>
          <w:r>
            <w:rPr>
              <w:bCs/>
              <w:lang w:val="zh-CN"/>
            </w:rPr>
            <w:instrText xml:space="preserve"> HYPERLINK \l _Toc6824 </w:instrText>
          </w:r>
          <w:r>
            <w:rPr>
              <w:bCs/>
              <w:lang w:val="zh-CN"/>
            </w:rPr>
            <w:fldChar w:fldCharType="separate"/>
          </w:r>
          <w:r>
            <w:rPr>
              <w:rFonts w:hint="default" w:ascii="宋体" w:hAnsi="宋体"/>
              <w:bCs/>
              <w:szCs w:val="36"/>
            </w:rPr>
            <w:t xml:space="preserve">2.3.2 </w:t>
          </w:r>
          <w:r>
            <w:rPr>
              <w:rFonts w:hint="eastAsia"/>
              <w:lang w:val="en-US" w:eastAsia="zh-CN"/>
            </w:rPr>
            <w:t>硬件采购</w:t>
          </w:r>
          <w:r>
            <w:tab/>
          </w:r>
          <w:r>
            <w:fldChar w:fldCharType="begin"/>
          </w:r>
          <w:r>
            <w:instrText xml:space="preserve"> PAGEREF _Toc6824 \h </w:instrText>
          </w:r>
          <w:r>
            <w:fldChar w:fldCharType="separate"/>
          </w:r>
          <w:r>
            <w:t>244</w:t>
          </w:r>
          <w:r>
            <w:fldChar w:fldCharType="end"/>
          </w:r>
          <w:r>
            <w:rPr>
              <w:bCs/>
              <w:color w:val="auto"/>
              <w:lang w:val="zh-CN"/>
            </w:rPr>
            <w:fldChar w:fldCharType="end"/>
          </w:r>
        </w:p>
        <w:p w14:paraId="01610068">
          <w:pPr>
            <w:pStyle w:val="28"/>
            <w:tabs>
              <w:tab w:val="right" w:leader="dot" w:pos="8306"/>
            </w:tabs>
          </w:pPr>
          <w:r>
            <w:rPr>
              <w:bCs/>
              <w:color w:val="auto"/>
              <w:lang w:val="zh-CN"/>
            </w:rPr>
            <w:fldChar w:fldCharType="begin"/>
          </w:r>
          <w:r>
            <w:rPr>
              <w:bCs/>
              <w:lang w:val="zh-CN"/>
            </w:rPr>
            <w:instrText xml:space="preserve"> HYPERLINK \l _Toc32622 </w:instrText>
          </w:r>
          <w:r>
            <w:rPr>
              <w:bCs/>
              <w:lang w:val="zh-CN"/>
            </w:rPr>
            <w:fldChar w:fldCharType="separate"/>
          </w:r>
          <w:r>
            <w:rPr>
              <w:rFonts w:hint="default" w:ascii="宋体" w:hAnsi="宋体"/>
              <w:bCs/>
              <w:szCs w:val="36"/>
              <w:lang w:val="en-US" w:eastAsia="zh-CN"/>
            </w:rPr>
            <w:t xml:space="preserve">2.3.3 </w:t>
          </w:r>
          <w:r>
            <w:rPr>
              <w:rFonts w:hint="eastAsia"/>
              <w:lang w:val="en-US" w:eastAsia="zh-CN"/>
            </w:rPr>
            <w:t>运行维护方案</w:t>
          </w:r>
          <w:r>
            <w:tab/>
          </w:r>
          <w:r>
            <w:fldChar w:fldCharType="begin"/>
          </w:r>
          <w:r>
            <w:instrText xml:space="preserve"> PAGEREF _Toc32622 \h </w:instrText>
          </w:r>
          <w:r>
            <w:fldChar w:fldCharType="separate"/>
          </w:r>
          <w:r>
            <w:t>255</w:t>
          </w:r>
          <w:r>
            <w:fldChar w:fldCharType="end"/>
          </w:r>
          <w:r>
            <w:rPr>
              <w:bCs/>
              <w:color w:val="auto"/>
              <w:lang w:val="zh-CN"/>
            </w:rPr>
            <w:fldChar w:fldCharType="end"/>
          </w:r>
        </w:p>
        <w:p w14:paraId="5AB3B810">
          <w:pPr>
            <w:pStyle w:val="28"/>
            <w:tabs>
              <w:tab w:val="right" w:leader="dot" w:pos="8306"/>
            </w:tabs>
          </w:pPr>
          <w:r>
            <w:rPr>
              <w:bCs/>
              <w:color w:val="auto"/>
              <w:lang w:val="zh-CN"/>
            </w:rPr>
            <w:fldChar w:fldCharType="begin"/>
          </w:r>
          <w:r>
            <w:rPr>
              <w:bCs/>
              <w:lang w:val="zh-CN"/>
            </w:rPr>
            <w:instrText xml:space="preserve"> HYPERLINK \l _Toc18960 </w:instrText>
          </w:r>
          <w:r>
            <w:rPr>
              <w:bCs/>
              <w:lang w:val="zh-CN"/>
            </w:rPr>
            <w:fldChar w:fldCharType="separate"/>
          </w:r>
          <w:r>
            <w:rPr>
              <w:rFonts w:hint="default" w:ascii="宋体" w:hAnsi="宋体"/>
              <w:bCs/>
              <w:szCs w:val="36"/>
              <w:lang w:val="en-US" w:eastAsia="zh-CN"/>
            </w:rPr>
            <w:t xml:space="preserve">2.3.4 </w:t>
          </w:r>
          <w:r>
            <w:rPr>
              <w:rFonts w:hint="eastAsia"/>
              <w:lang w:val="en-US" w:eastAsia="zh-CN"/>
            </w:rPr>
            <w:t>数据备份及存储</w:t>
          </w:r>
          <w:r>
            <w:tab/>
          </w:r>
          <w:r>
            <w:fldChar w:fldCharType="begin"/>
          </w:r>
          <w:r>
            <w:instrText xml:space="preserve"> PAGEREF _Toc18960 \h </w:instrText>
          </w:r>
          <w:r>
            <w:fldChar w:fldCharType="separate"/>
          </w:r>
          <w:r>
            <w:t>255</w:t>
          </w:r>
          <w:r>
            <w:fldChar w:fldCharType="end"/>
          </w:r>
          <w:r>
            <w:rPr>
              <w:bCs/>
              <w:color w:val="auto"/>
              <w:lang w:val="zh-CN"/>
            </w:rPr>
            <w:fldChar w:fldCharType="end"/>
          </w:r>
        </w:p>
        <w:p w14:paraId="1B13D285">
          <w:pPr>
            <w:pStyle w:val="28"/>
            <w:tabs>
              <w:tab w:val="right" w:leader="dot" w:pos="8306"/>
            </w:tabs>
          </w:pPr>
          <w:r>
            <w:rPr>
              <w:bCs/>
              <w:color w:val="auto"/>
              <w:lang w:val="zh-CN"/>
            </w:rPr>
            <w:fldChar w:fldCharType="begin"/>
          </w:r>
          <w:r>
            <w:rPr>
              <w:bCs/>
              <w:lang w:val="zh-CN"/>
            </w:rPr>
            <w:instrText xml:space="preserve"> HYPERLINK \l _Toc2937 </w:instrText>
          </w:r>
          <w:r>
            <w:rPr>
              <w:bCs/>
              <w:lang w:val="zh-CN"/>
            </w:rPr>
            <w:fldChar w:fldCharType="separate"/>
          </w:r>
          <w:r>
            <w:rPr>
              <w:rFonts w:hint="default" w:ascii="宋体" w:hAnsi="宋体"/>
              <w:bCs/>
              <w:szCs w:val="36"/>
            </w:rPr>
            <w:t xml:space="preserve">2.3.5 </w:t>
          </w:r>
          <w:r>
            <w:rPr>
              <w:rFonts w:hint="eastAsia"/>
              <w:highlight w:val="none"/>
            </w:rPr>
            <w:t>国产化要求</w:t>
          </w:r>
          <w:r>
            <w:tab/>
          </w:r>
          <w:r>
            <w:fldChar w:fldCharType="begin"/>
          </w:r>
          <w:r>
            <w:instrText xml:space="preserve"> PAGEREF _Toc2937 \h </w:instrText>
          </w:r>
          <w:r>
            <w:fldChar w:fldCharType="separate"/>
          </w:r>
          <w:r>
            <w:t>256</w:t>
          </w:r>
          <w:r>
            <w:fldChar w:fldCharType="end"/>
          </w:r>
          <w:r>
            <w:rPr>
              <w:bCs/>
              <w:color w:val="auto"/>
              <w:lang w:val="zh-CN"/>
            </w:rPr>
            <w:fldChar w:fldCharType="end"/>
          </w:r>
        </w:p>
        <w:p w14:paraId="71C27A73">
          <w:pPr>
            <w:pStyle w:val="39"/>
            <w:tabs>
              <w:tab w:val="right" w:leader="dot" w:pos="8306"/>
            </w:tabs>
          </w:pPr>
          <w:r>
            <w:rPr>
              <w:bCs/>
              <w:color w:val="auto"/>
              <w:lang w:val="zh-CN"/>
            </w:rPr>
            <w:fldChar w:fldCharType="begin"/>
          </w:r>
          <w:r>
            <w:rPr>
              <w:bCs/>
              <w:lang w:val="zh-CN"/>
            </w:rPr>
            <w:instrText xml:space="preserve"> HYPERLINK \l _Toc32447 </w:instrText>
          </w:r>
          <w:r>
            <w:rPr>
              <w:bCs/>
              <w:lang w:val="zh-CN"/>
            </w:rPr>
            <w:fldChar w:fldCharType="separate"/>
          </w:r>
          <w:r>
            <w:rPr>
              <w:rFonts w:hint="default" w:ascii="宋体" w:hAnsi="宋体"/>
              <w:bCs/>
              <w:szCs w:val="36"/>
              <w:lang w:val="en-US" w:eastAsia="zh-CN"/>
            </w:rPr>
            <w:t xml:space="preserve">2.4 </w:t>
          </w:r>
          <w:r>
            <w:rPr>
              <w:rFonts w:hint="eastAsia"/>
              <w:lang w:val="en-US" w:eastAsia="zh-CN"/>
            </w:rPr>
            <w:t>信息安全保障及密码应用方案</w:t>
          </w:r>
          <w:r>
            <w:tab/>
          </w:r>
          <w:r>
            <w:fldChar w:fldCharType="begin"/>
          </w:r>
          <w:r>
            <w:instrText xml:space="preserve"> PAGEREF _Toc32447 \h </w:instrText>
          </w:r>
          <w:r>
            <w:fldChar w:fldCharType="separate"/>
          </w:r>
          <w:r>
            <w:t>257</w:t>
          </w:r>
          <w:r>
            <w:fldChar w:fldCharType="end"/>
          </w:r>
          <w:r>
            <w:rPr>
              <w:bCs/>
              <w:color w:val="auto"/>
              <w:lang w:val="zh-CN"/>
            </w:rPr>
            <w:fldChar w:fldCharType="end"/>
          </w:r>
        </w:p>
        <w:p w14:paraId="610E5DA1">
          <w:pPr>
            <w:pStyle w:val="28"/>
            <w:tabs>
              <w:tab w:val="right" w:leader="dot" w:pos="8306"/>
            </w:tabs>
          </w:pPr>
          <w:r>
            <w:rPr>
              <w:bCs/>
              <w:color w:val="auto"/>
              <w:lang w:val="zh-CN"/>
            </w:rPr>
            <w:fldChar w:fldCharType="begin"/>
          </w:r>
          <w:r>
            <w:rPr>
              <w:bCs/>
              <w:lang w:val="zh-CN"/>
            </w:rPr>
            <w:instrText xml:space="preserve"> HYPERLINK \l _Toc27678 </w:instrText>
          </w:r>
          <w:r>
            <w:rPr>
              <w:bCs/>
              <w:lang w:val="zh-CN"/>
            </w:rPr>
            <w:fldChar w:fldCharType="separate"/>
          </w:r>
          <w:r>
            <w:rPr>
              <w:rFonts w:hint="default" w:ascii="宋体" w:hAnsi="宋体" w:eastAsia="宋体" w:cs="Times New Roman"/>
              <w:bCs/>
              <w:kern w:val="2"/>
              <w:szCs w:val="36"/>
              <w:lang w:val="en-US" w:eastAsia="zh-CN" w:bidi="ar-SA"/>
            </w:rPr>
            <w:t xml:space="preserve">2.4.1 </w:t>
          </w:r>
          <w:r>
            <w:rPr>
              <w:rFonts w:hint="eastAsia"/>
            </w:rPr>
            <w:t>安全架构图</w:t>
          </w:r>
          <w:r>
            <w:tab/>
          </w:r>
          <w:r>
            <w:fldChar w:fldCharType="begin"/>
          </w:r>
          <w:r>
            <w:instrText xml:space="preserve"> PAGEREF _Toc27678 \h </w:instrText>
          </w:r>
          <w:r>
            <w:fldChar w:fldCharType="separate"/>
          </w:r>
          <w:r>
            <w:t>257</w:t>
          </w:r>
          <w:r>
            <w:fldChar w:fldCharType="end"/>
          </w:r>
          <w:r>
            <w:rPr>
              <w:bCs/>
              <w:color w:val="auto"/>
              <w:lang w:val="zh-CN"/>
            </w:rPr>
            <w:fldChar w:fldCharType="end"/>
          </w:r>
        </w:p>
        <w:p w14:paraId="0571F282">
          <w:pPr>
            <w:pStyle w:val="28"/>
            <w:tabs>
              <w:tab w:val="right" w:leader="dot" w:pos="8306"/>
            </w:tabs>
          </w:pPr>
          <w:r>
            <w:rPr>
              <w:bCs/>
              <w:color w:val="auto"/>
              <w:lang w:val="zh-CN"/>
            </w:rPr>
            <w:fldChar w:fldCharType="begin"/>
          </w:r>
          <w:r>
            <w:rPr>
              <w:bCs/>
              <w:lang w:val="zh-CN"/>
            </w:rPr>
            <w:instrText xml:space="preserve"> HYPERLINK \l _Toc17756 </w:instrText>
          </w:r>
          <w:r>
            <w:rPr>
              <w:bCs/>
              <w:lang w:val="zh-CN"/>
            </w:rPr>
            <w:fldChar w:fldCharType="separate"/>
          </w:r>
          <w:r>
            <w:rPr>
              <w:rFonts w:hint="default" w:ascii="宋体" w:hAnsi="宋体"/>
              <w:bCs/>
              <w:szCs w:val="36"/>
            </w:rPr>
            <w:t xml:space="preserve">2.4.2 </w:t>
          </w:r>
          <w:r>
            <w:rPr>
              <w:rFonts w:hint="eastAsia"/>
            </w:rPr>
            <w:t>安全等级预评估</w:t>
          </w:r>
          <w:r>
            <w:tab/>
          </w:r>
          <w:r>
            <w:fldChar w:fldCharType="begin"/>
          </w:r>
          <w:r>
            <w:instrText xml:space="preserve"> PAGEREF _Toc17756 \h </w:instrText>
          </w:r>
          <w:r>
            <w:fldChar w:fldCharType="separate"/>
          </w:r>
          <w:r>
            <w:t>258</w:t>
          </w:r>
          <w:r>
            <w:fldChar w:fldCharType="end"/>
          </w:r>
          <w:r>
            <w:rPr>
              <w:bCs/>
              <w:color w:val="auto"/>
              <w:lang w:val="zh-CN"/>
            </w:rPr>
            <w:fldChar w:fldCharType="end"/>
          </w:r>
        </w:p>
        <w:p w14:paraId="333CCCA4">
          <w:pPr>
            <w:pStyle w:val="28"/>
            <w:tabs>
              <w:tab w:val="right" w:leader="dot" w:pos="8306"/>
            </w:tabs>
          </w:pPr>
          <w:r>
            <w:rPr>
              <w:bCs/>
              <w:color w:val="auto"/>
              <w:lang w:val="zh-CN"/>
            </w:rPr>
            <w:fldChar w:fldCharType="begin"/>
          </w:r>
          <w:r>
            <w:rPr>
              <w:bCs/>
              <w:lang w:val="zh-CN"/>
            </w:rPr>
            <w:instrText xml:space="preserve"> HYPERLINK \l _Toc12476 </w:instrText>
          </w:r>
          <w:r>
            <w:rPr>
              <w:bCs/>
              <w:lang w:val="zh-CN"/>
            </w:rPr>
            <w:fldChar w:fldCharType="separate"/>
          </w:r>
          <w:r>
            <w:rPr>
              <w:rFonts w:hint="default" w:ascii="宋体" w:hAnsi="宋体"/>
              <w:bCs/>
              <w:szCs w:val="36"/>
            </w:rPr>
            <w:t xml:space="preserve">2.4.3 </w:t>
          </w:r>
          <w:r>
            <w:rPr>
              <w:rFonts w:hint="eastAsia"/>
              <w:highlight w:val="none"/>
            </w:rPr>
            <w:t>安全</w:t>
          </w:r>
          <w:r>
            <w:rPr>
              <w:rFonts w:hint="eastAsia"/>
              <w:highlight w:val="none"/>
              <w:lang w:val="en-US" w:eastAsia="zh-CN"/>
            </w:rPr>
            <w:t>现状</w:t>
          </w:r>
          <w:r>
            <w:tab/>
          </w:r>
          <w:r>
            <w:fldChar w:fldCharType="begin"/>
          </w:r>
          <w:r>
            <w:instrText xml:space="preserve"> PAGEREF _Toc12476 \h </w:instrText>
          </w:r>
          <w:r>
            <w:fldChar w:fldCharType="separate"/>
          </w:r>
          <w:r>
            <w:t>260</w:t>
          </w:r>
          <w:r>
            <w:fldChar w:fldCharType="end"/>
          </w:r>
          <w:r>
            <w:rPr>
              <w:bCs/>
              <w:color w:val="auto"/>
              <w:lang w:val="zh-CN"/>
            </w:rPr>
            <w:fldChar w:fldCharType="end"/>
          </w:r>
        </w:p>
        <w:p w14:paraId="72E20884">
          <w:pPr>
            <w:pStyle w:val="28"/>
            <w:tabs>
              <w:tab w:val="right" w:leader="dot" w:pos="8306"/>
            </w:tabs>
          </w:pPr>
          <w:r>
            <w:rPr>
              <w:bCs/>
              <w:color w:val="auto"/>
              <w:lang w:val="zh-CN"/>
            </w:rPr>
            <w:fldChar w:fldCharType="begin"/>
          </w:r>
          <w:r>
            <w:rPr>
              <w:bCs/>
              <w:lang w:val="zh-CN"/>
            </w:rPr>
            <w:instrText xml:space="preserve"> HYPERLINK \l _Toc14275 </w:instrText>
          </w:r>
          <w:r>
            <w:rPr>
              <w:bCs/>
              <w:lang w:val="zh-CN"/>
            </w:rPr>
            <w:fldChar w:fldCharType="separate"/>
          </w:r>
          <w:r>
            <w:rPr>
              <w:rFonts w:hint="default" w:ascii="宋体" w:hAnsi="宋体"/>
              <w:bCs/>
              <w:szCs w:val="36"/>
            </w:rPr>
            <w:t xml:space="preserve">2.4.4 </w:t>
          </w:r>
          <w:r>
            <w:rPr>
              <w:rFonts w:hint="eastAsia"/>
            </w:rPr>
            <w:t>安全物理环境设计</w:t>
          </w:r>
          <w:r>
            <w:tab/>
          </w:r>
          <w:r>
            <w:fldChar w:fldCharType="begin"/>
          </w:r>
          <w:r>
            <w:instrText xml:space="preserve"> PAGEREF _Toc14275 \h </w:instrText>
          </w:r>
          <w:r>
            <w:fldChar w:fldCharType="separate"/>
          </w:r>
          <w:r>
            <w:t>262</w:t>
          </w:r>
          <w:r>
            <w:fldChar w:fldCharType="end"/>
          </w:r>
          <w:r>
            <w:rPr>
              <w:bCs/>
              <w:color w:val="auto"/>
              <w:lang w:val="zh-CN"/>
            </w:rPr>
            <w:fldChar w:fldCharType="end"/>
          </w:r>
        </w:p>
        <w:p w14:paraId="639595CD">
          <w:pPr>
            <w:pStyle w:val="28"/>
            <w:tabs>
              <w:tab w:val="right" w:leader="dot" w:pos="8306"/>
            </w:tabs>
          </w:pPr>
          <w:r>
            <w:rPr>
              <w:bCs/>
              <w:color w:val="auto"/>
              <w:lang w:val="zh-CN"/>
            </w:rPr>
            <w:fldChar w:fldCharType="begin"/>
          </w:r>
          <w:r>
            <w:rPr>
              <w:bCs/>
              <w:lang w:val="zh-CN"/>
            </w:rPr>
            <w:instrText xml:space="preserve"> HYPERLINK \l _Toc31724 </w:instrText>
          </w:r>
          <w:r>
            <w:rPr>
              <w:bCs/>
              <w:lang w:val="zh-CN"/>
            </w:rPr>
            <w:fldChar w:fldCharType="separate"/>
          </w:r>
          <w:r>
            <w:rPr>
              <w:rFonts w:hint="default" w:ascii="宋体" w:hAnsi="宋体"/>
              <w:bCs/>
              <w:szCs w:val="36"/>
            </w:rPr>
            <w:t xml:space="preserve">2.4.5 </w:t>
          </w:r>
          <w:r>
            <w:rPr>
              <w:rFonts w:hint="eastAsia"/>
            </w:rPr>
            <w:t>安全通信网络设计</w:t>
          </w:r>
          <w:r>
            <w:tab/>
          </w:r>
          <w:r>
            <w:fldChar w:fldCharType="begin"/>
          </w:r>
          <w:r>
            <w:instrText xml:space="preserve"> PAGEREF _Toc31724 \h </w:instrText>
          </w:r>
          <w:r>
            <w:fldChar w:fldCharType="separate"/>
          </w:r>
          <w:r>
            <w:t>264</w:t>
          </w:r>
          <w:r>
            <w:fldChar w:fldCharType="end"/>
          </w:r>
          <w:r>
            <w:rPr>
              <w:bCs/>
              <w:color w:val="auto"/>
              <w:lang w:val="zh-CN"/>
            </w:rPr>
            <w:fldChar w:fldCharType="end"/>
          </w:r>
        </w:p>
        <w:p w14:paraId="30DCBC69">
          <w:pPr>
            <w:pStyle w:val="28"/>
            <w:tabs>
              <w:tab w:val="right" w:leader="dot" w:pos="8306"/>
            </w:tabs>
          </w:pPr>
          <w:r>
            <w:rPr>
              <w:bCs/>
              <w:color w:val="auto"/>
              <w:lang w:val="zh-CN"/>
            </w:rPr>
            <w:fldChar w:fldCharType="begin"/>
          </w:r>
          <w:r>
            <w:rPr>
              <w:bCs/>
              <w:lang w:val="zh-CN"/>
            </w:rPr>
            <w:instrText xml:space="preserve"> HYPERLINK \l _Toc17825 </w:instrText>
          </w:r>
          <w:r>
            <w:rPr>
              <w:bCs/>
              <w:lang w:val="zh-CN"/>
            </w:rPr>
            <w:fldChar w:fldCharType="separate"/>
          </w:r>
          <w:r>
            <w:rPr>
              <w:rFonts w:hint="default" w:ascii="宋体" w:hAnsi="宋体" w:eastAsia="宋体" w:cs="Times New Roman"/>
              <w:bCs/>
              <w:kern w:val="2"/>
              <w:szCs w:val="36"/>
              <w:lang w:val="en-US" w:eastAsia="zh-CN" w:bidi="ar-SA"/>
            </w:rPr>
            <w:t xml:space="preserve">2.4.6 </w:t>
          </w:r>
          <w:r>
            <w:rPr>
              <w:rFonts w:hint="eastAsia" w:cs="Times New Roman"/>
              <w:kern w:val="2"/>
              <w:szCs w:val="24"/>
              <w:highlight w:val="none"/>
              <w:lang w:val="en-US" w:eastAsia="zh-CN" w:bidi="ar-SA"/>
            </w:rPr>
            <w:t>IPV6规模部署和应用情况</w:t>
          </w:r>
          <w:r>
            <w:tab/>
          </w:r>
          <w:r>
            <w:fldChar w:fldCharType="begin"/>
          </w:r>
          <w:r>
            <w:instrText xml:space="preserve"> PAGEREF _Toc17825 \h </w:instrText>
          </w:r>
          <w:r>
            <w:fldChar w:fldCharType="separate"/>
          </w:r>
          <w:r>
            <w:t>266</w:t>
          </w:r>
          <w:r>
            <w:fldChar w:fldCharType="end"/>
          </w:r>
          <w:r>
            <w:rPr>
              <w:bCs/>
              <w:color w:val="auto"/>
              <w:lang w:val="zh-CN"/>
            </w:rPr>
            <w:fldChar w:fldCharType="end"/>
          </w:r>
        </w:p>
        <w:p w14:paraId="3BF5D4DF">
          <w:pPr>
            <w:pStyle w:val="28"/>
            <w:tabs>
              <w:tab w:val="right" w:leader="dot" w:pos="8306"/>
            </w:tabs>
          </w:pPr>
          <w:r>
            <w:rPr>
              <w:bCs/>
              <w:color w:val="auto"/>
              <w:lang w:val="zh-CN"/>
            </w:rPr>
            <w:fldChar w:fldCharType="begin"/>
          </w:r>
          <w:r>
            <w:rPr>
              <w:bCs/>
              <w:lang w:val="zh-CN"/>
            </w:rPr>
            <w:instrText xml:space="preserve"> HYPERLINK \l _Toc33 </w:instrText>
          </w:r>
          <w:r>
            <w:rPr>
              <w:bCs/>
              <w:lang w:val="zh-CN"/>
            </w:rPr>
            <w:fldChar w:fldCharType="separate"/>
          </w:r>
          <w:r>
            <w:rPr>
              <w:rFonts w:hint="default" w:ascii="宋体" w:hAnsi="宋体"/>
              <w:bCs/>
              <w:szCs w:val="36"/>
            </w:rPr>
            <w:t xml:space="preserve">2.4.7 </w:t>
          </w:r>
          <w:r>
            <w:rPr>
              <w:rFonts w:hint="eastAsia"/>
            </w:rPr>
            <w:t>安全区域边界设计</w:t>
          </w:r>
          <w:r>
            <w:tab/>
          </w:r>
          <w:r>
            <w:fldChar w:fldCharType="begin"/>
          </w:r>
          <w:r>
            <w:instrText xml:space="preserve"> PAGEREF _Toc33 \h </w:instrText>
          </w:r>
          <w:r>
            <w:fldChar w:fldCharType="separate"/>
          </w:r>
          <w:r>
            <w:t>268</w:t>
          </w:r>
          <w:r>
            <w:fldChar w:fldCharType="end"/>
          </w:r>
          <w:r>
            <w:rPr>
              <w:bCs/>
              <w:color w:val="auto"/>
              <w:lang w:val="zh-CN"/>
            </w:rPr>
            <w:fldChar w:fldCharType="end"/>
          </w:r>
        </w:p>
        <w:p w14:paraId="2254F1B6">
          <w:pPr>
            <w:pStyle w:val="28"/>
            <w:tabs>
              <w:tab w:val="right" w:leader="dot" w:pos="8306"/>
            </w:tabs>
          </w:pPr>
          <w:r>
            <w:rPr>
              <w:bCs/>
              <w:color w:val="auto"/>
              <w:lang w:val="zh-CN"/>
            </w:rPr>
            <w:fldChar w:fldCharType="begin"/>
          </w:r>
          <w:r>
            <w:rPr>
              <w:bCs/>
              <w:lang w:val="zh-CN"/>
            </w:rPr>
            <w:instrText xml:space="preserve"> HYPERLINK \l _Toc15161 </w:instrText>
          </w:r>
          <w:r>
            <w:rPr>
              <w:bCs/>
              <w:lang w:val="zh-CN"/>
            </w:rPr>
            <w:fldChar w:fldCharType="separate"/>
          </w:r>
          <w:r>
            <w:rPr>
              <w:rFonts w:hint="default" w:ascii="宋体" w:hAnsi="宋体"/>
              <w:bCs/>
              <w:szCs w:val="36"/>
            </w:rPr>
            <w:t xml:space="preserve">2.4.8 </w:t>
          </w:r>
          <w:r>
            <w:rPr>
              <w:rFonts w:hint="eastAsia"/>
            </w:rPr>
            <w:t>安全计算环境设计</w:t>
          </w:r>
          <w:r>
            <w:tab/>
          </w:r>
          <w:r>
            <w:fldChar w:fldCharType="begin"/>
          </w:r>
          <w:r>
            <w:instrText xml:space="preserve"> PAGEREF _Toc15161 \h </w:instrText>
          </w:r>
          <w:r>
            <w:fldChar w:fldCharType="separate"/>
          </w:r>
          <w:r>
            <w:t>276</w:t>
          </w:r>
          <w:r>
            <w:fldChar w:fldCharType="end"/>
          </w:r>
          <w:r>
            <w:rPr>
              <w:bCs/>
              <w:color w:val="auto"/>
              <w:lang w:val="zh-CN"/>
            </w:rPr>
            <w:fldChar w:fldCharType="end"/>
          </w:r>
        </w:p>
        <w:p w14:paraId="2EB9951B">
          <w:pPr>
            <w:pStyle w:val="28"/>
            <w:tabs>
              <w:tab w:val="right" w:leader="dot" w:pos="8306"/>
            </w:tabs>
          </w:pPr>
          <w:r>
            <w:rPr>
              <w:bCs/>
              <w:color w:val="auto"/>
              <w:lang w:val="zh-CN"/>
            </w:rPr>
            <w:fldChar w:fldCharType="begin"/>
          </w:r>
          <w:r>
            <w:rPr>
              <w:bCs/>
              <w:lang w:val="zh-CN"/>
            </w:rPr>
            <w:instrText xml:space="preserve"> HYPERLINK \l _Toc30170 </w:instrText>
          </w:r>
          <w:r>
            <w:rPr>
              <w:bCs/>
              <w:lang w:val="zh-CN"/>
            </w:rPr>
            <w:fldChar w:fldCharType="separate"/>
          </w:r>
          <w:r>
            <w:rPr>
              <w:rFonts w:hint="default" w:ascii="宋体" w:hAnsi="宋体" w:eastAsia="宋体" w:cs="宋体"/>
              <w:bCs/>
              <w:szCs w:val="36"/>
              <w:lang w:val="en-US" w:eastAsia="zh-CN"/>
            </w:rPr>
            <w:t xml:space="preserve">2.4.9 </w:t>
          </w:r>
          <w:r>
            <w:rPr>
              <w:rFonts w:hint="eastAsia"/>
            </w:rPr>
            <w:t>安全管理中心设计</w:t>
          </w:r>
          <w:r>
            <w:tab/>
          </w:r>
          <w:r>
            <w:fldChar w:fldCharType="begin"/>
          </w:r>
          <w:r>
            <w:instrText xml:space="preserve"> PAGEREF _Toc30170 \h </w:instrText>
          </w:r>
          <w:r>
            <w:fldChar w:fldCharType="separate"/>
          </w:r>
          <w:r>
            <w:t>288</w:t>
          </w:r>
          <w:r>
            <w:fldChar w:fldCharType="end"/>
          </w:r>
          <w:r>
            <w:rPr>
              <w:bCs/>
              <w:color w:val="auto"/>
              <w:lang w:val="zh-CN"/>
            </w:rPr>
            <w:fldChar w:fldCharType="end"/>
          </w:r>
        </w:p>
        <w:p w14:paraId="7822BB18">
          <w:pPr>
            <w:pStyle w:val="28"/>
            <w:tabs>
              <w:tab w:val="right" w:leader="dot" w:pos="8306"/>
            </w:tabs>
          </w:pPr>
          <w:r>
            <w:rPr>
              <w:bCs/>
              <w:color w:val="auto"/>
              <w:lang w:val="zh-CN"/>
            </w:rPr>
            <w:fldChar w:fldCharType="begin"/>
          </w:r>
          <w:r>
            <w:rPr>
              <w:bCs/>
              <w:lang w:val="zh-CN"/>
            </w:rPr>
            <w:instrText xml:space="preserve"> HYPERLINK \l _Toc16169 </w:instrText>
          </w:r>
          <w:r>
            <w:rPr>
              <w:bCs/>
              <w:lang w:val="zh-CN"/>
            </w:rPr>
            <w:fldChar w:fldCharType="separate"/>
          </w:r>
          <w:r>
            <w:rPr>
              <w:rFonts w:hint="default" w:ascii="宋体" w:hAnsi="宋体"/>
              <w:bCs/>
              <w:szCs w:val="36"/>
            </w:rPr>
            <w:t xml:space="preserve">2.4.10 </w:t>
          </w:r>
          <w:r>
            <w:rPr>
              <w:rFonts w:hint="eastAsia"/>
            </w:rPr>
            <w:t>数据安全</w:t>
          </w:r>
          <w:r>
            <w:tab/>
          </w:r>
          <w:r>
            <w:fldChar w:fldCharType="begin"/>
          </w:r>
          <w:r>
            <w:instrText xml:space="preserve"> PAGEREF _Toc16169 \h </w:instrText>
          </w:r>
          <w:r>
            <w:fldChar w:fldCharType="separate"/>
          </w:r>
          <w:r>
            <w:t>296</w:t>
          </w:r>
          <w:r>
            <w:fldChar w:fldCharType="end"/>
          </w:r>
          <w:r>
            <w:rPr>
              <w:bCs/>
              <w:color w:val="auto"/>
              <w:lang w:val="zh-CN"/>
            </w:rPr>
            <w:fldChar w:fldCharType="end"/>
          </w:r>
        </w:p>
        <w:p w14:paraId="1CD9A3C0">
          <w:pPr>
            <w:pStyle w:val="28"/>
            <w:tabs>
              <w:tab w:val="right" w:leader="dot" w:pos="8306"/>
            </w:tabs>
          </w:pPr>
          <w:r>
            <w:rPr>
              <w:bCs/>
              <w:color w:val="auto"/>
              <w:lang w:val="zh-CN"/>
            </w:rPr>
            <w:fldChar w:fldCharType="begin"/>
          </w:r>
          <w:r>
            <w:rPr>
              <w:bCs/>
              <w:lang w:val="zh-CN"/>
            </w:rPr>
            <w:instrText xml:space="preserve"> HYPERLINK \l _Toc219 </w:instrText>
          </w:r>
          <w:r>
            <w:rPr>
              <w:bCs/>
              <w:lang w:val="zh-CN"/>
            </w:rPr>
            <w:fldChar w:fldCharType="separate"/>
          </w:r>
          <w:r>
            <w:rPr>
              <w:rFonts w:hint="default" w:ascii="宋体" w:hAnsi="宋体"/>
              <w:bCs/>
              <w:szCs w:val="36"/>
            </w:rPr>
            <w:t xml:space="preserve">2.4.11 </w:t>
          </w:r>
          <w:r>
            <w:rPr>
              <w:rFonts w:hint="eastAsia"/>
            </w:rPr>
            <w:t>密码应用</w:t>
          </w:r>
          <w:r>
            <w:rPr>
              <w:rFonts w:hint="eastAsia"/>
              <w:lang w:val="en-US" w:eastAsia="zh-CN"/>
            </w:rPr>
            <w:t>方案</w:t>
          </w:r>
          <w:r>
            <w:tab/>
          </w:r>
          <w:r>
            <w:fldChar w:fldCharType="begin"/>
          </w:r>
          <w:r>
            <w:instrText xml:space="preserve"> PAGEREF _Toc219 \h </w:instrText>
          </w:r>
          <w:r>
            <w:fldChar w:fldCharType="separate"/>
          </w:r>
          <w:r>
            <w:t>301</w:t>
          </w:r>
          <w:r>
            <w:fldChar w:fldCharType="end"/>
          </w:r>
          <w:r>
            <w:rPr>
              <w:bCs/>
              <w:color w:val="auto"/>
              <w:lang w:val="zh-CN"/>
            </w:rPr>
            <w:fldChar w:fldCharType="end"/>
          </w:r>
        </w:p>
        <w:p w14:paraId="7E2BBA62">
          <w:pPr>
            <w:pStyle w:val="36"/>
            <w:tabs>
              <w:tab w:val="right" w:leader="dot" w:pos="8306"/>
            </w:tabs>
            <w:rPr>
              <w:rFonts w:hint="eastAsia"/>
              <w:color w:val="auto"/>
            </w:rPr>
          </w:pPr>
          <w:r>
            <w:rPr>
              <w:bCs/>
              <w:color w:val="auto"/>
              <w:lang w:val="zh-CN"/>
            </w:rPr>
            <w:fldChar w:fldCharType="end"/>
          </w:r>
        </w:p>
      </w:sdtContent>
    </w:sdt>
    <w:p w14:paraId="3F1CB2B8">
      <w:pPr>
        <w:pStyle w:val="63"/>
        <w:keepNext/>
        <w:keepLines w:val="0"/>
        <w:pageBreakBefore/>
        <w:widowControl w:val="0"/>
        <w:numPr>
          <w:ilvl w:val="0"/>
          <w:numId w:val="13"/>
        </w:numPr>
        <w:kinsoku/>
        <w:wordWrap/>
        <w:overflowPunct/>
        <w:topLinePunct w:val="0"/>
        <w:autoSpaceDE/>
        <w:autoSpaceDN/>
        <w:bidi w:val="0"/>
        <w:adjustRightInd/>
        <w:snapToGrid/>
        <w:ind w:left="0" w:firstLine="0"/>
        <w:textAlignment w:val="auto"/>
        <w:rPr>
          <w:rFonts w:hint="eastAsia"/>
          <w:color w:val="auto"/>
          <w:sz w:val="32"/>
          <w:szCs w:val="32"/>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4" w:name="_Toc107904371"/>
      <w:bookmarkEnd w:id="4"/>
      <w:bookmarkStart w:id="5" w:name="_Toc400960599"/>
      <w:bookmarkEnd w:id="5"/>
      <w:bookmarkStart w:id="6" w:name="_Toc3151"/>
      <w:bookmarkStart w:id="7" w:name="_Toc143680631"/>
      <w:bookmarkStart w:id="8" w:name="_Toc21817"/>
      <w:bookmarkStart w:id="9" w:name="_Toc2218"/>
    </w:p>
    <w:p w14:paraId="546F99D6">
      <w:pPr>
        <w:pStyle w:val="5"/>
        <w:bidi w:val="0"/>
        <w:ind w:left="432" w:leftChars="0" w:hanging="432" w:firstLineChars="0"/>
        <w:rPr>
          <w:rFonts w:hint="eastAsia"/>
          <w:color w:val="auto"/>
        </w:rPr>
      </w:pPr>
      <w:bookmarkStart w:id="10" w:name="_Toc21499"/>
      <w:r>
        <w:rPr>
          <w:rFonts w:hint="eastAsia"/>
          <w:color w:val="auto"/>
        </w:rPr>
        <w:t>项目概述</w:t>
      </w:r>
      <w:bookmarkEnd w:id="6"/>
      <w:bookmarkEnd w:id="7"/>
      <w:bookmarkEnd w:id="8"/>
      <w:bookmarkEnd w:id="10"/>
    </w:p>
    <w:p w14:paraId="54AF818E">
      <w:pPr>
        <w:pStyle w:val="6"/>
        <w:bidi w:val="0"/>
        <w:ind w:left="575" w:leftChars="0" w:hanging="575" w:firstLineChars="0"/>
        <w:rPr>
          <w:rFonts w:hint="default"/>
          <w:color w:val="auto"/>
          <w:lang w:val="en-US" w:eastAsia="zh-CN"/>
        </w:rPr>
      </w:pPr>
      <w:bookmarkStart w:id="11" w:name="_Toc8586"/>
      <w:bookmarkStart w:id="12" w:name="_Toc3834"/>
      <w:bookmarkStart w:id="13" w:name="_Toc24483"/>
      <w:bookmarkStart w:id="14" w:name="_Toc5460"/>
      <w:r>
        <w:rPr>
          <w:rFonts w:hint="eastAsia"/>
          <w:color w:val="auto"/>
          <w:lang w:val="en-US" w:eastAsia="zh-CN"/>
        </w:rPr>
        <w:t>建设目标、规模、内容、建设期</w:t>
      </w:r>
      <w:bookmarkEnd w:id="11"/>
    </w:p>
    <w:p w14:paraId="141C38AD">
      <w:pPr>
        <w:pStyle w:val="10"/>
        <w:bidi w:val="0"/>
        <w:ind w:left="720" w:leftChars="0" w:hanging="720" w:firstLineChars="0"/>
        <w:rPr>
          <w:rFonts w:hint="eastAsia"/>
          <w:color w:val="auto"/>
        </w:rPr>
      </w:pPr>
      <w:bookmarkStart w:id="15" w:name="_Toc8378"/>
      <w:bookmarkStart w:id="16" w:name="_Toc1492"/>
      <w:r>
        <w:rPr>
          <w:rFonts w:hint="eastAsia"/>
          <w:color w:val="auto"/>
          <w:lang w:val="en-US" w:eastAsia="zh-CN"/>
        </w:rPr>
        <w:t>总体</w:t>
      </w:r>
      <w:r>
        <w:rPr>
          <w:rFonts w:hint="eastAsia"/>
          <w:color w:val="auto"/>
        </w:rPr>
        <w:t>建设目标</w:t>
      </w:r>
      <w:bookmarkEnd w:id="15"/>
      <w:r>
        <w:rPr>
          <w:rFonts w:hint="eastAsia"/>
          <w:color w:val="auto"/>
          <w:lang w:val="en-US" w:eastAsia="zh-CN"/>
        </w:rPr>
        <w:t>和任务</w:t>
      </w:r>
      <w:bookmarkEnd w:id="16"/>
    </w:p>
    <w:p w14:paraId="5FCFED2E">
      <w:pPr>
        <w:bidi w:val="0"/>
        <w:rPr>
          <w:rFonts w:hint="eastAsia"/>
          <w:color w:val="auto"/>
        </w:rPr>
      </w:pPr>
      <w:r>
        <w:rPr>
          <w:rFonts w:hint="eastAsia"/>
          <w:color w:val="auto"/>
        </w:rPr>
        <w:t>本次</w:t>
      </w:r>
      <w:r>
        <w:rPr>
          <w:rFonts w:hint="eastAsia"/>
          <w:color w:val="auto"/>
          <w:lang w:val="en-US" w:eastAsia="zh-CN"/>
        </w:rPr>
        <w:t>樟树市人民医院院内信息化建设项目</w:t>
      </w:r>
      <w:r>
        <w:rPr>
          <w:rFonts w:hint="eastAsia"/>
          <w:color w:val="auto"/>
        </w:rPr>
        <w:t>将按照顶层架构整体设计、分步实施、持续改进的总体策略来规划。秉承“以患者为中心、以业务人员为主体，全面提升决策、管理和诊疗水平”的设计理念，遵循国内医疗卫生相关标准和政策，</w:t>
      </w:r>
      <w:r>
        <w:rPr>
          <w:rFonts w:hint="eastAsia"/>
          <w:b/>
          <w:bCs/>
          <w:color w:val="auto"/>
        </w:rPr>
        <w:t>以</w:t>
      </w:r>
      <w:r>
        <w:rPr>
          <w:rFonts w:hint="eastAsia"/>
          <w:b/>
          <w:bCs/>
          <w:color w:val="auto"/>
          <w:lang w:val="en-US" w:eastAsia="zh-CN"/>
        </w:rPr>
        <w:t>《电子病历系统应用水平分级评价标准（试行）》四级标准</w:t>
      </w:r>
      <w:r>
        <w:rPr>
          <w:rFonts w:hint="eastAsia"/>
          <w:color w:val="auto"/>
          <w:lang w:val="en-US" w:eastAsia="zh-CN"/>
        </w:rPr>
        <w:t>，</w:t>
      </w:r>
      <w:r>
        <w:rPr>
          <w:rFonts w:hint="eastAsia"/>
          <w:color w:val="auto"/>
        </w:rPr>
        <w:t>提高医疗服务的质量、效率和安全性</w:t>
      </w:r>
      <w:r>
        <w:rPr>
          <w:rFonts w:hint="eastAsia"/>
          <w:color w:val="auto"/>
          <w:lang w:eastAsia="zh-CN"/>
        </w:rPr>
        <w:t>，为人民群众提供安全、有效、方便</w:t>
      </w:r>
      <w:r>
        <w:rPr>
          <w:rFonts w:hint="eastAsia"/>
          <w:color w:val="auto"/>
          <w:lang w:val="en-US" w:eastAsia="zh-CN"/>
        </w:rPr>
        <w:t>的</w:t>
      </w:r>
      <w:r>
        <w:rPr>
          <w:rFonts w:hint="eastAsia"/>
          <w:color w:val="auto"/>
          <w:lang w:eastAsia="zh-CN"/>
        </w:rPr>
        <w:t>医疗卫生服务</w:t>
      </w:r>
      <w:r>
        <w:rPr>
          <w:rFonts w:hint="eastAsia"/>
          <w:color w:val="auto"/>
          <w:lang w:val="en-US" w:eastAsia="zh-CN"/>
        </w:rPr>
        <w:t>为总体目标，</w:t>
      </w:r>
      <w:r>
        <w:rPr>
          <w:rFonts w:hint="eastAsia"/>
          <w:color w:val="auto"/>
        </w:rPr>
        <w:t>对医院进行整体建设规划，逐步把医院建设成模式先进、流程优化、管理配套、支撑有力、运作高效，符合新时代医院发展要求的智慧医院。</w:t>
      </w:r>
    </w:p>
    <w:p w14:paraId="33D18887">
      <w:pPr>
        <w:bidi w:val="0"/>
        <w:rPr>
          <w:rFonts w:hint="eastAsia"/>
          <w:color w:val="auto"/>
        </w:rPr>
      </w:pPr>
      <w:r>
        <w:rPr>
          <w:rFonts w:hint="eastAsia"/>
          <w:color w:val="auto"/>
        </w:rPr>
        <w:t>具体体现如下：</w:t>
      </w:r>
    </w:p>
    <w:p w14:paraId="04910655">
      <w:pPr>
        <w:bidi w:val="0"/>
        <w:rPr>
          <w:rFonts w:hint="eastAsia"/>
          <w:color w:val="auto"/>
        </w:rPr>
      </w:pPr>
      <w:r>
        <w:rPr>
          <w:rFonts w:hint="eastAsia"/>
          <w:color w:val="auto"/>
        </w:rPr>
        <w:t>1、完善架构：满足医院发展的灵活高效安全的系统架构</w:t>
      </w:r>
    </w:p>
    <w:p w14:paraId="700AB325">
      <w:pPr>
        <w:bidi w:val="0"/>
        <w:rPr>
          <w:rFonts w:hint="eastAsia"/>
          <w:color w:val="auto"/>
          <w:szCs w:val="24"/>
        </w:rPr>
      </w:pPr>
      <w:r>
        <w:rPr>
          <w:rFonts w:hint="eastAsia"/>
          <w:color w:val="auto"/>
        </w:rPr>
        <w:t>通过对信息化的各方面、各层次、各要素进行统筹规划，把医院建设与医院战略发展、医院管理、临床业务、科研教学、患者服务、区域协同等方面相结合，构建灵活科学地适</w:t>
      </w:r>
      <w:r>
        <w:rPr>
          <w:rFonts w:hint="eastAsia"/>
          <w:color w:val="auto"/>
          <w:szCs w:val="24"/>
        </w:rPr>
        <w:t>应未来发展的系统框架。通过数据一元化、交互标准化、服务平台化，实现信息共享、互联互通、安全高效。</w:t>
      </w:r>
    </w:p>
    <w:p w14:paraId="24787BD9">
      <w:pPr>
        <w:ind w:firstLine="480"/>
        <w:rPr>
          <w:rFonts w:hint="eastAsia"/>
          <w:color w:val="auto"/>
          <w:sz w:val="24"/>
          <w:szCs w:val="24"/>
        </w:rPr>
      </w:pPr>
      <w:r>
        <w:rPr>
          <w:rFonts w:hint="eastAsia"/>
          <w:color w:val="auto"/>
          <w:sz w:val="24"/>
          <w:szCs w:val="24"/>
        </w:rPr>
        <w:t>核心平台包括建立标准化、规范化、结构化的临床数据中心，实现对全院诊疗数据的一元化管理；建立面向服务SOA框架的信息集成平台，实现以服务为中心驱动，基于标准规范集成原则，实现统一的安全访问控制。</w:t>
      </w:r>
    </w:p>
    <w:p w14:paraId="67A8B409">
      <w:pPr>
        <w:ind w:firstLine="480"/>
        <w:rPr>
          <w:rFonts w:hint="eastAsia"/>
          <w:color w:val="auto"/>
          <w:sz w:val="24"/>
          <w:szCs w:val="24"/>
        </w:rPr>
      </w:pPr>
      <w:r>
        <w:rPr>
          <w:rFonts w:hint="eastAsia"/>
          <w:color w:val="auto"/>
          <w:sz w:val="24"/>
          <w:szCs w:val="24"/>
        </w:rPr>
        <w:t>核心业务系统(</w:t>
      </w:r>
      <w:r>
        <w:rPr>
          <w:rFonts w:hint="eastAsia"/>
          <w:color w:val="auto"/>
          <w:sz w:val="24"/>
          <w:szCs w:val="24"/>
          <w:lang w:val="en-US" w:eastAsia="zh-CN"/>
        </w:rPr>
        <w:t>HIS</w:t>
      </w:r>
      <w:r>
        <w:rPr>
          <w:rFonts w:hint="eastAsia"/>
          <w:color w:val="auto"/>
          <w:sz w:val="24"/>
          <w:szCs w:val="24"/>
        </w:rPr>
        <w:t>、</w:t>
      </w:r>
      <w:r>
        <w:rPr>
          <w:rFonts w:hint="eastAsia"/>
          <w:color w:val="auto"/>
          <w:sz w:val="24"/>
          <w:szCs w:val="24"/>
          <w:lang w:val="en-US" w:eastAsia="zh-CN"/>
        </w:rPr>
        <w:t>LIS</w:t>
      </w:r>
      <w:r>
        <w:rPr>
          <w:rFonts w:hint="eastAsia"/>
          <w:color w:val="auto"/>
          <w:sz w:val="24"/>
          <w:szCs w:val="24"/>
        </w:rPr>
        <w:t>等)重点是以“医护人员协同服务患者”为中心，按照医疗管理标准来设计，提供例如处方、护理、给药、处置、检验检查管理、手术管理等连续性医疗流程及协同化服务，严格控制业务流转，灵活配置流程控制点。</w:t>
      </w:r>
    </w:p>
    <w:p w14:paraId="41742BFD">
      <w:pPr>
        <w:ind w:firstLine="480"/>
        <w:rPr>
          <w:rFonts w:hint="eastAsia"/>
          <w:color w:val="auto"/>
          <w:sz w:val="24"/>
          <w:szCs w:val="24"/>
        </w:rPr>
      </w:pPr>
      <w:r>
        <w:rPr>
          <w:rFonts w:hint="eastAsia"/>
          <w:color w:val="auto"/>
          <w:sz w:val="24"/>
          <w:szCs w:val="24"/>
        </w:rPr>
        <w:t>通过全病程详细的各项医疗操作记录，实现医护人员医疗质量及工作绩效的实时动态的监督和管理。支持询证医疗，对诊疗的每一步都有迹可循，结合辅助预警来支持个性化治疗。更好地支持医疗质量管理和临床科研等。</w:t>
      </w:r>
    </w:p>
    <w:p w14:paraId="7E619B9A">
      <w:pPr>
        <w:ind w:firstLine="480"/>
        <w:rPr>
          <w:rFonts w:hint="eastAsia"/>
          <w:color w:val="auto"/>
          <w:sz w:val="24"/>
          <w:szCs w:val="24"/>
        </w:rPr>
      </w:pPr>
      <w:r>
        <w:rPr>
          <w:rFonts w:hint="eastAsia"/>
          <w:color w:val="auto"/>
          <w:sz w:val="24"/>
          <w:szCs w:val="24"/>
        </w:rPr>
        <w:t>引入技术手段来保障信息系统的安全性，如身份认证、受限数据访问、数字签名、数据留痕、数据日志等等。</w:t>
      </w:r>
    </w:p>
    <w:p w14:paraId="37DE9282">
      <w:pPr>
        <w:ind w:firstLine="480"/>
        <w:rPr>
          <w:rFonts w:hint="eastAsia"/>
          <w:color w:val="auto"/>
          <w:sz w:val="24"/>
          <w:szCs w:val="24"/>
        </w:rPr>
      </w:pPr>
      <w:bookmarkStart w:id="17" w:name="_bookmark76"/>
      <w:bookmarkEnd w:id="17"/>
      <w:r>
        <w:rPr>
          <w:rFonts w:hint="eastAsia"/>
          <w:color w:val="auto"/>
          <w:sz w:val="24"/>
          <w:szCs w:val="24"/>
        </w:rPr>
        <w:t>2、流程优化：提升医院服务水平，方便病人就医</w:t>
      </w:r>
    </w:p>
    <w:p w14:paraId="744155DD">
      <w:pPr>
        <w:ind w:firstLine="480"/>
        <w:rPr>
          <w:rFonts w:hint="eastAsia"/>
          <w:color w:val="auto"/>
          <w:sz w:val="24"/>
          <w:szCs w:val="24"/>
        </w:rPr>
      </w:pPr>
      <w:r>
        <w:rPr>
          <w:rFonts w:hint="eastAsia"/>
          <w:color w:val="auto"/>
          <w:sz w:val="24"/>
          <w:szCs w:val="24"/>
        </w:rPr>
        <w:t>充分应用最新的信息技术，如人工智能、大数据、云技术、物联网等，实现在新信息化条件下的功能重构和流程优化，全面考虑不同用户角色在不同工作场景下，通过多种应用终端获取综合全面正确的信息和功能服务，实现正确的用户、正确的时间、正确的授权、正确的对象、正确的信息、正确的操作，为此需要实现，“医护一体化、门诊住院一体化、临床医技一体化、线上线下一体化、院内院外一体化”，全面提升医院服务水平和患者就医体验。</w:t>
      </w:r>
    </w:p>
    <w:p w14:paraId="74F9BE09">
      <w:pPr>
        <w:ind w:firstLine="480"/>
        <w:rPr>
          <w:rFonts w:hint="eastAsia"/>
          <w:color w:val="auto"/>
          <w:sz w:val="24"/>
          <w:szCs w:val="24"/>
        </w:rPr>
      </w:pPr>
      <w:bookmarkStart w:id="18" w:name="_bookmark77"/>
      <w:bookmarkEnd w:id="18"/>
      <w:r>
        <w:rPr>
          <w:rFonts w:hint="eastAsia"/>
          <w:color w:val="auto"/>
          <w:sz w:val="24"/>
          <w:szCs w:val="24"/>
        </w:rPr>
        <w:t>3、统一管理：满足医院一体化、精细化管理需要</w:t>
      </w:r>
    </w:p>
    <w:p w14:paraId="4DAEE8B5">
      <w:pPr>
        <w:ind w:firstLine="480"/>
        <w:rPr>
          <w:rFonts w:hint="eastAsia"/>
          <w:color w:val="auto"/>
          <w:sz w:val="24"/>
          <w:szCs w:val="24"/>
        </w:rPr>
      </w:pPr>
      <w:r>
        <w:rPr>
          <w:rFonts w:hint="eastAsia"/>
          <w:color w:val="auto"/>
          <w:sz w:val="24"/>
          <w:szCs w:val="24"/>
        </w:rPr>
        <w:t>在院内，其主体业务生产系统应建设成一体化的信息系统，通过HIS、一体化医生工作站等系统，实现院内业务在各部门间、各角色间高效协同，最大限度发挥团队医疗的效益。</w:t>
      </w:r>
    </w:p>
    <w:p w14:paraId="68DDFBE8">
      <w:pPr>
        <w:ind w:firstLine="480"/>
        <w:rPr>
          <w:rFonts w:hint="eastAsia"/>
          <w:color w:val="auto"/>
          <w:sz w:val="24"/>
          <w:szCs w:val="24"/>
        </w:rPr>
      </w:pPr>
      <w:r>
        <w:rPr>
          <w:rFonts w:hint="eastAsia"/>
          <w:color w:val="auto"/>
          <w:sz w:val="24"/>
          <w:szCs w:val="24"/>
        </w:rPr>
        <w:t>医院管理相关业务全流程电子化，全新的管理知识库建设及应用，结合信息化数据采集、统计、分析、辅助决策的功效，通过建立强大的管理数据仓库、综合绩效评价和辅助决策支持等系统，医院管理决策完全建立在科学的基础上，全面提升医院管理和决策水平。</w:t>
      </w:r>
    </w:p>
    <w:p w14:paraId="188FA6DE">
      <w:pPr>
        <w:pStyle w:val="10"/>
        <w:bidi w:val="0"/>
        <w:ind w:left="720" w:leftChars="0" w:hanging="720" w:firstLineChars="0"/>
        <w:rPr>
          <w:rFonts w:hint="eastAsia"/>
          <w:color w:val="auto"/>
        </w:rPr>
      </w:pPr>
      <w:bookmarkStart w:id="19" w:name="_Toc19650"/>
      <w:r>
        <w:rPr>
          <w:rFonts w:hint="eastAsia"/>
          <w:color w:val="auto"/>
        </w:rPr>
        <w:t>建设目标</w:t>
      </w:r>
      <w:r>
        <w:rPr>
          <w:rFonts w:hint="eastAsia"/>
          <w:color w:val="auto"/>
          <w:lang w:val="en-US" w:eastAsia="zh-CN"/>
        </w:rPr>
        <w:t>和内容</w:t>
      </w:r>
      <w:bookmarkEnd w:id="19"/>
    </w:p>
    <w:p w14:paraId="4033BC9A">
      <w:pPr>
        <w:keepNext w:val="0"/>
        <w:keepLines w:val="0"/>
        <w:widowControl w:val="0"/>
        <w:suppressLineNumbers w:val="0"/>
        <w:spacing w:before="0" w:beforeAutospacing="0" w:after="0" w:afterAutospacing="0" w:line="360" w:lineRule="auto"/>
        <w:ind w:left="0" w:right="0" w:firstLine="480" w:firstLineChars="200"/>
        <w:jc w:val="both"/>
        <w:rPr>
          <w:rFonts w:hint="eastAsia" w:cstheme="minorEastAsia"/>
          <w:color w:val="auto"/>
          <w:sz w:val="24"/>
          <w:szCs w:val="24"/>
          <w:lang w:val="en-US" w:eastAsia="zh-CN"/>
        </w:rPr>
      </w:pPr>
      <w:r>
        <w:rPr>
          <w:rFonts w:hint="eastAsia" w:cstheme="minorEastAsia"/>
          <w:color w:val="auto"/>
          <w:sz w:val="24"/>
          <w:szCs w:val="24"/>
          <w:lang w:val="en-US" w:eastAsia="zh-CN"/>
        </w:rPr>
        <w:t>本次</w:t>
      </w:r>
      <w:r>
        <w:rPr>
          <w:rFonts w:hint="eastAsia" w:ascii="宋体" w:hAnsi="宋体" w:eastAsia="宋体" w:cs="宋体"/>
          <w:color w:val="auto"/>
          <w:kern w:val="2"/>
          <w:sz w:val="24"/>
          <w:szCs w:val="24"/>
          <w:highlight w:val="none"/>
          <w:lang w:val="en-US" w:eastAsia="zh-CN" w:bidi="ar"/>
        </w:rPr>
        <w:t>樟树市人民医院院内信息化建设项目</w:t>
      </w:r>
      <w:r>
        <w:rPr>
          <w:rFonts w:hint="eastAsia" w:cstheme="minorEastAsia"/>
          <w:color w:val="auto"/>
          <w:sz w:val="24"/>
          <w:szCs w:val="24"/>
          <w:lang w:val="en-US" w:eastAsia="zh-CN"/>
        </w:rPr>
        <w:t>仅建设院内基本信息系统，且系统以达到《电子病历系统应用水平分级评价标准（试行）》四级为建设目标。</w:t>
      </w:r>
    </w:p>
    <w:p w14:paraId="66453560">
      <w:pPr>
        <w:widowControl w:val="0"/>
        <w:ind w:firstLine="480" w:firstLineChars="200"/>
        <w:rPr>
          <w:rFonts w:hint="eastAsia"/>
          <w:color w:val="auto"/>
          <w:highlight w:val="none"/>
          <w:lang w:eastAsia="zh-CN"/>
        </w:rPr>
      </w:pPr>
      <w:r>
        <w:rPr>
          <w:rFonts w:hint="eastAsia"/>
          <w:color w:val="auto"/>
          <w:highlight w:val="none"/>
        </w:rPr>
        <w:t>本次项目</w:t>
      </w:r>
      <w:r>
        <w:rPr>
          <w:rFonts w:hint="eastAsia"/>
          <w:color w:val="auto"/>
          <w:highlight w:val="none"/>
          <w:lang w:val="en-US" w:eastAsia="zh-CN"/>
        </w:rPr>
        <w:t>的</w:t>
      </w:r>
      <w:r>
        <w:rPr>
          <w:rFonts w:hint="eastAsia"/>
          <w:color w:val="auto"/>
          <w:highlight w:val="none"/>
        </w:rPr>
        <w:t>建设</w:t>
      </w:r>
      <w:r>
        <w:rPr>
          <w:rFonts w:hint="eastAsia"/>
          <w:color w:val="auto"/>
          <w:highlight w:val="none"/>
          <w:lang w:val="en-US" w:eastAsia="zh-CN"/>
        </w:rPr>
        <w:t>内容</w:t>
      </w:r>
      <w:r>
        <w:rPr>
          <w:rFonts w:hint="eastAsia"/>
          <w:color w:val="auto"/>
          <w:highlight w:val="none"/>
        </w:rPr>
        <w:t>包括软件系统、数据中心、</w:t>
      </w:r>
      <w:r>
        <w:rPr>
          <w:rFonts w:hint="eastAsia"/>
          <w:color w:val="auto"/>
          <w:highlight w:val="none"/>
          <w:lang w:val="en-US" w:eastAsia="zh-CN"/>
        </w:rPr>
        <w:t>智能化配套硬件</w:t>
      </w:r>
      <w:r>
        <w:rPr>
          <w:rFonts w:hint="eastAsia"/>
          <w:color w:val="auto"/>
          <w:highlight w:val="none"/>
        </w:rPr>
        <w:t>等建设，需支持</w:t>
      </w:r>
      <w:r>
        <w:rPr>
          <w:rFonts w:hint="eastAsia"/>
          <w:color w:val="auto"/>
          <w:highlight w:val="none"/>
          <w:lang w:val="en-US" w:eastAsia="zh-CN"/>
        </w:rPr>
        <w:t>樟树市人民医院</w:t>
      </w:r>
      <w:r>
        <w:rPr>
          <w:rFonts w:hint="eastAsia"/>
          <w:color w:val="auto"/>
          <w:highlight w:val="none"/>
        </w:rPr>
        <w:t>院</w:t>
      </w:r>
      <w:r>
        <w:rPr>
          <w:rFonts w:hint="eastAsia"/>
          <w:color w:val="auto"/>
          <w:highlight w:val="none"/>
          <w:lang w:val="en-US" w:eastAsia="zh-CN"/>
        </w:rPr>
        <w:t>内</w:t>
      </w:r>
      <w:r>
        <w:rPr>
          <w:rFonts w:hint="eastAsia"/>
          <w:color w:val="auto"/>
          <w:highlight w:val="none"/>
        </w:rPr>
        <w:t>全体职工及患者使用。建设主要参考</w:t>
      </w:r>
      <w:r>
        <w:rPr>
          <w:rFonts w:hint="eastAsia" w:cstheme="minorEastAsia"/>
          <w:color w:val="auto"/>
          <w:sz w:val="24"/>
          <w:szCs w:val="24"/>
          <w:highlight w:val="none"/>
          <w:lang w:val="en-US" w:eastAsia="zh-CN"/>
        </w:rPr>
        <w:t>《电子病历系统应用水平分级评价标准（试行）》四级</w:t>
      </w:r>
      <w:r>
        <w:rPr>
          <w:rFonts w:hint="eastAsia"/>
          <w:color w:val="auto"/>
          <w:highlight w:val="none"/>
        </w:rPr>
        <w:t>等标准，结合其他建设标准以及院方建设需求，梳理得出本次应用建设内容</w:t>
      </w:r>
      <w:r>
        <w:rPr>
          <w:rFonts w:hint="eastAsia"/>
          <w:color w:val="auto"/>
          <w:highlight w:val="none"/>
          <w:lang w:val="en-US" w:eastAsia="zh-CN"/>
        </w:rPr>
        <w:t>如下</w:t>
      </w:r>
      <w:r>
        <w:rPr>
          <w:rFonts w:hint="eastAsia"/>
          <w:color w:val="auto"/>
          <w:highlight w:val="none"/>
          <w:lang w:eastAsia="zh-CN"/>
        </w:rPr>
        <w:t>：</w:t>
      </w:r>
    </w:p>
    <w:p w14:paraId="56C782EB">
      <w:pPr>
        <w:numPr>
          <w:ilvl w:val="0"/>
          <w:numId w:val="14"/>
        </w:numPr>
        <w:bidi w:val="0"/>
        <w:rPr>
          <w:rFonts w:hint="default"/>
          <w:color w:val="auto"/>
          <w:lang w:val="en-US" w:eastAsia="zh-CN"/>
        </w:rPr>
      </w:pPr>
      <w:r>
        <w:rPr>
          <w:rFonts w:hint="eastAsia"/>
          <w:color w:val="auto"/>
          <w:lang w:val="en-US" w:eastAsia="zh-CN"/>
        </w:rPr>
        <w:t>数据平台</w:t>
      </w:r>
    </w:p>
    <w:p w14:paraId="7C55EC29">
      <w:pPr>
        <w:bidi w:val="0"/>
        <w:rPr>
          <w:rFonts w:hint="eastAsia"/>
          <w:color w:val="auto"/>
          <w:lang w:val="en-US" w:eastAsia="zh-CN"/>
        </w:rPr>
      </w:pPr>
      <w:r>
        <w:rPr>
          <w:rFonts w:hint="eastAsia"/>
          <w:color w:val="auto"/>
          <w:lang w:val="en-US" w:eastAsia="zh-CN"/>
        </w:rPr>
        <w:t>在基础资源上构建统一的数据平台，整合多源异构数据资源。平台包含集成引擎、主数据管理、临床数据中心等模块，实现数据清洗采集、标准化存储及质量管理。通过患者主索引实现跨系统数据关联，支持BI数据挖掘分析与医疗流程闭环管理。提供互联互通交互服务，构建患者全息视图，为医院运营和临床决策提供数据支撑，覆盖数据采集、治理、共享全生命周期。</w:t>
      </w:r>
    </w:p>
    <w:p w14:paraId="7BD909A8">
      <w:pPr>
        <w:numPr>
          <w:ilvl w:val="0"/>
          <w:numId w:val="14"/>
        </w:numPr>
        <w:bidi w:val="0"/>
        <w:rPr>
          <w:rFonts w:hint="default"/>
          <w:color w:val="auto"/>
          <w:lang w:val="en-US" w:eastAsia="zh-CN"/>
        </w:rPr>
      </w:pPr>
      <w:r>
        <w:rPr>
          <w:rFonts w:hint="eastAsia"/>
          <w:color w:val="auto"/>
          <w:lang w:val="en-US" w:eastAsia="zh-CN"/>
        </w:rPr>
        <w:t>基础系统</w:t>
      </w:r>
    </w:p>
    <w:p w14:paraId="6F9E7755">
      <w:pPr>
        <w:bidi w:val="0"/>
        <w:rPr>
          <w:rFonts w:hint="eastAsia"/>
          <w:color w:val="auto"/>
          <w:lang w:val="en-US" w:eastAsia="zh-CN"/>
        </w:rPr>
      </w:pPr>
      <w:r>
        <w:rPr>
          <w:rFonts w:hint="eastAsia"/>
          <w:color w:val="auto"/>
          <w:lang w:val="en-US" w:eastAsia="zh-CN"/>
        </w:rPr>
        <w:t>基于现有基础设施升级基础系统，主要涵盖统一身份认证、权限管理及门户服务。部署统计信息系统与电子健康卡的功能从而提升医院信息综合的查询效率。增加物价管理系统与CA电子签名系统，强化操作日志审计与软件发布管控，并通过字典参数配置与系统菜单管理实现灵活运维，支持患者基本信息全流程管理，推动医院信息化向集约化、智能化发展。</w:t>
      </w:r>
    </w:p>
    <w:p w14:paraId="143CCDC0">
      <w:pPr>
        <w:numPr>
          <w:ilvl w:val="0"/>
          <w:numId w:val="14"/>
        </w:numPr>
        <w:bidi w:val="0"/>
        <w:rPr>
          <w:rFonts w:hint="default"/>
          <w:color w:val="auto"/>
          <w:lang w:val="en-US" w:eastAsia="zh-CN"/>
        </w:rPr>
      </w:pPr>
      <w:r>
        <w:rPr>
          <w:rFonts w:hint="eastAsia"/>
          <w:color w:val="auto"/>
          <w:lang w:val="en-US" w:eastAsia="zh-CN"/>
        </w:rPr>
        <w:t>便民服务</w:t>
      </w:r>
    </w:p>
    <w:p w14:paraId="10E39842">
      <w:pPr>
        <w:bidi w:val="0"/>
        <w:rPr>
          <w:rFonts w:hint="eastAsia"/>
          <w:color w:val="auto"/>
          <w:lang w:val="en-US" w:eastAsia="zh-CN"/>
        </w:rPr>
      </w:pPr>
      <w:r>
        <w:rPr>
          <w:rFonts w:hint="eastAsia"/>
          <w:color w:val="auto"/>
          <w:lang w:val="en-US" w:eastAsia="zh-CN"/>
        </w:rPr>
        <w:t>构建一站式便民服务平台，集成统一支付对账、智能导诊与全面预约服务。升级门诊挂号与排队叫号系统，新增诊间支付、满意度评价及信息公开功能。通过互联网服务系统与赣服通对接，提供线上业务办理、政策查询及实时交通信息服务。部署患者信用管理与信息推送模块，优化就医体验。支持电子发票与移动端应用，实现“数据多跑路、患者少跑腿”，提升医疗服务便捷度与公众满意度。</w:t>
      </w:r>
    </w:p>
    <w:p w14:paraId="3A21F62A">
      <w:pPr>
        <w:numPr>
          <w:ilvl w:val="0"/>
          <w:numId w:val="14"/>
        </w:numPr>
        <w:bidi w:val="0"/>
        <w:rPr>
          <w:rFonts w:hint="default"/>
          <w:color w:val="auto"/>
          <w:lang w:val="en-US" w:eastAsia="zh-CN"/>
        </w:rPr>
      </w:pPr>
      <w:r>
        <w:rPr>
          <w:rFonts w:hint="eastAsia"/>
          <w:color w:val="auto"/>
          <w:lang w:val="en-US" w:eastAsia="zh-CN"/>
        </w:rPr>
        <w:t>急诊急救</w:t>
      </w:r>
    </w:p>
    <w:p w14:paraId="5A0286AF">
      <w:pPr>
        <w:bidi w:val="0"/>
        <w:rPr>
          <w:rFonts w:hint="eastAsia"/>
          <w:color w:val="auto"/>
          <w:lang w:val="en-US" w:eastAsia="zh-CN"/>
        </w:rPr>
      </w:pPr>
      <w:r>
        <w:rPr>
          <w:rFonts w:hint="eastAsia"/>
          <w:color w:val="auto"/>
          <w:lang w:val="en-US" w:eastAsia="zh-CN"/>
        </w:rPr>
        <w:t>构建多中心协同救治体系，部署急诊分诊管理系统及三大中心专用模块。升级门诊留观系统与急诊输液管理，集成急救电子病历与移动查房功能。通过实时监测与智能预警（如VTE管理系统），实现"黄金时间窗"精准救治。支持急救车辆动态调度与创伤团队快速响应，配备急救设备物联网管理，优化院前院内信息衔接，提升急危重症救治成功率与应急处理效率。</w:t>
      </w:r>
    </w:p>
    <w:p w14:paraId="6512A5B1">
      <w:pPr>
        <w:numPr>
          <w:ilvl w:val="0"/>
          <w:numId w:val="14"/>
        </w:numPr>
        <w:bidi w:val="0"/>
        <w:rPr>
          <w:rFonts w:hint="default"/>
          <w:color w:val="auto"/>
          <w:lang w:val="en-US" w:eastAsia="zh-CN"/>
        </w:rPr>
      </w:pPr>
      <w:r>
        <w:rPr>
          <w:rFonts w:hint="eastAsia"/>
          <w:color w:val="auto"/>
          <w:lang w:val="en-US" w:eastAsia="zh-CN"/>
        </w:rPr>
        <w:t>基础HIS系统</w:t>
      </w:r>
    </w:p>
    <w:p w14:paraId="1FD474D5">
      <w:pPr>
        <w:bidi w:val="0"/>
        <w:rPr>
          <w:rFonts w:hint="eastAsia"/>
          <w:color w:val="auto"/>
          <w:lang w:val="en-US" w:eastAsia="zh-CN"/>
        </w:rPr>
      </w:pPr>
      <w:r>
        <w:rPr>
          <w:rFonts w:hint="eastAsia"/>
          <w:color w:val="auto"/>
          <w:lang w:val="en-US" w:eastAsia="zh-CN"/>
        </w:rPr>
        <w:t>全面升级门诊及住院核心业务系统，优化门急诊一体化电子病历与临床路径管理。改造住院护理记录、医嘱执行及移动护理模块，部署手术麻醉信息系统与重症监护平台。通过输血管理系统与透析信息管理模块，实现专科治疗全流程数字化。强化电子病历质控与病案首页管理，支持DRG/DIP医保支付改革。构建医技协同工作流，提升诊疗效率与数据准确性，为医院运营提供底层支撑。</w:t>
      </w:r>
    </w:p>
    <w:p w14:paraId="6AA61105">
      <w:pPr>
        <w:numPr>
          <w:ilvl w:val="0"/>
          <w:numId w:val="14"/>
        </w:numPr>
        <w:bidi w:val="0"/>
        <w:rPr>
          <w:rFonts w:hint="default"/>
          <w:color w:val="auto"/>
          <w:lang w:val="en-US" w:eastAsia="zh-CN"/>
        </w:rPr>
      </w:pPr>
      <w:r>
        <w:rPr>
          <w:rFonts w:hint="eastAsia"/>
          <w:color w:val="auto"/>
          <w:lang w:val="en-US" w:eastAsia="zh-CN"/>
        </w:rPr>
        <w:t>医技管理</w:t>
      </w:r>
    </w:p>
    <w:p w14:paraId="1F5E2C9B">
      <w:pPr>
        <w:bidi w:val="0"/>
        <w:rPr>
          <w:rFonts w:hint="eastAsia"/>
          <w:color w:val="auto"/>
          <w:lang w:val="en-US" w:eastAsia="zh-CN"/>
        </w:rPr>
      </w:pPr>
      <w:r>
        <w:rPr>
          <w:rFonts w:hint="eastAsia"/>
          <w:color w:val="auto"/>
          <w:lang w:val="en-US" w:eastAsia="zh-CN"/>
        </w:rPr>
        <w:t>升级LIS、PACS、超声、病理等医技系统，部署镜检与电生理图文报告模块。新增消毒供应追溯系统，实现器械全生命周期管理。通过临床决策支持系统内置检验检查规则库，提供智能提示与质控建议。优化检查检验互认平台对接，减少重复检查。</w:t>
      </w:r>
    </w:p>
    <w:p w14:paraId="5E2970FD">
      <w:pPr>
        <w:numPr>
          <w:ilvl w:val="0"/>
          <w:numId w:val="14"/>
        </w:numPr>
        <w:bidi w:val="0"/>
        <w:rPr>
          <w:rFonts w:hint="default"/>
          <w:color w:val="auto"/>
          <w:lang w:val="en-US" w:eastAsia="zh-CN"/>
        </w:rPr>
      </w:pPr>
      <w:r>
        <w:rPr>
          <w:rFonts w:hint="eastAsia"/>
          <w:color w:val="auto"/>
          <w:lang w:val="en-US" w:eastAsia="zh-CN"/>
        </w:rPr>
        <w:t>医疗管理</w:t>
      </w:r>
    </w:p>
    <w:p w14:paraId="139E95DE">
      <w:pPr>
        <w:bidi w:val="0"/>
        <w:rPr>
          <w:rFonts w:hint="eastAsia"/>
          <w:color w:val="auto"/>
          <w:lang w:val="en-US" w:eastAsia="zh-CN"/>
        </w:rPr>
      </w:pPr>
      <w:r>
        <w:rPr>
          <w:rFonts w:hint="eastAsia"/>
          <w:color w:val="auto"/>
          <w:lang w:val="en-US" w:eastAsia="zh-CN"/>
        </w:rPr>
        <w:t>实现医务全流程管控体系，部署电子病历质控、医嘱闭环管理与单病种管理系统。新增不良事件上报、手术分级管理与危急值预警模块，强化医疗安全。通过院感监测与传染病直报系统，实现公共卫生事件快速响应。建立预防接种与食源性疾病监测网络，完善医疗质量持续改进机制，满足三级医院评审细则要求。</w:t>
      </w:r>
    </w:p>
    <w:p w14:paraId="636F3577">
      <w:pPr>
        <w:numPr>
          <w:ilvl w:val="0"/>
          <w:numId w:val="14"/>
        </w:numPr>
        <w:bidi w:val="0"/>
        <w:rPr>
          <w:rFonts w:hint="default"/>
          <w:color w:val="auto"/>
          <w:lang w:val="en-US" w:eastAsia="zh-CN"/>
        </w:rPr>
      </w:pPr>
      <w:r>
        <w:rPr>
          <w:rFonts w:hint="eastAsia"/>
          <w:color w:val="auto"/>
          <w:lang w:val="en-US" w:eastAsia="zh-CN"/>
        </w:rPr>
        <w:t>护理管理</w:t>
      </w:r>
    </w:p>
    <w:p w14:paraId="6FFD8954">
      <w:pPr>
        <w:bidi w:val="0"/>
        <w:rPr>
          <w:rFonts w:hint="eastAsia"/>
          <w:color w:val="auto"/>
          <w:lang w:val="en-US" w:eastAsia="zh-CN"/>
        </w:rPr>
      </w:pPr>
      <w:r>
        <w:rPr>
          <w:rFonts w:hint="eastAsia"/>
          <w:color w:val="auto"/>
          <w:lang w:val="en-US" w:eastAsia="zh-CN"/>
        </w:rPr>
        <w:t>搭建护理部综合管理系统，集成护理质量监测、移动护理执行与护理白板系统。升级护理医嘱提醒与日间病房管理模块，实现护理操作全流程追溯，提升护理安全。支持护理人力资源调度与绩效考核，优化排班与培训管理。</w:t>
      </w:r>
    </w:p>
    <w:p w14:paraId="5B50CA24">
      <w:pPr>
        <w:numPr>
          <w:ilvl w:val="0"/>
          <w:numId w:val="14"/>
        </w:numPr>
        <w:bidi w:val="0"/>
        <w:rPr>
          <w:rFonts w:hint="default"/>
          <w:color w:val="auto"/>
          <w:lang w:val="en-US" w:eastAsia="zh-CN"/>
        </w:rPr>
      </w:pPr>
      <w:r>
        <w:rPr>
          <w:rFonts w:hint="eastAsia"/>
          <w:color w:val="auto"/>
          <w:lang w:val="en-US" w:eastAsia="zh-CN"/>
        </w:rPr>
        <w:t>药事管理</w:t>
      </w:r>
    </w:p>
    <w:p w14:paraId="599B3CDB">
      <w:pPr>
        <w:bidi w:val="0"/>
        <w:rPr>
          <w:rFonts w:hint="eastAsia"/>
          <w:color w:val="auto"/>
          <w:lang w:val="en-US" w:eastAsia="zh-CN"/>
        </w:rPr>
      </w:pPr>
      <w:r>
        <w:rPr>
          <w:rFonts w:hint="eastAsia"/>
          <w:color w:val="auto"/>
          <w:lang w:val="en-US" w:eastAsia="zh-CN"/>
        </w:rPr>
        <w:t>升级药库药房管理系统，部署合理用药监测与实时审方模块。新增抗菌药物分级管控与静脉配置管理功能，强化处方点评与药品追溯，实现药品供应链精细化管理。支持药学监护与药物不良反应监测，构建"事前预警-事中干预-事后分析"全链条药事服务，保障用药安全合规。</w:t>
      </w:r>
    </w:p>
    <w:p w14:paraId="221B5DC2">
      <w:pPr>
        <w:numPr>
          <w:ilvl w:val="0"/>
          <w:numId w:val="14"/>
        </w:numPr>
        <w:bidi w:val="0"/>
        <w:rPr>
          <w:rFonts w:hint="default"/>
          <w:color w:val="auto"/>
          <w:lang w:val="en-US" w:eastAsia="zh-CN"/>
        </w:rPr>
      </w:pPr>
      <w:r>
        <w:rPr>
          <w:rFonts w:hint="eastAsia"/>
          <w:color w:val="auto"/>
          <w:lang w:val="en-US" w:eastAsia="zh-CN"/>
        </w:rPr>
        <w:t>结算与运营</w:t>
      </w:r>
    </w:p>
    <w:p w14:paraId="588FD44B">
      <w:pPr>
        <w:numPr>
          <w:ilvl w:val="0"/>
          <w:numId w:val="0"/>
        </w:numPr>
        <w:bidi w:val="0"/>
        <w:ind w:firstLine="420" w:firstLineChars="0"/>
        <w:rPr>
          <w:rFonts w:hint="eastAsia" w:cs="Times New Roman"/>
          <w:color w:val="auto"/>
          <w:kern w:val="2"/>
          <w:sz w:val="24"/>
          <w:szCs w:val="24"/>
          <w:highlight w:val="none"/>
          <w:lang w:val="en-US" w:eastAsia="zh-CN" w:bidi="ar-SA"/>
        </w:rPr>
      </w:pPr>
      <w:r>
        <w:rPr>
          <w:rFonts w:hint="eastAsia"/>
          <w:color w:val="auto"/>
          <w:lang w:val="en-US" w:eastAsia="zh-CN"/>
        </w:rPr>
        <w:t>改造门诊/住院收费结算系统，对接医保平台与电子票据系统。新增往来账款管理与智能记账模块，优化财务流程。通过全面预算与全成本核算系统，实现资源精细管控。利旧资产设备管理平台，集成会计核算与报销管理功能。构建运营决策驾驶舱，提供人财物一体化分析，助力医院降本增效与高质量发展。</w:t>
      </w:r>
    </w:p>
    <w:p w14:paraId="6DC74418">
      <w:pPr>
        <w:numPr>
          <w:ilvl w:val="0"/>
          <w:numId w:val="14"/>
        </w:numPr>
        <w:bidi w:val="0"/>
        <w:rPr>
          <w:rFonts w:hint="default"/>
          <w:color w:val="auto"/>
          <w:lang w:val="en-US" w:eastAsia="zh-CN"/>
        </w:rPr>
      </w:pPr>
      <w:r>
        <w:rPr>
          <w:rFonts w:hint="eastAsia"/>
          <w:color w:val="auto"/>
          <w:lang w:val="en-US" w:eastAsia="zh-CN"/>
        </w:rPr>
        <w:t>其他</w:t>
      </w:r>
    </w:p>
    <w:p w14:paraId="556CA948">
      <w:pPr>
        <w:bidi w:val="0"/>
        <w:rPr>
          <w:rFonts w:hint="default"/>
          <w:color w:val="auto"/>
          <w:lang w:val="en-US" w:eastAsia="zh-CN"/>
        </w:rPr>
      </w:pPr>
      <w:r>
        <w:rPr>
          <w:rFonts w:hint="eastAsia"/>
          <w:color w:val="auto"/>
          <w:lang w:val="en-US" w:eastAsia="zh-CN"/>
        </w:rPr>
        <w:t>部署三级医院绩效考核与评审指标动态跟踪系统，新增电子病历评级指导工具。建设协同办公平台（OA），实现跨部门流程自动化。完成院内LIS/PACS、银医自助、省医共体平台等系统接口改造，打通信息孤岛。通过重大疾病直报与全民健康信息平台对接，强化公共卫生服务能力。</w:t>
      </w:r>
    </w:p>
    <w:p w14:paraId="496E0585">
      <w:pPr>
        <w:pStyle w:val="12"/>
        <w:bidi w:val="0"/>
        <w:ind w:left="864" w:leftChars="0" w:hanging="864" w:firstLineChars="0"/>
        <w:rPr>
          <w:rFonts w:hint="eastAsia"/>
          <w:color w:val="auto"/>
        </w:rPr>
      </w:pPr>
      <w:bookmarkStart w:id="498" w:name="_GoBack"/>
      <w:bookmarkStart w:id="20" w:name="_Toc30462"/>
      <w:bookmarkStart w:id="21" w:name="_Toc2473"/>
      <w:bookmarkStart w:id="22" w:name="_Toc6068"/>
      <w:bookmarkStart w:id="23" w:name="_Toc143680637"/>
      <w:r>
        <w:rPr>
          <w:rFonts w:hint="eastAsia"/>
          <w:color w:val="auto"/>
          <w:lang w:val="en-US" w:eastAsia="zh-CN"/>
        </w:rPr>
        <w:t>应用系统建设清单</w:t>
      </w:r>
    </w:p>
    <w:p w14:paraId="5F876591">
      <w:pPr>
        <w:pStyle w:val="21"/>
        <w:bidi w:val="0"/>
        <w:ind w:left="0" w:leftChars="0" w:firstLine="0" w:firstLineChars="0"/>
        <w:rPr>
          <w:rFonts w:hint="eastAsia"/>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rFonts w:hint="eastAsia"/>
          <w:color w:val="auto"/>
        </w:rPr>
        <w:t>人民医院</w:t>
      </w:r>
      <w:r>
        <w:rPr>
          <w:rFonts w:hint="eastAsia"/>
          <w:color w:val="auto"/>
          <w:lang w:val="en-US" w:eastAsia="zh-CN"/>
        </w:rPr>
        <w:t>信息系统</w:t>
      </w:r>
      <w:r>
        <w:rPr>
          <w:rFonts w:hint="eastAsia"/>
          <w:color w:val="auto"/>
        </w:rPr>
        <w:t>建设清单</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4"/>
        <w:gridCol w:w="1602"/>
        <w:gridCol w:w="3930"/>
        <w:gridCol w:w="1743"/>
      </w:tblGrid>
      <w:tr w14:paraId="7D884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A5BB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94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BD6E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分类</w:t>
            </w:r>
          </w:p>
        </w:tc>
        <w:tc>
          <w:tcPr>
            <w:tcW w:w="23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BE28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系统</w:t>
            </w:r>
          </w:p>
        </w:tc>
        <w:tc>
          <w:tcPr>
            <w:tcW w:w="1022"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6161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建设情况</w:t>
            </w:r>
          </w:p>
        </w:tc>
      </w:tr>
      <w:tr w14:paraId="6B2C0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7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682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数据平台</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D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集成引擎</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92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E97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F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25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2A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主数据管理MDM</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83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CA20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0E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61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4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患者主索引EMPI</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6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A9F6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A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61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8D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消息中心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B9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1C4A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B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B4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5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平台监控</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77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C16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F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C7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0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临床数据中心（CDR）</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46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32EA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5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7A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7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运营数据中心（ODR）</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4E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679E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4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78E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6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数据清洗采集ETL</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5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1E49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FC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66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F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数据质量管理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FEF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B1BC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D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8F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A9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医疗流程闭环管理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FA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4BE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2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20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7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互联互通交互服务</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E9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DEA9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D8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DF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F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数据集管理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A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5B88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796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29B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0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共享文档管理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AD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8AB3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2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4B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2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患者全息视图</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59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BD4A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6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25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F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数据挖掘分析BI</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B9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658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E0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D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基础系统</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0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统计信息系统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2C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0EF1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A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EC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8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医院信息综合查询</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8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01E0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9D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B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9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字典参数配置</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998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B04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0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53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3A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系统菜单管理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5D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A6A8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E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888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0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物价管理系统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D5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AB35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6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97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8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统一门户及单点登陆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3E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582B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E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FE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E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统一身份认证</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F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3D3A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EF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55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0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操作权限管理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877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66D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0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2B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9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软件发布系统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7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5280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9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5C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B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操作日志审计</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528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215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E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E5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2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患者基本信息管理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75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B6EB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1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70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9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电子健康卡功能</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3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5F2C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3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4C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9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电子发票功能</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537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F3A9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9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41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4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电子签名系统CA</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FB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CDB5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A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3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便民服务</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B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统一支付对账平台</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7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DA66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4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53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89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患者实名认证</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39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6C68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4C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22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F1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患者信用管理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8D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4DAE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9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C0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E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互联网服务系统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6C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4B8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5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88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9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智能导诊系统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C8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00AC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9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0D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4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门诊挂号系统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DF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5527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2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1D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4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全面预约服务系统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C3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9639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C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FE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47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排队叫号系统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81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ECF6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6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E8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4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诊间支付系统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0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362A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0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02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E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满意度评价系统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3F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12B6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1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96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4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信息公开系统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30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4E66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A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73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5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信息推送系统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6C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EC56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04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9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急诊急救</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B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急诊分诊管理系统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21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6EF0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2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6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6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胸痛中心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5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1DC1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CA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B8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7D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卒中中心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901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D1C5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D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D7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6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创伤中心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852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F2A9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3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F1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1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门诊留观系统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71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A3B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26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BF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基础HIS</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8D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门诊医师系统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4C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7747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A5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11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1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门急诊一体化电子病历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B7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AB64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B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DA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3B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急诊输液管理系统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E9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883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F6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A8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5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住院医师系统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2A3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F276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6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3C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8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住院电子病历系统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3C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260B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81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8A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6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临床路径系统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B4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393E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7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C6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8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住院护理记录</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F4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E94D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3C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1A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E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护理医嘱执行</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A4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B9CE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D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D1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5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护理白板系统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8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7311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B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07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0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护理医嘱提醒</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597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77EB0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0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45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1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移动查房系统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D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DBBE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4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B2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A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移动护理系统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61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6536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9D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38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EF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日间病房管理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D6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6B33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0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36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4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手术信息系统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11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0FF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5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A5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4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麻醉信息系统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4AB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957E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CA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E9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E9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重症监护系统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75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51CB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54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CF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6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输血管理系统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A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B0E7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F6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0C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8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通用治疗管理系统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8C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15F8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7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8F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1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透析信息管理系统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6C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CFC4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8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23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C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健康体检信息系统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81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5DF1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0D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D0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A8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临床决策支持系统CDSS（检验、检查规则库）</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7E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533B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8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B68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1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VTE管理系统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854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C15D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28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62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E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随访管理系统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8D1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6990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72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2C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B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医院门户系统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DE9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6D3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D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64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医技管理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F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临床检验系统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543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AB32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1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88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7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医学影像系统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98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CA7B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6E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2C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C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超声图文报告系统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B6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4686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F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FC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70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镜检图文报告系统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CA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4841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59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81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C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电生理信息系统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B2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75D95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4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44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62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病理信息系统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41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067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5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C3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E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消毒供应系统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4B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6ADC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A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2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医疗管理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CCF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医务科管理系统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D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DDC3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1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D3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79A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电子病历质量管系统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9D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DB0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C8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A4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60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医嘱闭环管理系统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7D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0D43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6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15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9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单病种管理系统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44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1A1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A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A1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54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不良事件上报系统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78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655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4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6D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1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手术分级管理系统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AD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2FC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5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1B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B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危急值管理系统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60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4C5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B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63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E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病历首页质控</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56E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AB4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8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2C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D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病案管理系统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E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7212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5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0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F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院感管理系统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10D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9D3F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6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47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1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传染病上报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7C9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C1DB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E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8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9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食源性疾病信息上报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05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EEB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77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4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8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重大非传染疾病及死亡上报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9A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CBA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A2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6F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4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预防接种信息上报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0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FDEB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F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35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B08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国家传染病预警系统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5A0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0B45F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D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7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0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护理部管理系统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5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050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0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F9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F9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护理质量管理系统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ED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E0C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0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D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药事管理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E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药库管理系统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1F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2528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D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EC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D9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药房管理系统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67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02C5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E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E3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4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合理用药监测系统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820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7ADF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A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C1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6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处方点评系统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5B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F03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5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21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A5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实时审方系统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0C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65C7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91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E8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7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抗菌药物管理系统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E7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6954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8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D4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top"/>
          </w:tcPr>
          <w:p w14:paraId="47440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静脉药物配置管理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60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81CB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9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8E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结算系统</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1B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门诊收费结算系统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493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7388F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72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33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C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住院出入转结算系统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65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95EB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A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DE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AE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住院收费结算系统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D6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675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27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5E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18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结算往来管理系统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02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50FF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F4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5C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751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医保结算管理系统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4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5ACCE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3C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5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运营管理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8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基础平台</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8E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0CC20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F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62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C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会计核算</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046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4EEFF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4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26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CB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报销管理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08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67883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3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D9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F9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智能记账</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6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20245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92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7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7C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全面预算</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B4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6CF3D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D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97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5C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全成本核算</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3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3BCA5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9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13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8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资产设备管理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A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22BB0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60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2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其他</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6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三级医院绩效考核上报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B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7C36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7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55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5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三级医院评审指标系统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5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A47D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D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43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9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电子病历评级指导</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65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615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C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76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1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协同办公系统OA</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93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C0E8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2"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F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58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0F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color w:val="auto"/>
                <w:lang w:val="en-US" w:eastAsia="zh-CN"/>
              </w:rPr>
              <w:t>其它各类现有接口对接（包括但不限于院内LIS、PACS、排队叫号、银医自助系统、江西省医共体平台、传染病直报系统、智慧医疗系统、院内现有软件及硬件接口、电子票据、江西省DRG平台数据上传、省全民健康信息平台、门急诊病案首页上传、检查检验互认平台等接口）</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671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bl>
    <w:p w14:paraId="3E3494E5">
      <w:pPr>
        <w:pStyle w:val="12"/>
        <w:bidi w:val="0"/>
        <w:ind w:left="864" w:leftChars="0" w:hanging="864" w:firstLineChars="0"/>
        <w:rPr>
          <w:rFonts w:hint="eastAsia"/>
          <w:color w:val="auto"/>
        </w:rPr>
      </w:pPr>
      <w:r>
        <w:rPr>
          <w:rFonts w:hint="eastAsia"/>
          <w:color w:val="auto"/>
          <w:lang w:val="en-US" w:eastAsia="zh-CN"/>
        </w:rPr>
        <w:t>硬件采购清单</w:t>
      </w:r>
    </w:p>
    <w:p w14:paraId="3C451081">
      <w:pPr>
        <w:pStyle w:val="21"/>
        <w:ind w:left="0" w:leftChars="0" w:firstLine="0" w:firstLineChars="0"/>
        <w:rPr>
          <w:rFonts w:hint="eastAsia" w:eastAsia="宋体"/>
          <w:color w:val="auto"/>
          <w:lang w:eastAsia="zh-CN"/>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rFonts w:hint="eastAsia"/>
          <w:color w:val="auto"/>
          <w:lang w:eastAsia="zh-CN"/>
        </w:rPr>
        <w:t xml:space="preserve"> 硬件设备建设清单</w:t>
      </w:r>
    </w:p>
    <w:tbl>
      <w:tblPr>
        <w:tblStyle w:val="47"/>
        <w:tblW w:w="8256" w:type="dxa"/>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8"/>
        <w:gridCol w:w="2906"/>
        <w:gridCol w:w="1926"/>
        <w:gridCol w:w="2446"/>
      </w:tblGrid>
      <w:tr w14:paraId="364FD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7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3CD64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highlight w:val="none"/>
                <w:u w:val="none"/>
                <w:lang w:val="en-US" w:eastAsia="zh-CN" w:bidi="ar"/>
              </w:rPr>
              <w:t>序号</w:t>
            </w:r>
          </w:p>
        </w:tc>
        <w:tc>
          <w:tcPr>
            <w:tcW w:w="290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14A4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highlight w:val="none"/>
                <w:u w:val="none"/>
                <w:lang w:val="en-US" w:eastAsia="zh-CN" w:bidi="ar"/>
              </w:rPr>
              <w:t>硬件名称</w:t>
            </w:r>
          </w:p>
        </w:tc>
        <w:tc>
          <w:tcPr>
            <w:tcW w:w="192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ABDBC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highlight w:val="none"/>
                <w:u w:val="none"/>
                <w:lang w:val="en-US" w:eastAsia="zh-CN" w:bidi="ar"/>
              </w:rPr>
              <w:t>数量</w:t>
            </w:r>
          </w:p>
        </w:tc>
        <w:tc>
          <w:tcPr>
            <w:tcW w:w="244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04930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highlight w:val="none"/>
                <w:u w:val="none"/>
                <w:lang w:val="en-US" w:eastAsia="zh-CN" w:bidi="ar"/>
              </w:rPr>
              <w:t>单位</w:t>
            </w:r>
          </w:p>
        </w:tc>
      </w:tr>
      <w:tr w14:paraId="1AA1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3884" w:type="dxa"/>
            <w:gridSpan w:val="2"/>
            <w:tcBorders>
              <w:top w:val="single" w:color="000000" w:sz="4" w:space="0"/>
              <w:left w:val="single" w:color="000000" w:sz="4" w:space="0"/>
              <w:bottom w:val="single" w:color="000000" w:sz="4" w:space="0"/>
              <w:right w:val="nil"/>
            </w:tcBorders>
            <w:shd w:val="clear" w:color="auto" w:fill="auto"/>
            <w:noWrap/>
            <w:vAlign w:val="center"/>
          </w:tcPr>
          <w:p w14:paraId="3EE8B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一、数据中心设备</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822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58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r>
      <w:tr w14:paraId="437B5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8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D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超融合一体机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0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C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58AD6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9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34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超融合计算虚拟化软件</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9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4B596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8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9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超融合网络虚拟化软件</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3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B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2FB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0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9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超融合存储虚拟化软件</w:t>
            </w:r>
          </w:p>
        </w:tc>
        <w:tc>
          <w:tcPr>
            <w:tcW w:w="1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0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5F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2714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B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A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CDP持续数据保护软件</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4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A5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503D7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2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4A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存储网万兆交换机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6E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E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5904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1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5C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业务网万兆交换机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0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79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FBE9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1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5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管理网交换机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8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43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0CE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1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35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终端准入管理系统</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E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8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59A4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7D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0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数据库管理平台</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6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1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套</w:t>
            </w:r>
          </w:p>
        </w:tc>
      </w:tr>
      <w:tr w14:paraId="3A75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B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cs="宋体"/>
                <w:i w:val="0"/>
                <w:iCs w:val="0"/>
                <w:color w:val="auto"/>
                <w:kern w:val="0"/>
                <w:sz w:val="22"/>
                <w:szCs w:val="22"/>
                <w:highlight w:val="none"/>
                <w:u w:val="none"/>
                <w:lang w:val="en-US" w:eastAsia="zh-CN" w:bidi="ar"/>
              </w:rPr>
              <w:t>11</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CE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国产化数据库软件</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2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15</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6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套</w:t>
            </w:r>
          </w:p>
        </w:tc>
      </w:tr>
      <w:tr w14:paraId="77806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3884" w:type="dxa"/>
            <w:gridSpan w:val="2"/>
            <w:tcBorders>
              <w:top w:val="single" w:color="000000" w:sz="4" w:space="0"/>
              <w:left w:val="single" w:color="000000" w:sz="4" w:space="0"/>
              <w:bottom w:val="single" w:color="000000" w:sz="4" w:space="0"/>
              <w:right w:val="nil"/>
            </w:tcBorders>
            <w:shd w:val="clear" w:color="auto" w:fill="auto"/>
            <w:noWrap/>
            <w:vAlign w:val="center"/>
          </w:tcPr>
          <w:p w14:paraId="55D0A7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二、其他配套设备</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64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FDA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r>
      <w:tr w14:paraId="526AE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B0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0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电子白板</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14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B6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块</w:t>
            </w:r>
          </w:p>
        </w:tc>
      </w:tr>
      <w:tr w14:paraId="7766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A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9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移动护理PDA</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D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2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239A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75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7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碗带打印机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1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E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494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1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6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移动工作站</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2E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05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0357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1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0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轮椅秤集成接诊一体机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4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A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584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4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3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台式血压计集成接诊一体机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8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B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133C1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2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7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叫号系统大屏</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F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7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3D03E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3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2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患者卡</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B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F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79231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8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9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电脑</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89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E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521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F4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1E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移动手持终端</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F6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54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3AAC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9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F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移动急救工作站</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F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9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5F31D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F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C5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时钟同步服务器、子母钟</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23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B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项目</w:t>
            </w:r>
          </w:p>
        </w:tc>
      </w:tr>
      <w:tr w14:paraId="2A00E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9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9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条码打印机</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28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9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D828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5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8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身份证读卡器</w:t>
            </w:r>
          </w:p>
        </w:tc>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E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4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bl>
    <w:p w14:paraId="645F0CE9">
      <w:pPr>
        <w:pStyle w:val="12"/>
        <w:bidi w:val="0"/>
        <w:ind w:left="864" w:leftChars="0" w:hanging="864" w:firstLineChars="0"/>
        <w:rPr>
          <w:rFonts w:hint="eastAsia"/>
          <w:color w:val="auto"/>
        </w:rPr>
      </w:pPr>
      <w:r>
        <w:rPr>
          <w:rFonts w:hint="eastAsia"/>
          <w:color w:val="auto"/>
          <w:lang w:val="en-US" w:eastAsia="zh-CN"/>
        </w:rPr>
        <w:t>密码改造清单</w:t>
      </w:r>
    </w:p>
    <w:p w14:paraId="33CD17E3">
      <w:pPr>
        <w:pStyle w:val="21"/>
        <w:rPr>
          <w:rFonts w:hint="eastAsia" w:eastAsia="宋体"/>
          <w:color w:val="auto"/>
          <w:lang w:eastAsia="zh-CN"/>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rFonts w:hint="eastAsia"/>
          <w:color w:val="auto"/>
          <w:lang w:eastAsia="zh-CN"/>
        </w:rPr>
        <w:t>密码改造清单</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0"/>
        <w:gridCol w:w="3051"/>
        <w:gridCol w:w="1969"/>
        <w:gridCol w:w="2529"/>
      </w:tblGrid>
      <w:tr w14:paraId="1C719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56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87FE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79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864F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硬件名称</w:t>
            </w:r>
          </w:p>
        </w:tc>
        <w:tc>
          <w:tcPr>
            <w:tcW w:w="115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7B6F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14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5FE0C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14:paraId="2A5C6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E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cs="宋体"/>
                <w:i w:val="0"/>
                <w:iCs w:val="0"/>
                <w:color w:val="auto"/>
                <w:kern w:val="2"/>
                <w:sz w:val="21"/>
                <w:szCs w:val="21"/>
                <w:highlight w:val="none"/>
                <w:u w:val="none"/>
                <w:lang w:val="en-US" w:eastAsia="zh-CN" w:bidi="ar-SA"/>
              </w:rPr>
              <w:t>1</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036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签名验签服务器系统</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AC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2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台</w:t>
            </w:r>
          </w:p>
        </w:tc>
      </w:tr>
      <w:tr w14:paraId="5D6D0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F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2</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6A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加密机</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4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E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2D98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6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3</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A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智能密码钥匙</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0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5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个</w:t>
            </w:r>
          </w:p>
        </w:tc>
      </w:tr>
      <w:tr w14:paraId="4E48F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5C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4</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72C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服务器密码机系统</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4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81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69DB2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CF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5</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B0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协同签名系统</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C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6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3C17A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97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6</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6C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国密安全浏览器</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8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EC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7CB2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FA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7</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AD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个人证书</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79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E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0347A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F4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8</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75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设备证书</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B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4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18249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03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9</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7C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商密站点证书</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4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DC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个/3年</w:t>
            </w:r>
          </w:p>
        </w:tc>
      </w:tr>
      <w:tr w14:paraId="5ACD5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4E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cs="宋体"/>
                <w:i w:val="0"/>
                <w:iCs w:val="0"/>
                <w:color w:val="auto"/>
                <w:sz w:val="21"/>
                <w:szCs w:val="21"/>
                <w:u w:val="none"/>
                <w:lang w:val="en-US" w:eastAsia="zh-CN"/>
              </w:rPr>
              <w:t>10</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2E1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密码咨询服务</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6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9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人/30天</w:t>
            </w:r>
          </w:p>
        </w:tc>
      </w:tr>
      <w:bookmarkEnd w:id="9"/>
      <w:bookmarkEnd w:id="12"/>
      <w:bookmarkEnd w:id="13"/>
      <w:bookmarkEnd w:id="14"/>
      <w:bookmarkEnd w:id="20"/>
      <w:bookmarkEnd w:id="21"/>
      <w:bookmarkEnd w:id="22"/>
      <w:bookmarkEnd w:id="23"/>
    </w:tbl>
    <w:p w14:paraId="561429AA">
      <w:pPr>
        <w:pStyle w:val="5"/>
        <w:bidi w:val="0"/>
        <w:ind w:left="432" w:leftChars="0" w:hanging="432" w:firstLineChars="0"/>
        <w:rPr>
          <w:rFonts w:hint="eastAsia"/>
          <w:color w:val="auto"/>
        </w:rPr>
      </w:pPr>
      <w:bookmarkStart w:id="24" w:name="_Toc107904404"/>
      <w:bookmarkEnd w:id="24"/>
      <w:bookmarkStart w:id="25" w:name="_Toc107904401"/>
      <w:bookmarkEnd w:id="25"/>
      <w:bookmarkStart w:id="26" w:name="_Toc107904384"/>
      <w:bookmarkEnd w:id="26"/>
      <w:bookmarkStart w:id="27" w:name="_Toc107904381"/>
      <w:bookmarkEnd w:id="27"/>
      <w:bookmarkStart w:id="28" w:name="_Toc14559"/>
      <w:bookmarkStart w:id="29" w:name="_Toc19590"/>
      <w:bookmarkStart w:id="30" w:name="_Toc31282"/>
      <w:r>
        <w:rPr>
          <w:rFonts w:hint="eastAsia"/>
          <w:color w:val="auto"/>
        </w:rPr>
        <w:t>项目建设方案</w:t>
      </w:r>
      <w:bookmarkEnd w:id="28"/>
      <w:bookmarkEnd w:id="29"/>
    </w:p>
    <w:p w14:paraId="7A81048D">
      <w:pPr>
        <w:pStyle w:val="6"/>
        <w:bidi w:val="0"/>
        <w:ind w:left="575" w:leftChars="0" w:hanging="575" w:firstLineChars="0"/>
        <w:rPr>
          <w:rFonts w:hint="eastAsia"/>
          <w:color w:val="auto"/>
          <w:highlight w:val="none"/>
        </w:rPr>
      </w:pPr>
      <w:bookmarkStart w:id="31" w:name="_Toc7510"/>
      <w:bookmarkEnd w:id="31"/>
      <w:bookmarkStart w:id="32" w:name="_Toc30702"/>
      <w:bookmarkEnd w:id="32"/>
      <w:bookmarkStart w:id="33" w:name="_Toc130917518"/>
      <w:bookmarkEnd w:id="33"/>
      <w:bookmarkStart w:id="34" w:name="_Toc32705"/>
      <w:r>
        <w:rPr>
          <w:rFonts w:hint="eastAsia"/>
          <w:color w:val="auto"/>
          <w:highlight w:val="none"/>
          <w:lang w:val="en-US" w:eastAsia="zh-CN"/>
        </w:rPr>
        <w:t>总体</w:t>
      </w:r>
      <w:r>
        <w:rPr>
          <w:rFonts w:hint="eastAsia"/>
          <w:color w:val="auto"/>
          <w:highlight w:val="none"/>
        </w:rPr>
        <w:t>建设</w:t>
      </w:r>
      <w:r>
        <w:rPr>
          <w:rFonts w:hint="eastAsia"/>
          <w:color w:val="auto"/>
          <w:highlight w:val="none"/>
          <w:lang w:val="en-US" w:eastAsia="zh-CN"/>
        </w:rPr>
        <w:t>方案</w:t>
      </w:r>
      <w:bookmarkEnd w:id="34"/>
    </w:p>
    <w:p w14:paraId="3524BF92">
      <w:pPr>
        <w:pStyle w:val="10"/>
        <w:bidi w:val="0"/>
        <w:ind w:left="720" w:leftChars="0" w:hanging="720" w:firstLineChars="0"/>
        <w:rPr>
          <w:rFonts w:hint="eastAsia"/>
          <w:color w:val="auto"/>
          <w:lang w:val="en-US" w:eastAsia="zh-CN"/>
        </w:rPr>
      </w:pPr>
      <w:bookmarkStart w:id="35" w:name="_Toc32240"/>
      <w:bookmarkStart w:id="36" w:name="_Toc24403"/>
      <w:r>
        <w:rPr>
          <w:rFonts w:hint="eastAsia"/>
          <w:color w:val="auto"/>
          <w:lang w:val="en-US" w:eastAsia="zh-CN"/>
        </w:rPr>
        <w:t>建设思路</w:t>
      </w:r>
      <w:bookmarkEnd w:id="35"/>
    </w:p>
    <w:p w14:paraId="4AB814B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heme="minorEastAsia"/>
          <w:color w:val="auto"/>
          <w:sz w:val="24"/>
          <w:szCs w:val="24"/>
          <w:lang w:val="en-US" w:eastAsia="zh-CN"/>
        </w:rPr>
      </w:pPr>
      <w:r>
        <w:rPr>
          <w:rFonts w:hint="eastAsia" w:ascii="宋体" w:hAnsi="宋体" w:eastAsia="宋体" w:cstheme="minorEastAsia"/>
          <w:color w:val="auto"/>
          <w:sz w:val="24"/>
          <w:szCs w:val="24"/>
          <w:lang w:val="en-US" w:eastAsia="zh-CN"/>
        </w:rPr>
        <w:t>本次</w:t>
      </w:r>
      <w:r>
        <w:rPr>
          <w:rFonts w:hint="eastAsia" w:ascii="宋体" w:hAnsi="宋体" w:eastAsia="宋体" w:cs="宋体"/>
          <w:color w:val="auto"/>
          <w:kern w:val="2"/>
          <w:sz w:val="24"/>
          <w:szCs w:val="24"/>
          <w:highlight w:val="none"/>
          <w:lang w:val="en-US" w:eastAsia="zh-CN" w:bidi="ar"/>
        </w:rPr>
        <w:t>樟树市人民医院院内信息化建设项目</w:t>
      </w:r>
      <w:r>
        <w:rPr>
          <w:rFonts w:hint="eastAsia" w:ascii="宋体" w:hAnsi="宋体" w:eastAsia="宋体" w:cstheme="minorEastAsia"/>
          <w:color w:val="auto"/>
          <w:sz w:val="24"/>
          <w:szCs w:val="24"/>
          <w:lang w:val="en-US" w:eastAsia="zh-CN"/>
        </w:rPr>
        <w:t>将按照顶层架构整体设计、分步实施、持续改进的总体策略来规划。秉承“以患者为中心、以业务人员为主体，全面提升决策、管理和诊疗水平”的设计理念，遵循国内医疗卫生相关标准和政策，以电子病历四级标准，提高医疗服务的质量、效率和安全性，为人民群众提供安全、有效、方便的医疗卫生服务为目标，对医院进行整体建设规划，逐步把医院建设成模式先进、流程优化、管理配套、支撑有力、运作高效，符合新时代医院发展要求的智慧医院。</w:t>
      </w:r>
    </w:p>
    <w:p w14:paraId="6E2B8C80">
      <w:pPr>
        <w:ind w:firstLine="480"/>
        <w:rPr>
          <w:rFonts w:hint="eastAsia"/>
          <w:color w:val="auto"/>
          <w:lang w:val="en-US" w:eastAsia="zh-CN"/>
        </w:rPr>
      </w:pPr>
      <w:r>
        <w:rPr>
          <w:rFonts w:hint="eastAsia" w:ascii="宋体" w:hAnsi="宋体" w:eastAsia="宋体" w:cstheme="minorEastAsia"/>
          <w:color w:val="auto"/>
          <w:sz w:val="24"/>
          <w:szCs w:val="24"/>
          <w:lang w:val="en-US" w:eastAsia="zh-CN"/>
        </w:rPr>
        <w:t>规划设计建设</w:t>
      </w:r>
      <w:r>
        <w:rPr>
          <w:rFonts w:hint="eastAsia" w:cstheme="minorEastAsia"/>
          <w:color w:val="auto"/>
          <w:sz w:val="24"/>
          <w:szCs w:val="24"/>
          <w:lang w:val="en-US" w:eastAsia="zh-CN"/>
        </w:rPr>
        <w:t>数据平台、基础系统、便民服务、急诊急救、基础HIS、医技管理、医疗管理、护理管理、药事管理、结算系统、运营管理等十一个系统</w:t>
      </w:r>
      <w:r>
        <w:rPr>
          <w:rFonts w:hint="eastAsia" w:ascii="宋体" w:hAnsi="宋体" w:eastAsia="宋体" w:cstheme="minorEastAsia"/>
          <w:color w:val="auto"/>
          <w:sz w:val="24"/>
          <w:szCs w:val="24"/>
          <w:lang w:val="en-US" w:eastAsia="zh-CN"/>
        </w:rPr>
        <w:t>，部署在</w:t>
      </w:r>
      <w:r>
        <w:rPr>
          <w:rFonts w:hint="eastAsia" w:cstheme="minorEastAsia"/>
          <w:color w:val="auto"/>
          <w:sz w:val="24"/>
          <w:szCs w:val="24"/>
          <w:lang w:val="en-US" w:eastAsia="zh-CN"/>
        </w:rPr>
        <w:t>樟树市</w:t>
      </w:r>
      <w:r>
        <w:rPr>
          <w:rFonts w:hint="eastAsia" w:ascii="宋体" w:hAnsi="宋体" w:eastAsia="宋体" w:cstheme="minorEastAsia"/>
          <w:color w:val="auto"/>
          <w:sz w:val="24"/>
          <w:szCs w:val="24"/>
          <w:lang w:val="en-US" w:eastAsia="zh-CN"/>
        </w:rPr>
        <w:t>人民医院，再根据医院实际需求进行相应调整，提升医院整体信息化水平。</w:t>
      </w:r>
    </w:p>
    <w:p w14:paraId="4CDB0087">
      <w:pPr>
        <w:pStyle w:val="10"/>
        <w:bidi w:val="0"/>
        <w:ind w:left="720" w:leftChars="0" w:hanging="720" w:firstLineChars="0"/>
        <w:rPr>
          <w:rFonts w:hint="eastAsia"/>
          <w:color w:val="auto"/>
          <w:lang w:val="en-US" w:eastAsia="zh-CN"/>
        </w:rPr>
      </w:pPr>
      <w:bookmarkStart w:id="37" w:name="_Toc28017"/>
      <w:r>
        <w:rPr>
          <w:rFonts w:hint="eastAsia"/>
          <w:color w:val="auto"/>
          <w:lang w:val="en-US" w:eastAsia="zh-CN"/>
        </w:rPr>
        <w:t>总体目标</w:t>
      </w:r>
      <w:bookmarkEnd w:id="37"/>
    </w:p>
    <w:p w14:paraId="24E2D268">
      <w:pPr>
        <w:pStyle w:val="2"/>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eastAsia"/>
          <w:color w:val="auto"/>
          <w:sz w:val="24"/>
          <w:szCs w:val="24"/>
        </w:rPr>
      </w:pPr>
      <w:r>
        <w:rPr>
          <w:rFonts w:hint="eastAsia"/>
          <w:color w:val="auto"/>
          <w:sz w:val="24"/>
          <w:szCs w:val="24"/>
        </w:rPr>
        <w:t>本次</w:t>
      </w:r>
      <w:r>
        <w:rPr>
          <w:rFonts w:hint="eastAsia" w:ascii="宋体" w:hAnsi="宋体" w:eastAsia="宋体" w:cs="宋体"/>
          <w:color w:val="auto"/>
          <w:kern w:val="2"/>
          <w:sz w:val="24"/>
          <w:szCs w:val="24"/>
          <w:highlight w:val="none"/>
          <w:lang w:val="en-US" w:eastAsia="zh-CN" w:bidi="ar"/>
        </w:rPr>
        <w:t>樟树市人民医院院内信息化建设项目</w:t>
      </w:r>
      <w:r>
        <w:rPr>
          <w:rFonts w:hint="eastAsia"/>
          <w:color w:val="auto"/>
          <w:sz w:val="24"/>
          <w:szCs w:val="24"/>
        </w:rPr>
        <w:t>将按照顶层架构整体设计、分步实施、持续改进的总体策略来规划。秉承“以患者为中心、以业务人员为主体，全面提升决策、管理和诊疗水平”的设计理念，遵循国内医疗卫生相关标准和政策，</w:t>
      </w:r>
      <w:r>
        <w:rPr>
          <w:rFonts w:hint="eastAsia"/>
          <w:b w:val="0"/>
          <w:bCs w:val="0"/>
          <w:color w:val="auto"/>
          <w:sz w:val="24"/>
          <w:szCs w:val="24"/>
        </w:rPr>
        <w:t>以</w:t>
      </w:r>
      <w:r>
        <w:rPr>
          <w:rFonts w:hint="eastAsia"/>
          <w:b/>
          <w:bCs/>
          <w:color w:val="auto"/>
          <w:sz w:val="24"/>
          <w:szCs w:val="24"/>
          <w:lang w:val="en-US" w:eastAsia="zh-CN"/>
        </w:rPr>
        <w:t>《电子病历系统应用水平分级评价标准（试行）》四级</w:t>
      </w:r>
      <w:r>
        <w:rPr>
          <w:rFonts w:hint="eastAsia"/>
          <w:b w:val="0"/>
          <w:bCs w:val="0"/>
          <w:color w:val="auto"/>
          <w:sz w:val="24"/>
          <w:szCs w:val="24"/>
          <w:lang w:val="en-US" w:eastAsia="zh-CN"/>
        </w:rPr>
        <w:t>标准</w:t>
      </w:r>
      <w:r>
        <w:rPr>
          <w:rFonts w:hint="eastAsia"/>
          <w:b w:val="0"/>
          <w:bCs w:val="0"/>
          <w:color w:val="auto"/>
          <w:sz w:val="24"/>
          <w:szCs w:val="24"/>
        </w:rPr>
        <w:t>提高医疗服务的质量、效率和安全性</w:t>
      </w:r>
      <w:r>
        <w:rPr>
          <w:rFonts w:hint="eastAsia"/>
          <w:b w:val="0"/>
          <w:bCs w:val="0"/>
          <w:color w:val="auto"/>
          <w:sz w:val="24"/>
          <w:szCs w:val="24"/>
          <w:lang w:eastAsia="zh-CN"/>
        </w:rPr>
        <w:t>，为人民群众提供安全、有效、方便</w:t>
      </w:r>
      <w:r>
        <w:rPr>
          <w:rFonts w:hint="eastAsia"/>
          <w:b w:val="0"/>
          <w:bCs w:val="0"/>
          <w:color w:val="auto"/>
          <w:sz w:val="24"/>
          <w:szCs w:val="24"/>
          <w:lang w:val="en-US" w:eastAsia="zh-CN"/>
        </w:rPr>
        <w:t>的</w:t>
      </w:r>
      <w:r>
        <w:rPr>
          <w:rFonts w:hint="eastAsia"/>
          <w:b w:val="0"/>
          <w:bCs w:val="0"/>
          <w:color w:val="auto"/>
          <w:sz w:val="24"/>
          <w:szCs w:val="24"/>
          <w:lang w:eastAsia="zh-CN"/>
        </w:rPr>
        <w:t>医疗卫生服务</w:t>
      </w:r>
      <w:r>
        <w:rPr>
          <w:rFonts w:hint="eastAsia"/>
          <w:b w:val="0"/>
          <w:bCs w:val="0"/>
          <w:color w:val="auto"/>
          <w:sz w:val="24"/>
          <w:szCs w:val="24"/>
          <w:lang w:val="en-US" w:eastAsia="zh-CN"/>
        </w:rPr>
        <w:t>为总体目标，</w:t>
      </w:r>
      <w:r>
        <w:rPr>
          <w:rFonts w:hint="eastAsia"/>
          <w:color w:val="auto"/>
          <w:sz w:val="24"/>
          <w:szCs w:val="24"/>
        </w:rPr>
        <w:t>对医院进行整体建设规划，逐步把医院建设成模式先进、流程优化、管理配套、支撑有力、运作高效，符合新时代医院发展要求的智慧医院。</w:t>
      </w:r>
    </w:p>
    <w:p w14:paraId="7DDFD173">
      <w:pPr>
        <w:ind w:firstLine="480"/>
        <w:rPr>
          <w:rFonts w:hint="eastAsia"/>
          <w:bCs/>
          <w:color w:val="auto"/>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3CF9064E">
      <w:pPr>
        <w:pStyle w:val="10"/>
        <w:bidi w:val="0"/>
        <w:ind w:left="720" w:leftChars="0" w:hanging="720" w:firstLineChars="0"/>
        <w:rPr>
          <w:rFonts w:hint="eastAsia"/>
          <w:color w:val="auto"/>
          <w:highlight w:val="none"/>
          <w:lang w:val="en-US" w:eastAsia="zh-CN"/>
        </w:rPr>
      </w:pPr>
      <w:bookmarkStart w:id="38" w:name="_Toc2995"/>
      <w:r>
        <w:rPr>
          <w:rFonts w:hint="eastAsia"/>
          <w:color w:val="auto"/>
          <w:highlight w:val="none"/>
          <w:lang w:val="en-US" w:eastAsia="zh-CN"/>
        </w:rPr>
        <w:t>本次建设总体架构</w:t>
      </w:r>
      <w:bookmarkEnd w:id="38"/>
    </w:p>
    <w:p w14:paraId="28273591">
      <w:pPr>
        <w:ind w:left="0" w:leftChars="0" w:firstLine="0" w:firstLineChars="0"/>
        <w:rPr>
          <w:rFonts w:hint="eastAsia"/>
          <w:color w:val="auto"/>
          <w:lang w:val="en-US" w:eastAsia="zh-CN"/>
        </w:rPr>
      </w:pPr>
      <w:r>
        <w:rPr>
          <w:color w:val="auto"/>
        </w:rPr>
        <w:drawing>
          <wp:inline distT="0" distB="0" distL="114300" distR="114300">
            <wp:extent cx="5273040" cy="6028690"/>
            <wp:effectExtent l="0" t="0" r="1333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273040" cy="6028690"/>
                    </a:xfrm>
                    <a:prstGeom prst="rect">
                      <a:avLst/>
                    </a:prstGeom>
                    <a:noFill/>
                    <a:ln>
                      <a:noFill/>
                    </a:ln>
                  </pic:spPr>
                </pic:pic>
              </a:graphicData>
            </a:graphic>
          </wp:inline>
        </w:drawing>
      </w:r>
    </w:p>
    <w:p w14:paraId="097ABE47">
      <w:pPr>
        <w:pStyle w:val="21"/>
        <w:ind w:firstLine="0" w:firstLineChars="0"/>
        <w:jc w:val="center"/>
        <w:rPr>
          <w:rFonts w:hint="eastAsia"/>
          <w:color w:val="auto"/>
        </w:rPr>
      </w:pPr>
      <w:r>
        <w:rPr>
          <w:color w:val="auto"/>
        </w:rPr>
        <w:t xml:space="preserve">图 </w:t>
      </w:r>
      <w:r>
        <w:rPr>
          <w:rFonts w:hint="eastAsia"/>
          <w:color w:val="auto"/>
          <w:lang w:val="en-US" w:eastAsia="zh-CN"/>
        </w:rPr>
        <w:t>5</w:t>
      </w:r>
      <w:r>
        <w:rPr>
          <w:rFonts w:hint="eastAsia"/>
          <w:color w:val="auto"/>
        </w:rPr>
        <w:t>-</w:t>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rFonts w:hint="eastAsia"/>
          <w:color w:val="auto"/>
        </w:rPr>
        <w:t>总体架构图</w:t>
      </w:r>
    </w:p>
    <w:p w14:paraId="4E4904CA">
      <w:pPr>
        <w:pStyle w:val="10"/>
        <w:bidi w:val="0"/>
        <w:ind w:left="720" w:leftChars="0" w:hanging="720" w:firstLineChars="0"/>
        <w:rPr>
          <w:rFonts w:hint="eastAsia"/>
          <w:color w:val="auto"/>
        </w:rPr>
      </w:pPr>
      <w:bookmarkStart w:id="39" w:name="_Toc10700"/>
      <w:r>
        <w:rPr>
          <w:rFonts w:hint="eastAsia"/>
          <w:color w:val="auto"/>
        </w:rPr>
        <w:t>标准规范建设内容</w:t>
      </w:r>
      <w:bookmarkEnd w:id="36"/>
      <w:bookmarkEnd w:id="39"/>
    </w:p>
    <w:p w14:paraId="7C0792C1">
      <w:pPr>
        <w:pStyle w:val="12"/>
        <w:bidi w:val="0"/>
        <w:ind w:left="864" w:leftChars="0" w:hanging="864" w:firstLineChars="0"/>
        <w:rPr>
          <w:rFonts w:hint="eastAsia"/>
          <w:color w:val="auto"/>
        </w:rPr>
      </w:pPr>
      <w:bookmarkStart w:id="40" w:name="_Toc445917469"/>
      <w:bookmarkEnd w:id="40"/>
      <w:bookmarkStart w:id="41" w:name="_Toc489780905"/>
      <w:bookmarkEnd w:id="41"/>
      <w:bookmarkStart w:id="42" w:name="_Toc18154"/>
      <w:bookmarkEnd w:id="42"/>
      <w:bookmarkStart w:id="43" w:name="_Toc16182"/>
      <w:bookmarkEnd w:id="43"/>
      <w:bookmarkStart w:id="44" w:name="_Toc451608846"/>
      <w:bookmarkEnd w:id="44"/>
      <w:bookmarkStart w:id="45" w:name="_Toc140413565"/>
      <w:bookmarkEnd w:id="45"/>
      <w:bookmarkStart w:id="46" w:name="_Toc451634298"/>
      <w:bookmarkEnd w:id="46"/>
      <w:bookmarkStart w:id="47" w:name="_Toc510950403"/>
      <w:bookmarkEnd w:id="47"/>
      <w:bookmarkStart w:id="48" w:name="_Toc497120136"/>
      <w:bookmarkEnd w:id="48"/>
      <w:bookmarkStart w:id="49" w:name="_Toc451608675"/>
      <w:r>
        <w:rPr>
          <w:rFonts w:hint="eastAsia"/>
          <w:color w:val="auto"/>
        </w:rPr>
        <w:t>标准规范总体架构</w:t>
      </w:r>
      <w:bookmarkEnd w:id="49"/>
    </w:p>
    <w:p w14:paraId="34C7A00E">
      <w:pPr>
        <w:bidi w:val="0"/>
        <w:rPr>
          <w:rFonts w:hint="eastAsia"/>
          <w:color w:val="auto"/>
        </w:rPr>
      </w:pPr>
      <w:r>
        <w:rPr>
          <w:rFonts w:hint="eastAsia"/>
          <w:color w:val="auto"/>
        </w:rPr>
        <w:t>医疗信息数据中心的标准规范由一系列的规范、机制、制度组成。医疗信息数据中心的标准规范体系包含数据标准规范、技术标准规范、管理标准规范、业务标准四个部分。</w:t>
      </w:r>
    </w:p>
    <w:p w14:paraId="73BAD837">
      <w:pPr>
        <w:bidi w:val="0"/>
        <w:rPr>
          <w:rFonts w:hint="eastAsia"/>
          <w:color w:val="auto"/>
        </w:rPr>
      </w:pPr>
      <w:r>
        <w:rPr>
          <w:rFonts w:hint="eastAsia"/>
          <w:color w:val="auto"/>
        </w:rPr>
        <w:t>数据标准规范：公共数据元标准、公共代码标准、公共数据存取规范、数据交换规范。</w:t>
      </w:r>
    </w:p>
    <w:p w14:paraId="61842094">
      <w:pPr>
        <w:bidi w:val="0"/>
        <w:rPr>
          <w:rFonts w:hint="eastAsia"/>
          <w:color w:val="auto"/>
        </w:rPr>
      </w:pPr>
      <w:r>
        <w:rPr>
          <w:rFonts w:hint="eastAsia"/>
          <w:color w:val="auto"/>
        </w:rPr>
        <w:t>技术标准规范：通过技术标准规范支持医院、业务部门系统和数据中心之间的数据级和应用级整合，并提高业务系统之间的应用集成、互联互通的能力。</w:t>
      </w:r>
    </w:p>
    <w:p w14:paraId="2A9EFFE6">
      <w:pPr>
        <w:pStyle w:val="85"/>
        <w:ind w:firstLine="480"/>
        <w:rPr>
          <w:rFonts w:hint="eastAsia" w:ascii="宋体" w:hAnsi="宋体"/>
          <w:color w:val="auto"/>
        </w:rPr>
      </w:pPr>
      <w:r>
        <w:rPr>
          <w:rFonts w:hint="eastAsia" w:ascii="宋体" w:hAnsi="宋体"/>
          <w:color w:val="auto"/>
        </w:rPr>
        <w:t>管理标准规范：标准管理、安全管理、数据管理、项目管理，用于指导数据中心日常运行管理、数据维护管理。</w:t>
      </w:r>
    </w:p>
    <w:p w14:paraId="6D5B181A">
      <w:pPr>
        <w:pStyle w:val="85"/>
        <w:ind w:firstLine="480"/>
        <w:rPr>
          <w:rFonts w:hint="eastAsia" w:ascii="宋体" w:hAnsi="宋体"/>
          <w:color w:val="auto"/>
        </w:rPr>
      </w:pPr>
      <w:r>
        <w:rPr>
          <w:rFonts w:hint="eastAsia" w:ascii="宋体" w:hAnsi="宋体"/>
          <w:color w:val="auto"/>
        </w:rPr>
        <w:t>业务标准：独立业务标准由业务部门制定，关联业务标准由数据中心统筹，协调各业务部门联合制定。</w:t>
      </w:r>
    </w:p>
    <w:p w14:paraId="2D174CA1">
      <w:pPr>
        <w:pStyle w:val="85"/>
        <w:ind w:firstLine="480"/>
        <w:rPr>
          <w:rFonts w:hint="eastAsia" w:ascii="宋体" w:hAnsi="宋体"/>
          <w:color w:val="auto"/>
        </w:rPr>
      </w:pPr>
      <w:r>
        <w:rPr>
          <w:rFonts w:hint="eastAsia" w:ascii="宋体" w:hAnsi="宋体"/>
          <w:color w:val="auto"/>
        </w:rPr>
        <w:t>区域医疗信息化业务信息系统数据标准包括业务数据采集标准，个人健康信息标准，统计数据标准，共享数据标准，交换数据标准及医疗信息国际标准。我们要针对不同机构的不同业务，制定统一的应用服务接口标准体系，该标准体系是数据交换的保证。所有接入该平台的应用软件系统，都必须遵循这个统一的接口标准。</w:t>
      </w:r>
    </w:p>
    <w:p w14:paraId="612BD90A">
      <w:pPr>
        <w:pStyle w:val="85"/>
        <w:ind w:firstLine="480"/>
        <w:rPr>
          <w:rFonts w:hint="eastAsia" w:ascii="宋体" w:hAnsi="宋体" w:eastAsia="宋体"/>
          <w:color w:val="auto"/>
          <w:lang w:eastAsia="zh-CN"/>
        </w:rPr>
      </w:pPr>
      <w:r>
        <w:rPr>
          <w:rFonts w:hint="eastAsia" w:ascii="宋体" w:hAnsi="宋体"/>
          <w:color w:val="auto"/>
        </w:rPr>
        <w:t>该标准体系根据接入方的对象不同可以细分为：医院接口标准体系、社区接口标准体系、卫生行政接口标准体系和公共卫生接口标准体系等。由于医疗卫生行业的各业务中都有通用的国际标准，如HL7，DICOM，HIPPA等，故在建立接口标准体系时，可以很好地利用这些已有的标准，以提高标准的通用性</w:t>
      </w:r>
      <w:r>
        <w:rPr>
          <w:rFonts w:hint="eastAsia" w:ascii="宋体" w:hAnsi="宋体"/>
          <w:color w:val="auto"/>
          <w:lang w:eastAsia="zh-CN"/>
        </w:rPr>
        <w:t>。</w:t>
      </w:r>
    </w:p>
    <w:p w14:paraId="6768464C">
      <w:pPr>
        <w:widowControl/>
        <w:ind w:firstLine="480" w:firstLineChars="0"/>
        <w:jc w:val="left"/>
        <w:rPr>
          <w:rFonts w:hint="eastAsia"/>
          <w:color w:val="auto"/>
          <w:kern w:val="0"/>
          <w:sz w:val="24"/>
          <w:szCs w:val="24"/>
        </w:rPr>
      </w:pPr>
      <w:r>
        <w:rPr>
          <w:rFonts w:hint="eastAsia"/>
          <w:color w:val="auto"/>
          <w:kern w:val="0"/>
          <w:sz w:val="24"/>
          <w:szCs w:val="24"/>
        </w:rPr>
        <w:t>各部门数据集标准，数据共享交换标准可以由数据使用方提出初步意见，由各部门审核通过，以上各标准的数据编码应遵循数据编码规范，数据编码规范由医院信息化标准小组统一制定，制定各种标准和规范时可参考国际或国家的标准。</w:t>
      </w:r>
    </w:p>
    <w:p w14:paraId="26CE8CE0">
      <w:pPr>
        <w:pStyle w:val="12"/>
        <w:bidi w:val="0"/>
        <w:ind w:left="864" w:leftChars="0" w:hanging="864" w:firstLineChars="0"/>
        <w:rPr>
          <w:rFonts w:hint="eastAsia"/>
          <w:color w:val="auto"/>
        </w:rPr>
      </w:pPr>
      <w:bookmarkStart w:id="50" w:name="_Toc445917471"/>
      <w:bookmarkEnd w:id="50"/>
      <w:bookmarkStart w:id="51" w:name="_Toc489780907"/>
      <w:bookmarkEnd w:id="51"/>
      <w:bookmarkStart w:id="52" w:name="_Toc451634300"/>
      <w:bookmarkEnd w:id="52"/>
      <w:bookmarkStart w:id="53" w:name="_Toc28283"/>
      <w:bookmarkEnd w:id="53"/>
      <w:bookmarkStart w:id="54" w:name="_Toc510950405"/>
      <w:bookmarkEnd w:id="54"/>
      <w:bookmarkStart w:id="55" w:name="_Toc497120138"/>
      <w:bookmarkEnd w:id="55"/>
      <w:bookmarkStart w:id="56" w:name="_Toc26487"/>
      <w:bookmarkEnd w:id="56"/>
      <w:bookmarkStart w:id="57" w:name="_Toc451608677"/>
      <w:bookmarkEnd w:id="57"/>
      <w:bookmarkStart w:id="58" w:name="_Toc451608848"/>
      <w:r>
        <w:rPr>
          <w:rFonts w:hint="eastAsia"/>
          <w:color w:val="auto"/>
        </w:rPr>
        <w:t>制定规范</w:t>
      </w:r>
      <w:bookmarkEnd w:id="58"/>
    </w:p>
    <w:p w14:paraId="6229FCF1">
      <w:pPr>
        <w:widowControl/>
        <w:ind w:firstLine="560" w:firstLineChars="0"/>
        <w:jc w:val="left"/>
        <w:rPr>
          <w:rFonts w:hint="eastAsia"/>
          <w:color w:val="auto"/>
          <w:kern w:val="0"/>
          <w:sz w:val="24"/>
          <w:szCs w:val="24"/>
        </w:rPr>
      </w:pPr>
      <w:r>
        <w:rPr>
          <w:rFonts w:hint="eastAsia"/>
          <w:color w:val="auto"/>
          <w:kern w:val="0"/>
          <w:sz w:val="24"/>
          <w:szCs w:val="24"/>
        </w:rPr>
        <w:t>1、形成统一的医院基础数据信息标准</w:t>
      </w:r>
    </w:p>
    <w:p w14:paraId="00798B15">
      <w:pPr>
        <w:widowControl/>
        <w:ind w:firstLine="560" w:firstLineChars="0"/>
        <w:jc w:val="left"/>
        <w:rPr>
          <w:rFonts w:hint="eastAsia"/>
          <w:color w:val="auto"/>
          <w:kern w:val="0"/>
          <w:sz w:val="24"/>
          <w:szCs w:val="24"/>
        </w:rPr>
      </w:pPr>
      <w:r>
        <w:rPr>
          <w:rFonts w:hint="eastAsia"/>
          <w:color w:val="auto"/>
          <w:kern w:val="0"/>
          <w:sz w:val="24"/>
          <w:szCs w:val="24"/>
        </w:rPr>
        <w:t>依据或参照国家标准，制定全院级主数据标准（包括：数据范围、数据结构和数据内容），保证全局数据一致性，破除信息孤岛，为未来可能采购或开发的新系统提出数据标准要求，从而保证信息系统建设的长期有效性。</w:t>
      </w:r>
    </w:p>
    <w:p w14:paraId="651B25F3">
      <w:pPr>
        <w:widowControl/>
        <w:ind w:firstLine="560" w:firstLineChars="0"/>
        <w:jc w:val="left"/>
        <w:rPr>
          <w:rFonts w:hint="eastAsia"/>
          <w:color w:val="auto"/>
          <w:kern w:val="0"/>
          <w:sz w:val="24"/>
          <w:szCs w:val="24"/>
        </w:rPr>
      </w:pPr>
      <w:r>
        <w:rPr>
          <w:rFonts w:hint="eastAsia"/>
          <w:color w:val="auto"/>
          <w:kern w:val="0"/>
          <w:sz w:val="24"/>
          <w:szCs w:val="24"/>
        </w:rPr>
        <w:t>2、形成统一的医院业务系统交互流程标准</w:t>
      </w:r>
    </w:p>
    <w:p w14:paraId="34BE99CE">
      <w:pPr>
        <w:widowControl/>
        <w:ind w:firstLine="560" w:firstLineChars="0"/>
        <w:jc w:val="left"/>
        <w:rPr>
          <w:rFonts w:hint="eastAsia"/>
          <w:color w:val="auto"/>
          <w:kern w:val="0"/>
          <w:sz w:val="24"/>
          <w:szCs w:val="24"/>
        </w:rPr>
      </w:pPr>
      <w:r>
        <w:rPr>
          <w:rFonts w:hint="eastAsia"/>
          <w:color w:val="auto"/>
          <w:kern w:val="0"/>
          <w:sz w:val="24"/>
          <w:szCs w:val="24"/>
        </w:rPr>
        <w:t>梳理医院各业务系统间业务交互场景，建立统一的业务交互标准（包括：接口数据集、接口交互文档、接口方式等），降低系统切换过程中的接口开发成本。同时，各业务系统对外接口按统一标准暴露出来，医院对各业务系统接口情况有了全局的掌控。使得各系统向专业化、纵深化方向发展、升级、改造更加轻松，为未来可能采购或开发的新系统提出交互标准要求，从而保证信息系统建设的长期有效性。</w:t>
      </w:r>
    </w:p>
    <w:p w14:paraId="5E5CD9E8">
      <w:pPr>
        <w:widowControl/>
        <w:ind w:firstLine="560" w:firstLineChars="0"/>
        <w:jc w:val="left"/>
        <w:rPr>
          <w:rFonts w:hint="eastAsia"/>
          <w:color w:val="auto"/>
          <w:kern w:val="0"/>
          <w:sz w:val="24"/>
          <w:szCs w:val="24"/>
        </w:rPr>
      </w:pPr>
      <w:r>
        <w:rPr>
          <w:rFonts w:hint="eastAsia"/>
          <w:color w:val="auto"/>
          <w:kern w:val="0"/>
          <w:sz w:val="24"/>
          <w:szCs w:val="24"/>
        </w:rPr>
        <w:t>3、形成统一的医院临床信息库标准</w:t>
      </w:r>
    </w:p>
    <w:p w14:paraId="4C84EC01">
      <w:pPr>
        <w:widowControl/>
        <w:ind w:firstLine="560" w:firstLineChars="0"/>
        <w:jc w:val="left"/>
        <w:rPr>
          <w:rFonts w:hint="eastAsia"/>
          <w:color w:val="auto"/>
          <w:kern w:val="0"/>
          <w:sz w:val="24"/>
          <w:szCs w:val="24"/>
        </w:rPr>
      </w:pPr>
      <w:r>
        <w:rPr>
          <w:rFonts w:hint="eastAsia"/>
          <w:color w:val="auto"/>
          <w:kern w:val="0"/>
          <w:sz w:val="24"/>
          <w:szCs w:val="24"/>
        </w:rPr>
        <w:t>以国家电子病历共享文档标准为基础，建立院内的临床文档标准，以标准为基础指导临床信息库建设。</w:t>
      </w:r>
    </w:p>
    <w:p w14:paraId="31C65DE1">
      <w:pPr>
        <w:widowControl/>
        <w:ind w:firstLine="560" w:firstLineChars="0"/>
        <w:jc w:val="left"/>
        <w:rPr>
          <w:rFonts w:hint="eastAsia"/>
          <w:color w:val="auto"/>
          <w:kern w:val="0"/>
          <w:sz w:val="24"/>
          <w:szCs w:val="24"/>
        </w:rPr>
      </w:pPr>
      <w:r>
        <w:rPr>
          <w:rFonts w:hint="eastAsia"/>
          <w:color w:val="auto"/>
          <w:kern w:val="0"/>
          <w:sz w:val="24"/>
          <w:szCs w:val="24"/>
        </w:rPr>
        <w:t>4、形成统一的医院运营管理库和科研数据库标准</w:t>
      </w:r>
    </w:p>
    <w:p w14:paraId="6C9A24D9">
      <w:pPr>
        <w:widowControl/>
        <w:ind w:firstLine="560" w:firstLineChars="0"/>
        <w:jc w:val="left"/>
        <w:rPr>
          <w:rFonts w:hint="eastAsia"/>
          <w:color w:val="auto"/>
          <w:kern w:val="0"/>
          <w:sz w:val="24"/>
          <w:szCs w:val="24"/>
        </w:rPr>
      </w:pPr>
      <w:r>
        <w:rPr>
          <w:rFonts w:hint="eastAsia"/>
          <w:color w:val="auto"/>
          <w:kern w:val="0"/>
          <w:sz w:val="24"/>
          <w:szCs w:val="24"/>
        </w:rPr>
        <w:t>根据医院相应扩展数据中心要求建设，包括：数据范围、数据标准、数据存储格式等。</w:t>
      </w:r>
    </w:p>
    <w:p w14:paraId="77F2A9C6">
      <w:pPr>
        <w:pStyle w:val="12"/>
        <w:bidi w:val="0"/>
        <w:ind w:left="864" w:leftChars="0" w:hanging="864" w:firstLineChars="0"/>
        <w:rPr>
          <w:rFonts w:hint="eastAsia"/>
          <w:color w:val="auto"/>
        </w:rPr>
      </w:pPr>
      <w:bookmarkStart w:id="59" w:name="_Toc510950404"/>
      <w:bookmarkEnd w:id="59"/>
      <w:bookmarkStart w:id="60" w:name="_Toc451608847"/>
      <w:bookmarkEnd w:id="60"/>
      <w:bookmarkStart w:id="61" w:name="_Toc451608676"/>
      <w:bookmarkEnd w:id="61"/>
      <w:bookmarkStart w:id="62" w:name="_Toc451634299"/>
      <w:bookmarkEnd w:id="62"/>
      <w:bookmarkStart w:id="63" w:name="_Toc445917470"/>
      <w:bookmarkEnd w:id="63"/>
      <w:bookmarkStart w:id="64" w:name="_Toc497120137"/>
      <w:bookmarkEnd w:id="64"/>
      <w:bookmarkStart w:id="65" w:name="_Toc2728"/>
      <w:bookmarkEnd w:id="65"/>
      <w:bookmarkStart w:id="66" w:name="_Toc489780906"/>
      <w:bookmarkEnd w:id="66"/>
      <w:r>
        <w:rPr>
          <w:rFonts w:hint="eastAsia"/>
          <w:color w:val="auto"/>
        </w:rPr>
        <w:t>基础数据类标准</w:t>
      </w:r>
    </w:p>
    <w:p w14:paraId="045DDECD">
      <w:pPr>
        <w:pStyle w:val="21"/>
        <w:jc w:val="center"/>
        <w:rPr>
          <w:color w:val="auto"/>
        </w:rPr>
      </w:pPr>
      <w:r>
        <w:rPr>
          <w:color w:val="auto"/>
        </w:rPr>
        <w:t xml:space="preserve">表 </w:t>
      </w:r>
      <w:r>
        <w:rPr>
          <w:rFonts w:hint="eastAsia"/>
          <w:color w:val="auto"/>
          <w:lang w:val="en-US" w:eastAsia="zh-CN"/>
        </w:rPr>
        <w:t>5</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rFonts w:hint="eastAsia"/>
          <w:color w:val="auto"/>
        </w:rPr>
        <w:t>基础数据类标准</w:t>
      </w:r>
    </w:p>
    <w:tbl>
      <w:tblPr>
        <w:tblStyle w:val="47"/>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2"/>
        <w:gridCol w:w="5826"/>
        <w:gridCol w:w="1974"/>
      </w:tblGrid>
      <w:tr w14:paraId="6DEA86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blHeader/>
          <w:jc w:val="center"/>
        </w:trPr>
        <w:tc>
          <w:tcPr>
            <w:tcW w:w="424" w:type="pct"/>
            <w:shd w:val="clear" w:color="auto" w:fill="D7D7D7" w:themeFill="background1" w:themeFillShade="D8"/>
            <w:vAlign w:val="center"/>
          </w:tcPr>
          <w:p w14:paraId="70EA2E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color w:val="auto"/>
                <w:kern w:val="0"/>
                <w:sz w:val="22"/>
                <w:szCs w:val="22"/>
              </w:rPr>
            </w:pPr>
            <w:r>
              <w:rPr>
                <w:rFonts w:hint="eastAsia"/>
                <w:b/>
                <w:color w:val="auto"/>
                <w:kern w:val="0"/>
                <w:sz w:val="22"/>
                <w:szCs w:val="22"/>
              </w:rPr>
              <w:t>序号</w:t>
            </w:r>
          </w:p>
        </w:tc>
        <w:tc>
          <w:tcPr>
            <w:tcW w:w="3418" w:type="pct"/>
            <w:shd w:val="clear" w:color="auto" w:fill="D7D7D7" w:themeFill="background1" w:themeFillShade="D8"/>
            <w:vAlign w:val="center"/>
          </w:tcPr>
          <w:p w14:paraId="37B8D7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color w:val="auto"/>
                <w:kern w:val="0"/>
                <w:sz w:val="22"/>
                <w:szCs w:val="22"/>
              </w:rPr>
            </w:pPr>
            <w:r>
              <w:rPr>
                <w:rFonts w:hint="eastAsia"/>
                <w:b/>
                <w:color w:val="auto"/>
                <w:kern w:val="0"/>
                <w:sz w:val="22"/>
                <w:szCs w:val="22"/>
              </w:rPr>
              <w:t>标准名称</w:t>
            </w:r>
          </w:p>
        </w:tc>
        <w:tc>
          <w:tcPr>
            <w:tcW w:w="1158" w:type="pct"/>
            <w:shd w:val="clear" w:color="auto" w:fill="D7D7D7" w:themeFill="background1" w:themeFillShade="D8"/>
            <w:vAlign w:val="center"/>
          </w:tcPr>
          <w:p w14:paraId="0FBB1D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color w:val="auto"/>
                <w:kern w:val="0"/>
                <w:sz w:val="22"/>
                <w:szCs w:val="22"/>
              </w:rPr>
            </w:pPr>
            <w:r>
              <w:rPr>
                <w:rFonts w:hint="eastAsia"/>
                <w:b/>
                <w:color w:val="auto"/>
                <w:kern w:val="0"/>
                <w:sz w:val="22"/>
                <w:szCs w:val="22"/>
              </w:rPr>
              <w:t>标准号</w:t>
            </w:r>
          </w:p>
        </w:tc>
      </w:tr>
      <w:tr w14:paraId="50B411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FE784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w:t>
            </w:r>
          </w:p>
        </w:tc>
        <w:tc>
          <w:tcPr>
            <w:tcW w:w="3418" w:type="pct"/>
            <w:shd w:val="clear" w:color="auto" w:fill="auto"/>
            <w:vAlign w:val="center"/>
          </w:tcPr>
          <w:p w14:paraId="3D0B72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疾病分类与代码</w:t>
            </w:r>
          </w:p>
        </w:tc>
        <w:tc>
          <w:tcPr>
            <w:tcW w:w="1158" w:type="pct"/>
            <w:shd w:val="clear" w:color="auto" w:fill="auto"/>
            <w:vAlign w:val="center"/>
          </w:tcPr>
          <w:p w14:paraId="06DBB1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GB/T 14396-2016</w:t>
            </w:r>
          </w:p>
        </w:tc>
      </w:tr>
      <w:tr w14:paraId="7452E7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A9650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w:t>
            </w:r>
          </w:p>
        </w:tc>
        <w:tc>
          <w:tcPr>
            <w:tcW w:w="3418" w:type="pct"/>
            <w:shd w:val="clear" w:color="auto" w:fill="auto"/>
            <w:vAlign w:val="center"/>
          </w:tcPr>
          <w:p w14:paraId="16D60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全国卫生行业医疗器械、仪器设备（商品、物资）分类与代码</w:t>
            </w:r>
          </w:p>
        </w:tc>
        <w:tc>
          <w:tcPr>
            <w:tcW w:w="1158" w:type="pct"/>
            <w:shd w:val="clear" w:color="auto" w:fill="auto"/>
            <w:vAlign w:val="center"/>
          </w:tcPr>
          <w:p w14:paraId="2D519C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118-1999</w:t>
            </w:r>
          </w:p>
        </w:tc>
      </w:tr>
      <w:tr w14:paraId="698D76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0F65D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w:t>
            </w:r>
          </w:p>
        </w:tc>
        <w:tc>
          <w:tcPr>
            <w:tcW w:w="3418" w:type="pct"/>
            <w:shd w:val="clear" w:color="auto" w:fill="auto"/>
            <w:vAlign w:val="center"/>
          </w:tcPr>
          <w:p w14:paraId="2252D7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卫生信息数据元标准化规则</w:t>
            </w:r>
          </w:p>
        </w:tc>
        <w:tc>
          <w:tcPr>
            <w:tcW w:w="1158" w:type="pct"/>
            <w:shd w:val="clear" w:color="auto" w:fill="auto"/>
            <w:vAlign w:val="center"/>
          </w:tcPr>
          <w:p w14:paraId="0B46D6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303-2009</w:t>
            </w:r>
          </w:p>
        </w:tc>
      </w:tr>
      <w:tr w14:paraId="22DC78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8A2C0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w:t>
            </w:r>
          </w:p>
        </w:tc>
        <w:tc>
          <w:tcPr>
            <w:tcW w:w="3418" w:type="pct"/>
            <w:shd w:val="clear" w:color="auto" w:fill="auto"/>
            <w:vAlign w:val="center"/>
          </w:tcPr>
          <w:p w14:paraId="4B7581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卫生信息数据模式描述指南</w:t>
            </w:r>
          </w:p>
        </w:tc>
        <w:tc>
          <w:tcPr>
            <w:tcW w:w="1158" w:type="pct"/>
            <w:shd w:val="clear" w:color="auto" w:fill="auto"/>
            <w:vAlign w:val="center"/>
          </w:tcPr>
          <w:p w14:paraId="49DE78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304-2009</w:t>
            </w:r>
          </w:p>
        </w:tc>
      </w:tr>
      <w:tr w14:paraId="518E88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550184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5</w:t>
            </w:r>
          </w:p>
        </w:tc>
        <w:tc>
          <w:tcPr>
            <w:tcW w:w="3418" w:type="pct"/>
            <w:shd w:val="clear" w:color="auto" w:fill="auto"/>
            <w:vAlign w:val="center"/>
          </w:tcPr>
          <w:p w14:paraId="0AB21F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卫生信息数据集元数据规范</w:t>
            </w:r>
          </w:p>
        </w:tc>
        <w:tc>
          <w:tcPr>
            <w:tcW w:w="1158" w:type="pct"/>
            <w:shd w:val="clear" w:color="auto" w:fill="auto"/>
            <w:vAlign w:val="center"/>
          </w:tcPr>
          <w:p w14:paraId="48FA3F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305-2009</w:t>
            </w:r>
          </w:p>
        </w:tc>
      </w:tr>
      <w:tr w14:paraId="156A94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396344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6</w:t>
            </w:r>
          </w:p>
        </w:tc>
        <w:tc>
          <w:tcPr>
            <w:tcW w:w="3418" w:type="pct"/>
            <w:shd w:val="clear" w:color="auto" w:fill="auto"/>
            <w:vAlign w:val="center"/>
          </w:tcPr>
          <w:p w14:paraId="38EAC0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卫生信息数据集分类与编码规则</w:t>
            </w:r>
          </w:p>
        </w:tc>
        <w:tc>
          <w:tcPr>
            <w:tcW w:w="1158" w:type="pct"/>
            <w:shd w:val="clear" w:color="auto" w:fill="auto"/>
            <w:vAlign w:val="center"/>
          </w:tcPr>
          <w:p w14:paraId="56315D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306-2009</w:t>
            </w:r>
          </w:p>
        </w:tc>
      </w:tr>
      <w:tr w14:paraId="75E220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70E46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7</w:t>
            </w:r>
          </w:p>
        </w:tc>
        <w:tc>
          <w:tcPr>
            <w:tcW w:w="3418" w:type="pct"/>
            <w:shd w:val="clear" w:color="auto" w:fill="auto"/>
            <w:vAlign w:val="center"/>
          </w:tcPr>
          <w:p w14:paraId="48A363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卫生信息数据元目录</w:t>
            </w:r>
          </w:p>
        </w:tc>
        <w:tc>
          <w:tcPr>
            <w:tcW w:w="1158" w:type="pct"/>
            <w:shd w:val="clear" w:color="auto" w:fill="auto"/>
            <w:vAlign w:val="center"/>
          </w:tcPr>
          <w:p w14:paraId="47101B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363-2011</w:t>
            </w:r>
          </w:p>
        </w:tc>
      </w:tr>
      <w:tr w14:paraId="7B6DF1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383EBF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8</w:t>
            </w:r>
          </w:p>
        </w:tc>
        <w:tc>
          <w:tcPr>
            <w:tcW w:w="3418" w:type="pct"/>
            <w:shd w:val="clear" w:color="auto" w:fill="auto"/>
            <w:vAlign w:val="center"/>
          </w:tcPr>
          <w:p w14:paraId="0BB29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卫生信息数据元值域代码</w:t>
            </w:r>
          </w:p>
        </w:tc>
        <w:tc>
          <w:tcPr>
            <w:tcW w:w="1158" w:type="pct"/>
            <w:shd w:val="clear" w:color="auto" w:fill="auto"/>
            <w:vAlign w:val="center"/>
          </w:tcPr>
          <w:p w14:paraId="7412B5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364-2011</w:t>
            </w:r>
          </w:p>
        </w:tc>
      </w:tr>
      <w:tr w14:paraId="448997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45D64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9</w:t>
            </w:r>
          </w:p>
        </w:tc>
        <w:tc>
          <w:tcPr>
            <w:tcW w:w="3418" w:type="pct"/>
            <w:shd w:val="clear" w:color="auto" w:fill="auto"/>
            <w:vAlign w:val="center"/>
          </w:tcPr>
          <w:p w14:paraId="0784E1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卫生信息基本数据集编制规范</w:t>
            </w:r>
          </w:p>
        </w:tc>
        <w:tc>
          <w:tcPr>
            <w:tcW w:w="1158" w:type="pct"/>
            <w:shd w:val="clear" w:color="auto" w:fill="auto"/>
            <w:vAlign w:val="center"/>
          </w:tcPr>
          <w:p w14:paraId="46F23F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370-2012</w:t>
            </w:r>
          </w:p>
        </w:tc>
      </w:tr>
      <w:tr w14:paraId="5C72A4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A0822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10</w:t>
            </w:r>
          </w:p>
        </w:tc>
        <w:tc>
          <w:tcPr>
            <w:tcW w:w="3418" w:type="pct"/>
            <w:shd w:val="clear" w:color="auto" w:fill="auto"/>
            <w:vAlign w:val="center"/>
          </w:tcPr>
          <w:p w14:paraId="182CFA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城乡居民健康档案基本数据集</w:t>
            </w:r>
          </w:p>
        </w:tc>
        <w:tc>
          <w:tcPr>
            <w:tcW w:w="1158" w:type="pct"/>
            <w:shd w:val="clear" w:color="auto" w:fill="auto"/>
            <w:vAlign w:val="center"/>
          </w:tcPr>
          <w:p w14:paraId="0EFD6D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365-2011</w:t>
            </w:r>
          </w:p>
        </w:tc>
      </w:tr>
      <w:tr w14:paraId="0BEC99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5A41C0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11</w:t>
            </w:r>
          </w:p>
        </w:tc>
        <w:tc>
          <w:tcPr>
            <w:tcW w:w="3418" w:type="pct"/>
            <w:shd w:val="clear" w:color="auto" w:fill="auto"/>
            <w:vAlign w:val="center"/>
          </w:tcPr>
          <w:p w14:paraId="2074C1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基本信息基本数据集个人信息</w:t>
            </w:r>
          </w:p>
        </w:tc>
        <w:tc>
          <w:tcPr>
            <w:tcW w:w="1158" w:type="pct"/>
            <w:shd w:val="clear" w:color="auto" w:fill="auto"/>
            <w:vAlign w:val="center"/>
          </w:tcPr>
          <w:p w14:paraId="229941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371-2012</w:t>
            </w:r>
          </w:p>
        </w:tc>
      </w:tr>
      <w:tr w14:paraId="263572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A1C34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12</w:t>
            </w:r>
          </w:p>
        </w:tc>
        <w:tc>
          <w:tcPr>
            <w:tcW w:w="3418" w:type="pct"/>
            <w:shd w:val="clear" w:color="auto" w:fill="auto"/>
            <w:vAlign w:val="center"/>
          </w:tcPr>
          <w:p w14:paraId="056197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疾病管理基本数据集</w:t>
            </w:r>
          </w:p>
        </w:tc>
        <w:tc>
          <w:tcPr>
            <w:tcW w:w="1158" w:type="pct"/>
            <w:shd w:val="clear" w:color="auto" w:fill="auto"/>
            <w:vAlign w:val="center"/>
          </w:tcPr>
          <w:p w14:paraId="3CDB3A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372-2012</w:t>
            </w:r>
          </w:p>
        </w:tc>
      </w:tr>
      <w:tr w14:paraId="300B79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E3649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13</w:t>
            </w:r>
          </w:p>
        </w:tc>
        <w:tc>
          <w:tcPr>
            <w:tcW w:w="3418" w:type="pct"/>
            <w:shd w:val="clear" w:color="auto" w:fill="auto"/>
            <w:vAlign w:val="center"/>
          </w:tcPr>
          <w:p w14:paraId="4BD36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医疗服务基本数据集</w:t>
            </w:r>
          </w:p>
        </w:tc>
        <w:tc>
          <w:tcPr>
            <w:tcW w:w="1158" w:type="pct"/>
            <w:shd w:val="clear" w:color="auto" w:fill="auto"/>
            <w:vAlign w:val="center"/>
          </w:tcPr>
          <w:p w14:paraId="7F8A33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373-2012</w:t>
            </w:r>
          </w:p>
        </w:tc>
      </w:tr>
      <w:tr w14:paraId="5E0B7C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3EB6C8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14</w:t>
            </w:r>
          </w:p>
        </w:tc>
        <w:tc>
          <w:tcPr>
            <w:tcW w:w="3418" w:type="pct"/>
            <w:shd w:val="clear" w:color="auto" w:fill="auto"/>
            <w:vAlign w:val="center"/>
          </w:tcPr>
          <w:p w14:paraId="6B8882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卫生管理基本数据集</w:t>
            </w:r>
          </w:p>
        </w:tc>
        <w:tc>
          <w:tcPr>
            <w:tcW w:w="1158" w:type="pct"/>
            <w:shd w:val="clear" w:color="auto" w:fill="auto"/>
            <w:vAlign w:val="center"/>
          </w:tcPr>
          <w:p w14:paraId="0B0066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374-2012</w:t>
            </w:r>
          </w:p>
        </w:tc>
      </w:tr>
      <w:tr w14:paraId="55676A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238655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15</w:t>
            </w:r>
          </w:p>
        </w:tc>
        <w:tc>
          <w:tcPr>
            <w:tcW w:w="3418" w:type="pct"/>
            <w:shd w:val="clear" w:color="auto" w:fill="auto"/>
            <w:vAlign w:val="center"/>
          </w:tcPr>
          <w:p w14:paraId="57D7F7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疾病控制基本数据集</w:t>
            </w:r>
          </w:p>
        </w:tc>
        <w:tc>
          <w:tcPr>
            <w:tcW w:w="1158" w:type="pct"/>
            <w:shd w:val="clear" w:color="auto" w:fill="auto"/>
            <w:vAlign w:val="center"/>
          </w:tcPr>
          <w:p w14:paraId="7F415A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375-2012</w:t>
            </w:r>
          </w:p>
        </w:tc>
      </w:tr>
      <w:tr w14:paraId="5BAC0B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0B4E85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16</w:t>
            </w:r>
          </w:p>
        </w:tc>
        <w:tc>
          <w:tcPr>
            <w:tcW w:w="3418" w:type="pct"/>
            <w:shd w:val="clear" w:color="auto" w:fill="auto"/>
            <w:vAlign w:val="center"/>
          </w:tcPr>
          <w:p w14:paraId="63B9DF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儿童保健基本数据集</w:t>
            </w:r>
          </w:p>
        </w:tc>
        <w:tc>
          <w:tcPr>
            <w:tcW w:w="1158" w:type="pct"/>
            <w:shd w:val="clear" w:color="auto" w:fill="auto"/>
            <w:vAlign w:val="center"/>
          </w:tcPr>
          <w:p w14:paraId="3A601D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376-2013</w:t>
            </w:r>
          </w:p>
        </w:tc>
      </w:tr>
      <w:tr w14:paraId="30F7A9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701D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17</w:t>
            </w:r>
          </w:p>
        </w:tc>
        <w:tc>
          <w:tcPr>
            <w:tcW w:w="3418" w:type="pct"/>
            <w:shd w:val="clear" w:color="auto" w:fill="auto"/>
            <w:vAlign w:val="center"/>
          </w:tcPr>
          <w:p w14:paraId="331E74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妇女保健基本数据集</w:t>
            </w:r>
          </w:p>
        </w:tc>
        <w:tc>
          <w:tcPr>
            <w:tcW w:w="1158" w:type="pct"/>
            <w:shd w:val="clear" w:color="auto" w:fill="auto"/>
            <w:vAlign w:val="center"/>
          </w:tcPr>
          <w:p w14:paraId="4F0110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377-2013</w:t>
            </w:r>
          </w:p>
        </w:tc>
      </w:tr>
      <w:tr w14:paraId="26E35A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9D4B3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18</w:t>
            </w:r>
          </w:p>
        </w:tc>
        <w:tc>
          <w:tcPr>
            <w:tcW w:w="3418" w:type="pct"/>
            <w:shd w:val="clear" w:color="auto" w:fill="auto"/>
            <w:vAlign w:val="center"/>
          </w:tcPr>
          <w:p w14:paraId="6BE953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电子病历基本数据集</w:t>
            </w:r>
          </w:p>
        </w:tc>
        <w:tc>
          <w:tcPr>
            <w:tcW w:w="1158" w:type="pct"/>
            <w:shd w:val="clear" w:color="auto" w:fill="auto"/>
            <w:vAlign w:val="center"/>
          </w:tcPr>
          <w:p w14:paraId="04BABD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445-2014</w:t>
            </w:r>
          </w:p>
        </w:tc>
      </w:tr>
      <w:tr w14:paraId="279B87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064898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19</w:t>
            </w:r>
          </w:p>
        </w:tc>
        <w:tc>
          <w:tcPr>
            <w:tcW w:w="3418" w:type="pct"/>
            <w:shd w:val="clear" w:color="auto" w:fill="auto"/>
            <w:vAlign w:val="center"/>
          </w:tcPr>
          <w:p w14:paraId="37B5D0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基于健康档案的区域卫生信息平台技术规范</w:t>
            </w:r>
          </w:p>
        </w:tc>
        <w:tc>
          <w:tcPr>
            <w:tcW w:w="1158" w:type="pct"/>
            <w:shd w:val="clear" w:color="auto" w:fill="auto"/>
            <w:vAlign w:val="center"/>
          </w:tcPr>
          <w:p w14:paraId="573FBA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446-2014</w:t>
            </w:r>
          </w:p>
        </w:tc>
      </w:tr>
      <w:tr w14:paraId="60828B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2D0DE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20</w:t>
            </w:r>
          </w:p>
        </w:tc>
        <w:tc>
          <w:tcPr>
            <w:tcW w:w="3418" w:type="pct"/>
            <w:shd w:val="clear" w:color="auto" w:fill="auto"/>
            <w:vAlign w:val="center"/>
          </w:tcPr>
          <w:p w14:paraId="6DCB34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基于电子病历的医院信息平台技术规范</w:t>
            </w:r>
          </w:p>
        </w:tc>
        <w:tc>
          <w:tcPr>
            <w:tcW w:w="1158" w:type="pct"/>
            <w:shd w:val="clear" w:color="auto" w:fill="auto"/>
            <w:vAlign w:val="center"/>
          </w:tcPr>
          <w:p w14:paraId="1442A9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447-2014</w:t>
            </w:r>
          </w:p>
        </w:tc>
      </w:tr>
      <w:tr w14:paraId="5850AF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FE280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21</w:t>
            </w:r>
          </w:p>
        </w:tc>
        <w:tc>
          <w:tcPr>
            <w:tcW w:w="3418" w:type="pct"/>
            <w:shd w:val="clear" w:color="auto" w:fill="auto"/>
            <w:vAlign w:val="center"/>
          </w:tcPr>
          <w:p w14:paraId="5D959C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居民健康档案医学检验项目常用代码</w:t>
            </w:r>
          </w:p>
        </w:tc>
        <w:tc>
          <w:tcPr>
            <w:tcW w:w="1158" w:type="pct"/>
            <w:shd w:val="clear" w:color="auto" w:fill="auto"/>
            <w:vAlign w:val="center"/>
          </w:tcPr>
          <w:p w14:paraId="320801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448-2014</w:t>
            </w:r>
          </w:p>
        </w:tc>
      </w:tr>
      <w:tr w14:paraId="704966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787A9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22</w:t>
            </w:r>
          </w:p>
        </w:tc>
        <w:tc>
          <w:tcPr>
            <w:tcW w:w="3418" w:type="pct"/>
            <w:shd w:val="clear" w:color="auto" w:fill="auto"/>
            <w:vAlign w:val="center"/>
          </w:tcPr>
          <w:p w14:paraId="6D18C2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慢性病监测信息系统基本功能规范</w:t>
            </w:r>
          </w:p>
        </w:tc>
        <w:tc>
          <w:tcPr>
            <w:tcW w:w="1158" w:type="pct"/>
            <w:shd w:val="clear" w:color="auto" w:fill="auto"/>
            <w:vAlign w:val="center"/>
          </w:tcPr>
          <w:p w14:paraId="35981C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449-2014</w:t>
            </w:r>
          </w:p>
        </w:tc>
      </w:tr>
      <w:tr w14:paraId="799323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9929E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23</w:t>
            </w:r>
          </w:p>
        </w:tc>
        <w:tc>
          <w:tcPr>
            <w:tcW w:w="3418" w:type="pct"/>
            <w:shd w:val="clear" w:color="auto" w:fill="auto"/>
            <w:vAlign w:val="center"/>
          </w:tcPr>
          <w:p w14:paraId="70B92F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院前医疗急救指挥信息系统基本功能规范</w:t>
            </w:r>
          </w:p>
        </w:tc>
        <w:tc>
          <w:tcPr>
            <w:tcW w:w="1158" w:type="pct"/>
            <w:shd w:val="clear" w:color="auto" w:fill="auto"/>
            <w:vAlign w:val="center"/>
          </w:tcPr>
          <w:p w14:paraId="1F3503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451-2014</w:t>
            </w:r>
          </w:p>
        </w:tc>
      </w:tr>
      <w:tr w14:paraId="28E6BC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1B07F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24</w:t>
            </w:r>
          </w:p>
        </w:tc>
        <w:tc>
          <w:tcPr>
            <w:tcW w:w="3418" w:type="pct"/>
            <w:shd w:val="clear" w:color="auto" w:fill="auto"/>
            <w:vAlign w:val="center"/>
          </w:tcPr>
          <w:p w14:paraId="17B899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卫生监督业务信息系统功能规范</w:t>
            </w:r>
          </w:p>
        </w:tc>
        <w:tc>
          <w:tcPr>
            <w:tcW w:w="1158" w:type="pct"/>
            <w:shd w:val="clear" w:color="auto" w:fill="auto"/>
            <w:vAlign w:val="center"/>
          </w:tcPr>
          <w:p w14:paraId="79CFEF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452-2014</w:t>
            </w:r>
          </w:p>
        </w:tc>
      </w:tr>
      <w:tr w14:paraId="17271E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23FE66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25</w:t>
            </w:r>
          </w:p>
        </w:tc>
        <w:tc>
          <w:tcPr>
            <w:tcW w:w="3418" w:type="pct"/>
            <w:shd w:val="clear" w:color="auto" w:fill="auto"/>
            <w:vAlign w:val="center"/>
          </w:tcPr>
          <w:p w14:paraId="1FAAC9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卫生机构（组织）分类与代码</w:t>
            </w:r>
          </w:p>
        </w:tc>
        <w:tc>
          <w:tcPr>
            <w:tcW w:w="1158" w:type="pct"/>
            <w:shd w:val="clear" w:color="auto" w:fill="auto"/>
            <w:vAlign w:val="center"/>
          </w:tcPr>
          <w:p w14:paraId="0C967A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218-2002</w:t>
            </w:r>
          </w:p>
        </w:tc>
      </w:tr>
      <w:tr w14:paraId="2B9173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02D77C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26</w:t>
            </w:r>
          </w:p>
        </w:tc>
        <w:tc>
          <w:tcPr>
            <w:tcW w:w="3418" w:type="pct"/>
            <w:shd w:val="clear" w:color="auto" w:fill="auto"/>
            <w:vAlign w:val="center"/>
          </w:tcPr>
          <w:p w14:paraId="06DE80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卫生信息共享文档编制规范</w:t>
            </w:r>
          </w:p>
        </w:tc>
        <w:tc>
          <w:tcPr>
            <w:tcW w:w="1158" w:type="pct"/>
            <w:shd w:val="clear" w:color="auto" w:fill="auto"/>
            <w:vAlign w:val="center"/>
          </w:tcPr>
          <w:p w14:paraId="612B37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482-2016</w:t>
            </w:r>
          </w:p>
        </w:tc>
      </w:tr>
      <w:tr w14:paraId="026662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14BAA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27</w:t>
            </w:r>
          </w:p>
        </w:tc>
        <w:tc>
          <w:tcPr>
            <w:tcW w:w="3418" w:type="pct"/>
            <w:shd w:val="clear" w:color="auto" w:fill="auto"/>
            <w:vAlign w:val="center"/>
          </w:tcPr>
          <w:p w14:paraId="58084B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健康档案共享文档规范</w:t>
            </w:r>
          </w:p>
        </w:tc>
        <w:tc>
          <w:tcPr>
            <w:tcW w:w="1158" w:type="pct"/>
            <w:shd w:val="clear" w:color="auto" w:fill="auto"/>
            <w:vAlign w:val="center"/>
          </w:tcPr>
          <w:p w14:paraId="52E12A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483-2016</w:t>
            </w:r>
          </w:p>
        </w:tc>
      </w:tr>
      <w:tr w14:paraId="2D68A3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D0572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28</w:t>
            </w:r>
          </w:p>
        </w:tc>
        <w:tc>
          <w:tcPr>
            <w:tcW w:w="3418" w:type="pct"/>
            <w:shd w:val="clear" w:color="auto" w:fill="auto"/>
            <w:vAlign w:val="center"/>
          </w:tcPr>
          <w:p w14:paraId="4EA8CD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电子病历共享文档规范</w:t>
            </w:r>
          </w:p>
        </w:tc>
        <w:tc>
          <w:tcPr>
            <w:tcW w:w="1158" w:type="pct"/>
            <w:shd w:val="clear" w:color="auto" w:fill="auto"/>
            <w:vAlign w:val="center"/>
          </w:tcPr>
          <w:p w14:paraId="223C64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500-2016</w:t>
            </w:r>
          </w:p>
        </w:tc>
      </w:tr>
      <w:tr w14:paraId="40D24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30444D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29</w:t>
            </w:r>
          </w:p>
        </w:tc>
        <w:tc>
          <w:tcPr>
            <w:tcW w:w="3418" w:type="pct"/>
            <w:shd w:val="clear" w:color="auto" w:fill="auto"/>
            <w:vAlign w:val="center"/>
          </w:tcPr>
          <w:p w14:paraId="1A586E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电子病历与医院信息平台标准符合性测试规范</w:t>
            </w:r>
          </w:p>
        </w:tc>
        <w:tc>
          <w:tcPr>
            <w:tcW w:w="1158" w:type="pct"/>
            <w:shd w:val="clear" w:color="auto" w:fill="auto"/>
            <w:vAlign w:val="center"/>
          </w:tcPr>
          <w:p w14:paraId="6CD0AD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501-2016</w:t>
            </w:r>
          </w:p>
        </w:tc>
      </w:tr>
      <w:tr w14:paraId="517BE8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EFB03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30</w:t>
            </w:r>
          </w:p>
        </w:tc>
        <w:tc>
          <w:tcPr>
            <w:tcW w:w="3418" w:type="pct"/>
            <w:shd w:val="clear" w:color="auto" w:fill="auto"/>
            <w:vAlign w:val="center"/>
          </w:tcPr>
          <w:p w14:paraId="236AA7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电子健康档案与区域卫生信息平台标准符合性测试规范</w:t>
            </w:r>
          </w:p>
        </w:tc>
        <w:tc>
          <w:tcPr>
            <w:tcW w:w="1158" w:type="pct"/>
            <w:shd w:val="clear" w:color="auto" w:fill="auto"/>
            <w:vAlign w:val="center"/>
          </w:tcPr>
          <w:p w14:paraId="491F17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502-2016</w:t>
            </w:r>
          </w:p>
        </w:tc>
      </w:tr>
      <w:tr w14:paraId="37B57C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1AB0D3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31</w:t>
            </w:r>
          </w:p>
        </w:tc>
        <w:tc>
          <w:tcPr>
            <w:tcW w:w="3418" w:type="pct"/>
            <w:shd w:val="clear" w:color="auto" w:fill="auto"/>
            <w:vAlign w:val="center"/>
          </w:tcPr>
          <w:p w14:paraId="313E59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基层医疗卫生信息系统基本功能规范</w:t>
            </w:r>
          </w:p>
        </w:tc>
        <w:tc>
          <w:tcPr>
            <w:tcW w:w="1158" w:type="pct"/>
            <w:shd w:val="clear" w:color="auto" w:fill="auto"/>
            <w:vAlign w:val="center"/>
          </w:tcPr>
          <w:p w14:paraId="17CCF5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517-2016</w:t>
            </w:r>
          </w:p>
        </w:tc>
      </w:tr>
      <w:tr w14:paraId="67814F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84781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32</w:t>
            </w:r>
          </w:p>
        </w:tc>
        <w:tc>
          <w:tcPr>
            <w:tcW w:w="3418" w:type="pct"/>
            <w:shd w:val="clear" w:color="auto" w:fill="auto"/>
            <w:vAlign w:val="center"/>
          </w:tcPr>
          <w:p w14:paraId="1D89CA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妇幼保健信息系统基本功能规范</w:t>
            </w:r>
          </w:p>
        </w:tc>
        <w:tc>
          <w:tcPr>
            <w:tcW w:w="1158" w:type="pct"/>
            <w:shd w:val="clear" w:color="auto" w:fill="auto"/>
            <w:vAlign w:val="center"/>
          </w:tcPr>
          <w:p w14:paraId="499360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526-2016</w:t>
            </w:r>
          </w:p>
        </w:tc>
      </w:tr>
      <w:tr w14:paraId="0F87A2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5CC5A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33</w:t>
            </w:r>
          </w:p>
        </w:tc>
        <w:tc>
          <w:tcPr>
            <w:tcW w:w="3418" w:type="pct"/>
            <w:shd w:val="clear" w:color="auto" w:fill="auto"/>
            <w:vAlign w:val="center"/>
          </w:tcPr>
          <w:p w14:paraId="6B54EC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远程医疗信息系统基本功能规范</w:t>
            </w:r>
          </w:p>
        </w:tc>
        <w:tc>
          <w:tcPr>
            <w:tcW w:w="1158" w:type="pct"/>
            <w:shd w:val="clear" w:color="auto" w:fill="auto"/>
            <w:vAlign w:val="center"/>
          </w:tcPr>
          <w:p w14:paraId="43F2B0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529-2016</w:t>
            </w:r>
          </w:p>
        </w:tc>
      </w:tr>
      <w:tr w14:paraId="4A113B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11DFAA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34</w:t>
            </w:r>
          </w:p>
        </w:tc>
        <w:tc>
          <w:tcPr>
            <w:tcW w:w="3418" w:type="pct"/>
            <w:shd w:val="clear" w:color="auto" w:fill="auto"/>
            <w:vAlign w:val="center"/>
          </w:tcPr>
          <w:p w14:paraId="4D919D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居民健康卡数据集</w:t>
            </w:r>
          </w:p>
        </w:tc>
        <w:tc>
          <w:tcPr>
            <w:tcW w:w="1158" w:type="pct"/>
            <w:shd w:val="clear" w:color="auto" w:fill="auto"/>
            <w:vAlign w:val="center"/>
          </w:tcPr>
          <w:p w14:paraId="355B79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537-2017</w:t>
            </w:r>
          </w:p>
        </w:tc>
      </w:tr>
      <w:tr w14:paraId="070F84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F2BCA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35</w:t>
            </w:r>
          </w:p>
        </w:tc>
        <w:tc>
          <w:tcPr>
            <w:tcW w:w="3418" w:type="pct"/>
            <w:shd w:val="clear" w:color="auto" w:fill="auto"/>
            <w:vAlign w:val="center"/>
          </w:tcPr>
          <w:p w14:paraId="1D8143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医学数字影像通信基本数据集</w:t>
            </w:r>
          </w:p>
        </w:tc>
        <w:tc>
          <w:tcPr>
            <w:tcW w:w="1158" w:type="pct"/>
            <w:shd w:val="clear" w:color="auto" w:fill="auto"/>
            <w:vAlign w:val="center"/>
          </w:tcPr>
          <w:p w14:paraId="50BA92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538-2017</w:t>
            </w:r>
          </w:p>
        </w:tc>
      </w:tr>
      <w:tr w14:paraId="78C281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C82A5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36</w:t>
            </w:r>
          </w:p>
        </w:tc>
        <w:tc>
          <w:tcPr>
            <w:tcW w:w="3418" w:type="pct"/>
            <w:shd w:val="clear" w:color="auto" w:fill="auto"/>
            <w:vAlign w:val="center"/>
          </w:tcPr>
          <w:p w14:paraId="2D4819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远程医疗信息基本数据集</w:t>
            </w:r>
          </w:p>
        </w:tc>
        <w:tc>
          <w:tcPr>
            <w:tcW w:w="1158" w:type="pct"/>
            <w:shd w:val="clear" w:color="auto" w:fill="auto"/>
            <w:vAlign w:val="center"/>
          </w:tcPr>
          <w:p w14:paraId="5DF1FD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539-2017</w:t>
            </w:r>
          </w:p>
        </w:tc>
      </w:tr>
      <w:tr w14:paraId="0A1F5A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5AAA89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37</w:t>
            </w:r>
          </w:p>
        </w:tc>
        <w:tc>
          <w:tcPr>
            <w:tcW w:w="3418" w:type="pct"/>
            <w:shd w:val="clear" w:color="auto" w:fill="auto"/>
            <w:vAlign w:val="center"/>
          </w:tcPr>
          <w:p w14:paraId="71C7B0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继续医学教育管理基本数据集</w:t>
            </w:r>
          </w:p>
        </w:tc>
        <w:tc>
          <w:tcPr>
            <w:tcW w:w="1158" w:type="pct"/>
            <w:shd w:val="clear" w:color="auto" w:fill="auto"/>
            <w:vAlign w:val="center"/>
          </w:tcPr>
          <w:p w14:paraId="3C3B51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540-2017</w:t>
            </w:r>
          </w:p>
        </w:tc>
      </w:tr>
      <w:tr w14:paraId="7E1D20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013ECF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38</w:t>
            </w:r>
          </w:p>
        </w:tc>
        <w:tc>
          <w:tcPr>
            <w:tcW w:w="3418" w:type="pct"/>
            <w:shd w:val="clear" w:color="auto" w:fill="auto"/>
            <w:vAlign w:val="center"/>
          </w:tcPr>
          <w:p w14:paraId="479B12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院前医疗急救基本数据集</w:t>
            </w:r>
          </w:p>
        </w:tc>
        <w:tc>
          <w:tcPr>
            <w:tcW w:w="1158" w:type="pct"/>
            <w:shd w:val="clear" w:color="auto" w:fill="auto"/>
            <w:vAlign w:val="center"/>
          </w:tcPr>
          <w:p w14:paraId="2B3E4E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542-2017</w:t>
            </w:r>
          </w:p>
        </w:tc>
      </w:tr>
      <w:tr w14:paraId="36570A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55BD2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39</w:t>
            </w:r>
          </w:p>
        </w:tc>
        <w:tc>
          <w:tcPr>
            <w:tcW w:w="3418" w:type="pct"/>
            <w:shd w:val="clear" w:color="auto" w:fill="auto"/>
            <w:vAlign w:val="center"/>
          </w:tcPr>
          <w:p w14:paraId="33E180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居民健康卡技术规范</w:t>
            </w:r>
          </w:p>
        </w:tc>
        <w:tc>
          <w:tcPr>
            <w:tcW w:w="1158" w:type="pct"/>
            <w:shd w:val="clear" w:color="auto" w:fill="auto"/>
            <w:vAlign w:val="center"/>
          </w:tcPr>
          <w:p w14:paraId="50720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543-2017</w:t>
            </w:r>
          </w:p>
        </w:tc>
      </w:tr>
      <w:tr w14:paraId="7193AE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2B1983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40</w:t>
            </w:r>
          </w:p>
        </w:tc>
        <w:tc>
          <w:tcPr>
            <w:tcW w:w="3418" w:type="pct"/>
            <w:shd w:val="clear" w:color="auto" w:fill="auto"/>
            <w:vAlign w:val="center"/>
          </w:tcPr>
          <w:p w14:paraId="09D9FA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医学数字影像中文封装与通信规范</w:t>
            </w:r>
          </w:p>
        </w:tc>
        <w:tc>
          <w:tcPr>
            <w:tcW w:w="1158" w:type="pct"/>
            <w:shd w:val="clear" w:color="auto" w:fill="auto"/>
            <w:vAlign w:val="center"/>
          </w:tcPr>
          <w:p w14:paraId="49B141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544-2017</w:t>
            </w:r>
          </w:p>
        </w:tc>
      </w:tr>
      <w:tr w14:paraId="60228E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556F9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41</w:t>
            </w:r>
          </w:p>
        </w:tc>
        <w:tc>
          <w:tcPr>
            <w:tcW w:w="3418" w:type="pct"/>
            <w:shd w:val="clear" w:color="auto" w:fill="auto"/>
            <w:vAlign w:val="center"/>
          </w:tcPr>
          <w:p w14:paraId="41B245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远程医疗信息系统技术规范</w:t>
            </w:r>
          </w:p>
        </w:tc>
        <w:tc>
          <w:tcPr>
            <w:tcW w:w="1158" w:type="pct"/>
            <w:shd w:val="clear" w:color="auto" w:fill="auto"/>
            <w:vAlign w:val="center"/>
          </w:tcPr>
          <w:p w14:paraId="7E86D0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545-2017</w:t>
            </w:r>
          </w:p>
        </w:tc>
      </w:tr>
      <w:tr w14:paraId="395A65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FC34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42</w:t>
            </w:r>
          </w:p>
        </w:tc>
        <w:tc>
          <w:tcPr>
            <w:tcW w:w="3418" w:type="pct"/>
            <w:shd w:val="clear" w:color="auto" w:fill="auto"/>
            <w:vAlign w:val="center"/>
          </w:tcPr>
          <w:p w14:paraId="6509D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远程医疗信息系统与统一通信交互规范</w:t>
            </w:r>
          </w:p>
        </w:tc>
        <w:tc>
          <w:tcPr>
            <w:tcW w:w="1158" w:type="pct"/>
            <w:shd w:val="clear" w:color="auto" w:fill="auto"/>
            <w:vAlign w:val="center"/>
          </w:tcPr>
          <w:p w14:paraId="361FEB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546-2017</w:t>
            </w:r>
          </w:p>
        </w:tc>
      </w:tr>
      <w:tr w14:paraId="44C965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0F1785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43</w:t>
            </w:r>
          </w:p>
        </w:tc>
        <w:tc>
          <w:tcPr>
            <w:tcW w:w="3418" w:type="pct"/>
            <w:shd w:val="clear" w:color="auto" w:fill="auto"/>
            <w:vAlign w:val="center"/>
          </w:tcPr>
          <w:p w14:paraId="6A4207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医院感染管理信息系统基本功能规范</w:t>
            </w:r>
          </w:p>
        </w:tc>
        <w:tc>
          <w:tcPr>
            <w:tcW w:w="1158" w:type="pct"/>
            <w:shd w:val="clear" w:color="auto" w:fill="auto"/>
            <w:vAlign w:val="center"/>
          </w:tcPr>
          <w:p w14:paraId="320D94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547-2017</w:t>
            </w:r>
          </w:p>
        </w:tc>
      </w:tr>
      <w:tr w14:paraId="3D83A6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372D2D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44</w:t>
            </w:r>
          </w:p>
        </w:tc>
        <w:tc>
          <w:tcPr>
            <w:tcW w:w="3418" w:type="pct"/>
            <w:shd w:val="clear" w:color="auto" w:fill="auto"/>
            <w:vAlign w:val="center"/>
          </w:tcPr>
          <w:p w14:paraId="276E87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医学数字影像通信（DICOM）中文标准符合性测试规范</w:t>
            </w:r>
          </w:p>
        </w:tc>
        <w:tc>
          <w:tcPr>
            <w:tcW w:w="1158" w:type="pct"/>
            <w:shd w:val="clear" w:color="auto" w:fill="auto"/>
            <w:vAlign w:val="center"/>
          </w:tcPr>
          <w:p w14:paraId="7700E4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548-2017</w:t>
            </w:r>
          </w:p>
        </w:tc>
      </w:tr>
      <w:tr w14:paraId="30FFE5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5AB44C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45</w:t>
            </w:r>
          </w:p>
        </w:tc>
        <w:tc>
          <w:tcPr>
            <w:tcW w:w="3418" w:type="pct"/>
            <w:shd w:val="clear" w:color="auto" w:fill="auto"/>
            <w:vAlign w:val="center"/>
          </w:tcPr>
          <w:p w14:paraId="26C2DB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卫生统计指标</w:t>
            </w:r>
          </w:p>
        </w:tc>
        <w:tc>
          <w:tcPr>
            <w:tcW w:w="1158" w:type="pct"/>
            <w:shd w:val="clear" w:color="auto" w:fill="auto"/>
            <w:vAlign w:val="center"/>
          </w:tcPr>
          <w:p w14:paraId="43332F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598-2018</w:t>
            </w:r>
          </w:p>
        </w:tc>
      </w:tr>
      <w:tr w14:paraId="37927B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B2529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46</w:t>
            </w:r>
          </w:p>
        </w:tc>
        <w:tc>
          <w:tcPr>
            <w:tcW w:w="3418" w:type="pct"/>
            <w:shd w:val="clear" w:color="auto" w:fill="auto"/>
            <w:vAlign w:val="center"/>
          </w:tcPr>
          <w:p w14:paraId="6707CD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人口死亡信息登记系统基本功能规范</w:t>
            </w:r>
          </w:p>
        </w:tc>
        <w:tc>
          <w:tcPr>
            <w:tcW w:w="1158" w:type="pct"/>
            <w:shd w:val="clear" w:color="auto" w:fill="auto"/>
            <w:vAlign w:val="center"/>
          </w:tcPr>
          <w:p w14:paraId="44A00B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596-2018</w:t>
            </w:r>
          </w:p>
        </w:tc>
      </w:tr>
      <w:tr w14:paraId="380F97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27C304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47</w:t>
            </w:r>
          </w:p>
        </w:tc>
        <w:tc>
          <w:tcPr>
            <w:tcW w:w="3418" w:type="pct"/>
            <w:shd w:val="clear" w:color="auto" w:fill="auto"/>
            <w:vAlign w:val="center"/>
          </w:tcPr>
          <w:p w14:paraId="2961FD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医院人财物运营管理基本数据集</w:t>
            </w:r>
          </w:p>
        </w:tc>
        <w:tc>
          <w:tcPr>
            <w:tcW w:w="1158" w:type="pct"/>
            <w:shd w:val="clear" w:color="auto" w:fill="auto"/>
            <w:vAlign w:val="center"/>
          </w:tcPr>
          <w:p w14:paraId="23BB6F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599-2018</w:t>
            </w:r>
          </w:p>
        </w:tc>
      </w:tr>
      <w:tr w14:paraId="011BE6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B3EA0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48</w:t>
            </w:r>
          </w:p>
        </w:tc>
        <w:tc>
          <w:tcPr>
            <w:tcW w:w="3418" w:type="pct"/>
            <w:shd w:val="clear" w:color="auto" w:fill="auto"/>
            <w:vAlign w:val="center"/>
          </w:tcPr>
          <w:p w14:paraId="41EEE3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医学数字影像虚拟打印服务规范</w:t>
            </w:r>
          </w:p>
        </w:tc>
        <w:tc>
          <w:tcPr>
            <w:tcW w:w="1158" w:type="pct"/>
            <w:shd w:val="clear" w:color="auto" w:fill="auto"/>
            <w:vAlign w:val="center"/>
          </w:tcPr>
          <w:p w14:paraId="635BCD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597-2018</w:t>
            </w:r>
          </w:p>
        </w:tc>
      </w:tr>
      <w:tr w14:paraId="3534DE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2C9C7A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49</w:t>
            </w:r>
          </w:p>
        </w:tc>
        <w:tc>
          <w:tcPr>
            <w:tcW w:w="3418" w:type="pct"/>
            <w:shd w:val="clear" w:color="auto" w:fill="auto"/>
            <w:vAlign w:val="center"/>
          </w:tcPr>
          <w:p w14:paraId="1EEEBD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国家卫生与人口信息数据字典</w:t>
            </w:r>
          </w:p>
        </w:tc>
        <w:tc>
          <w:tcPr>
            <w:tcW w:w="1158" w:type="pct"/>
            <w:shd w:val="clear" w:color="auto" w:fill="auto"/>
            <w:vAlign w:val="center"/>
          </w:tcPr>
          <w:p w14:paraId="18EA58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671-2020</w:t>
            </w:r>
          </w:p>
        </w:tc>
      </w:tr>
      <w:tr w14:paraId="381471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3502D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50</w:t>
            </w:r>
          </w:p>
        </w:tc>
        <w:tc>
          <w:tcPr>
            <w:tcW w:w="3418" w:type="pct"/>
            <w:shd w:val="clear" w:color="auto" w:fill="auto"/>
            <w:vAlign w:val="center"/>
          </w:tcPr>
          <w:p w14:paraId="7AB85B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国家卫生与人口信息概念数据模型</w:t>
            </w:r>
          </w:p>
        </w:tc>
        <w:tc>
          <w:tcPr>
            <w:tcW w:w="1158" w:type="pct"/>
            <w:shd w:val="clear" w:color="auto" w:fill="auto"/>
            <w:vAlign w:val="center"/>
          </w:tcPr>
          <w:p w14:paraId="72A806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672-2020</w:t>
            </w:r>
          </w:p>
        </w:tc>
      </w:tr>
      <w:tr w14:paraId="7791BF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606B23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51</w:t>
            </w:r>
          </w:p>
        </w:tc>
        <w:tc>
          <w:tcPr>
            <w:tcW w:w="3418" w:type="pct"/>
            <w:shd w:val="clear" w:color="auto" w:fill="auto"/>
            <w:vAlign w:val="center"/>
          </w:tcPr>
          <w:p w14:paraId="588F5C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妇女保健基本数据集</w:t>
            </w:r>
          </w:p>
        </w:tc>
        <w:tc>
          <w:tcPr>
            <w:tcW w:w="1158" w:type="pct"/>
            <w:shd w:val="clear" w:color="auto" w:fill="auto"/>
            <w:vAlign w:val="center"/>
          </w:tcPr>
          <w:p w14:paraId="709789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 377-2020</w:t>
            </w:r>
          </w:p>
        </w:tc>
      </w:tr>
      <w:tr w14:paraId="6068A5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4D6950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52</w:t>
            </w:r>
          </w:p>
        </w:tc>
        <w:tc>
          <w:tcPr>
            <w:tcW w:w="3418" w:type="pct"/>
            <w:shd w:val="clear" w:color="auto" w:fill="auto"/>
            <w:vAlign w:val="center"/>
          </w:tcPr>
          <w:p w14:paraId="6291B2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卫生信息标识体系 对象标识符注册管理规程</w:t>
            </w:r>
          </w:p>
        </w:tc>
        <w:tc>
          <w:tcPr>
            <w:tcW w:w="1158" w:type="pct"/>
            <w:shd w:val="clear" w:color="auto" w:fill="auto"/>
            <w:vAlign w:val="center"/>
          </w:tcPr>
          <w:p w14:paraId="0E8B15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681-2020</w:t>
            </w:r>
          </w:p>
        </w:tc>
      </w:tr>
      <w:tr w14:paraId="1CD658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pct"/>
            <w:shd w:val="clear" w:color="auto" w:fill="auto"/>
            <w:vAlign w:val="center"/>
          </w:tcPr>
          <w:p w14:paraId="711FBE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53</w:t>
            </w:r>
          </w:p>
        </w:tc>
        <w:tc>
          <w:tcPr>
            <w:tcW w:w="3418" w:type="pct"/>
            <w:shd w:val="clear" w:color="auto" w:fill="auto"/>
            <w:vAlign w:val="center"/>
          </w:tcPr>
          <w:p w14:paraId="4AB683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卫生信息标识体系 对象标识符编号结构与基本规则</w:t>
            </w:r>
          </w:p>
        </w:tc>
        <w:tc>
          <w:tcPr>
            <w:tcW w:w="1158" w:type="pct"/>
            <w:shd w:val="clear" w:color="auto" w:fill="auto"/>
            <w:vAlign w:val="center"/>
          </w:tcPr>
          <w:p w14:paraId="45A7EC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682-2020</w:t>
            </w:r>
          </w:p>
        </w:tc>
      </w:tr>
    </w:tbl>
    <w:p w14:paraId="1D87BC6B">
      <w:pPr>
        <w:pStyle w:val="12"/>
        <w:bidi w:val="0"/>
        <w:ind w:left="864" w:leftChars="0" w:hanging="864" w:firstLineChars="0"/>
        <w:rPr>
          <w:rFonts w:hint="eastAsia"/>
          <w:color w:val="auto"/>
        </w:rPr>
      </w:pPr>
      <w:r>
        <w:rPr>
          <w:rFonts w:hint="eastAsia"/>
          <w:color w:val="auto"/>
        </w:rPr>
        <w:t>系统基本功能规范</w:t>
      </w:r>
    </w:p>
    <w:p w14:paraId="2B9933CA">
      <w:pPr>
        <w:pStyle w:val="21"/>
        <w:jc w:val="center"/>
        <w:rPr>
          <w:color w:val="auto"/>
        </w:rPr>
      </w:pPr>
      <w:r>
        <w:rPr>
          <w:color w:val="auto"/>
        </w:rPr>
        <w:t xml:space="preserve">表 </w:t>
      </w:r>
      <w:r>
        <w:rPr>
          <w:rFonts w:hint="eastAsia"/>
          <w:color w:val="auto"/>
          <w:lang w:val="en-US" w:eastAsia="zh-CN"/>
        </w:rPr>
        <w:t>5</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rFonts w:hint="eastAsia"/>
          <w:color w:val="auto"/>
        </w:rPr>
        <w:t>系统基本功能规范</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5826"/>
        <w:gridCol w:w="1974"/>
      </w:tblGrid>
      <w:tr w14:paraId="2ED7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4" w:type="pct"/>
            <w:shd w:val="clear" w:color="auto" w:fill="BFBFBF"/>
            <w:vAlign w:val="center"/>
          </w:tcPr>
          <w:p w14:paraId="7713DC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kern w:val="0"/>
                <w:sz w:val="22"/>
                <w:szCs w:val="20"/>
              </w:rPr>
            </w:pPr>
            <w:r>
              <w:rPr>
                <w:rFonts w:hint="eastAsia"/>
                <w:b/>
                <w:bCs/>
                <w:color w:val="auto"/>
                <w:kern w:val="0"/>
                <w:sz w:val="22"/>
                <w:szCs w:val="20"/>
              </w:rPr>
              <w:t>序号</w:t>
            </w:r>
          </w:p>
        </w:tc>
        <w:tc>
          <w:tcPr>
            <w:tcW w:w="3418" w:type="pct"/>
            <w:shd w:val="clear" w:color="auto" w:fill="BFBFBF"/>
            <w:vAlign w:val="center"/>
          </w:tcPr>
          <w:p w14:paraId="2995E7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kern w:val="0"/>
                <w:sz w:val="22"/>
                <w:szCs w:val="20"/>
              </w:rPr>
            </w:pPr>
            <w:r>
              <w:rPr>
                <w:rFonts w:hint="eastAsia"/>
                <w:b/>
                <w:bCs/>
                <w:color w:val="auto"/>
                <w:kern w:val="0"/>
                <w:sz w:val="22"/>
                <w:szCs w:val="20"/>
              </w:rPr>
              <w:t>标准名称</w:t>
            </w:r>
          </w:p>
        </w:tc>
        <w:tc>
          <w:tcPr>
            <w:tcW w:w="1158" w:type="pct"/>
            <w:shd w:val="clear" w:color="auto" w:fill="BFBFBF"/>
            <w:vAlign w:val="center"/>
          </w:tcPr>
          <w:p w14:paraId="2F06EE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auto"/>
                <w:kern w:val="0"/>
                <w:sz w:val="22"/>
                <w:szCs w:val="20"/>
              </w:rPr>
            </w:pPr>
            <w:r>
              <w:rPr>
                <w:rFonts w:hint="eastAsia"/>
                <w:b/>
                <w:bCs/>
                <w:color w:val="auto"/>
                <w:kern w:val="0"/>
                <w:sz w:val="22"/>
                <w:szCs w:val="20"/>
              </w:rPr>
              <w:t>标准号</w:t>
            </w:r>
          </w:p>
        </w:tc>
      </w:tr>
      <w:tr w14:paraId="1602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3EEC0E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w:t>
            </w:r>
          </w:p>
        </w:tc>
        <w:tc>
          <w:tcPr>
            <w:tcW w:w="3418" w:type="pct"/>
            <w:vAlign w:val="center"/>
          </w:tcPr>
          <w:p w14:paraId="5E69B3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卫生监督业务信息系统基本功能规范</w:t>
            </w:r>
          </w:p>
        </w:tc>
        <w:tc>
          <w:tcPr>
            <w:tcW w:w="1158" w:type="pct"/>
            <w:vAlign w:val="center"/>
          </w:tcPr>
          <w:p w14:paraId="29AC94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452-2014</w:t>
            </w:r>
          </w:p>
        </w:tc>
      </w:tr>
      <w:tr w14:paraId="6F1E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5E22CD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2</w:t>
            </w:r>
          </w:p>
        </w:tc>
        <w:tc>
          <w:tcPr>
            <w:tcW w:w="3418" w:type="pct"/>
            <w:vAlign w:val="center"/>
          </w:tcPr>
          <w:p w14:paraId="5FC622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院前医疗急救指挥信息系统基本功能规范</w:t>
            </w:r>
          </w:p>
        </w:tc>
        <w:tc>
          <w:tcPr>
            <w:tcW w:w="1158" w:type="pct"/>
            <w:vAlign w:val="center"/>
          </w:tcPr>
          <w:p w14:paraId="794E7A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451-2014</w:t>
            </w:r>
          </w:p>
        </w:tc>
      </w:tr>
      <w:tr w14:paraId="5309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3C57A1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3</w:t>
            </w:r>
          </w:p>
        </w:tc>
        <w:tc>
          <w:tcPr>
            <w:tcW w:w="3418" w:type="pct"/>
            <w:vAlign w:val="center"/>
          </w:tcPr>
          <w:p w14:paraId="5D58C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新型农村合作医疗管理信息系统基本功能规范</w:t>
            </w:r>
          </w:p>
        </w:tc>
        <w:tc>
          <w:tcPr>
            <w:tcW w:w="1158" w:type="pct"/>
            <w:vAlign w:val="center"/>
          </w:tcPr>
          <w:p w14:paraId="62A73E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450-2014</w:t>
            </w:r>
          </w:p>
        </w:tc>
      </w:tr>
      <w:tr w14:paraId="73AF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69F18C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4</w:t>
            </w:r>
          </w:p>
        </w:tc>
        <w:tc>
          <w:tcPr>
            <w:tcW w:w="3418" w:type="pct"/>
            <w:vAlign w:val="center"/>
          </w:tcPr>
          <w:p w14:paraId="067829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慢性病监测信息系统基本功能规范</w:t>
            </w:r>
          </w:p>
        </w:tc>
        <w:tc>
          <w:tcPr>
            <w:tcW w:w="1158" w:type="pct"/>
            <w:vAlign w:val="center"/>
          </w:tcPr>
          <w:p w14:paraId="1D6991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449-2014</w:t>
            </w:r>
          </w:p>
        </w:tc>
      </w:tr>
      <w:tr w14:paraId="3B7D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05EB8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5</w:t>
            </w:r>
          </w:p>
        </w:tc>
        <w:tc>
          <w:tcPr>
            <w:tcW w:w="3418" w:type="pct"/>
            <w:vAlign w:val="center"/>
          </w:tcPr>
          <w:p w14:paraId="74AD3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妇幼保健服务信息系统基本功能规范</w:t>
            </w:r>
          </w:p>
        </w:tc>
        <w:tc>
          <w:tcPr>
            <w:tcW w:w="1158" w:type="pct"/>
            <w:vAlign w:val="center"/>
          </w:tcPr>
          <w:p w14:paraId="1FE4F8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526-2016</w:t>
            </w:r>
          </w:p>
        </w:tc>
      </w:tr>
      <w:tr w14:paraId="450F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13EC05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6</w:t>
            </w:r>
          </w:p>
        </w:tc>
        <w:tc>
          <w:tcPr>
            <w:tcW w:w="3418" w:type="pct"/>
            <w:vAlign w:val="center"/>
          </w:tcPr>
          <w:p w14:paraId="2E287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基层医疗卫生信息系统基本功能规范</w:t>
            </w:r>
          </w:p>
        </w:tc>
        <w:tc>
          <w:tcPr>
            <w:tcW w:w="1158" w:type="pct"/>
            <w:vAlign w:val="center"/>
          </w:tcPr>
          <w:p w14:paraId="03D592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517-2016</w:t>
            </w:r>
          </w:p>
        </w:tc>
      </w:tr>
      <w:tr w14:paraId="7C6A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75B1D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7</w:t>
            </w:r>
          </w:p>
        </w:tc>
        <w:tc>
          <w:tcPr>
            <w:tcW w:w="3418" w:type="pct"/>
            <w:vAlign w:val="center"/>
          </w:tcPr>
          <w:p w14:paraId="733E20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远程医疗信息系统基本功能规范</w:t>
            </w:r>
          </w:p>
        </w:tc>
        <w:tc>
          <w:tcPr>
            <w:tcW w:w="1158" w:type="pct"/>
            <w:vAlign w:val="center"/>
          </w:tcPr>
          <w:p w14:paraId="2B444F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529-2016</w:t>
            </w:r>
          </w:p>
        </w:tc>
      </w:tr>
      <w:tr w14:paraId="50E8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75D3C1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8</w:t>
            </w:r>
          </w:p>
        </w:tc>
        <w:tc>
          <w:tcPr>
            <w:tcW w:w="3418" w:type="pct"/>
            <w:vAlign w:val="center"/>
          </w:tcPr>
          <w:p w14:paraId="2450DA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医院感染管理信息系统基本功能规范</w:t>
            </w:r>
          </w:p>
        </w:tc>
        <w:tc>
          <w:tcPr>
            <w:tcW w:w="1158" w:type="pct"/>
            <w:vAlign w:val="center"/>
          </w:tcPr>
          <w:p w14:paraId="3D01B4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547-2017</w:t>
            </w:r>
          </w:p>
        </w:tc>
      </w:tr>
      <w:tr w14:paraId="6794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31A836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9</w:t>
            </w:r>
          </w:p>
        </w:tc>
        <w:tc>
          <w:tcPr>
            <w:tcW w:w="3418" w:type="pct"/>
            <w:vAlign w:val="center"/>
          </w:tcPr>
          <w:p w14:paraId="1219C9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远程医疗信息系统技术规范</w:t>
            </w:r>
          </w:p>
        </w:tc>
        <w:tc>
          <w:tcPr>
            <w:tcW w:w="1158" w:type="pct"/>
            <w:vAlign w:val="center"/>
          </w:tcPr>
          <w:p w14:paraId="22BC39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545-2017</w:t>
            </w:r>
          </w:p>
        </w:tc>
      </w:tr>
      <w:tr w14:paraId="16F6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532DB0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10</w:t>
            </w:r>
          </w:p>
        </w:tc>
        <w:tc>
          <w:tcPr>
            <w:tcW w:w="3418" w:type="pct"/>
            <w:vAlign w:val="center"/>
          </w:tcPr>
          <w:p w14:paraId="135F3A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人口死亡登记信息系统基本功能规范</w:t>
            </w:r>
          </w:p>
        </w:tc>
        <w:tc>
          <w:tcPr>
            <w:tcW w:w="1158" w:type="pct"/>
            <w:vAlign w:val="center"/>
          </w:tcPr>
          <w:p w14:paraId="29600F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596-2018</w:t>
            </w:r>
          </w:p>
        </w:tc>
      </w:tr>
      <w:tr w14:paraId="5A5F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591921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11</w:t>
            </w:r>
          </w:p>
        </w:tc>
        <w:tc>
          <w:tcPr>
            <w:tcW w:w="3418" w:type="pct"/>
            <w:vAlign w:val="center"/>
          </w:tcPr>
          <w:p w14:paraId="47D8FA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医院感染预防与控制评价规范</w:t>
            </w:r>
          </w:p>
        </w:tc>
        <w:tc>
          <w:tcPr>
            <w:tcW w:w="1158" w:type="pct"/>
            <w:vAlign w:val="center"/>
          </w:tcPr>
          <w:p w14:paraId="570485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592-2018</w:t>
            </w:r>
          </w:p>
        </w:tc>
      </w:tr>
      <w:tr w14:paraId="3832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noWrap/>
            <w:vAlign w:val="center"/>
          </w:tcPr>
          <w:p w14:paraId="78A2F0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12</w:t>
            </w:r>
          </w:p>
        </w:tc>
        <w:tc>
          <w:tcPr>
            <w:tcW w:w="3418" w:type="pct"/>
            <w:vAlign w:val="center"/>
          </w:tcPr>
          <w:p w14:paraId="7FAA8F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医疗机构门急诊医院感染管理规范</w:t>
            </w:r>
          </w:p>
        </w:tc>
        <w:tc>
          <w:tcPr>
            <w:tcW w:w="1158" w:type="pct"/>
            <w:vAlign w:val="center"/>
          </w:tcPr>
          <w:p w14:paraId="6A3188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2"/>
                <w:szCs w:val="22"/>
              </w:rPr>
            </w:pPr>
            <w:r>
              <w:rPr>
                <w:rFonts w:hint="eastAsia"/>
                <w:color w:val="auto"/>
                <w:kern w:val="0"/>
                <w:sz w:val="22"/>
                <w:szCs w:val="22"/>
              </w:rPr>
              <w:t>WS/T 591-2018</w:t>
            </w:r>
          </w:p>
        </w:tc>
      </w:tr>
    </w:tbl>
    <w:p w14:paraId="457A68A4">
      <w:pPr>
        <w:pStyle w:val="12"/>
        <w:bidi w:val="0"/>
        <w:ind w:left="864" w:leftChars="0" w:hanging="864" w:firstLineChars="0"/>
        <w:rPr>
          <w:rFonts w:hint="eastAsia"/>
          <w:color w:val="auto"/>
        </w:rPr>
      </w:pPr>
      <w:bookmarkStart w:id="67" w:name="_Toc12839"/>
      <w:bookmarkEnd w:id="67"/>
      <w:bookmarkStart w:id="68" w:name="_Toc2102"/>
      <w:r>
        <w:rPr>
          <w:rFonts w:hint="eastAsia"/>
          <w:color w:val="auto"/>
        </w:rPr>
        <w:t>接口及其他标准</w:t>
      </w:r>
      <w:bookmarkEnd w:id="68"/>
    </w:p>
    <w:p w14:paraId="7691BE76">
      <w:pPr>
        <w:widowControl/>
        <w:numPr>
          <w:ilvl w:val="0"/>
          <w:numId w:val="0"/>
        </w:numPr>
        <w:ind w:left="1280" w:leftChars="0" w:hanging="720" w:firstLineChars="0"/>
        <w:jc w:val="left"/>
        <w:rPr>
          <w:rFonts w:hint="eastAsia"/>
          <w:color w:val="auto"/>
          <w:kern w:val="0"/>
          <w:sz w:val="24"/>
          <w:szCs w:val="24"/>
        </w:rPr>
      </w:pPr>
      <w:r>
        <w:rPr>
          <w:rFonts w:hint="default" w:ascii="Times New Roman" w:hAnsi="Times New Roman" w:eastAsia="宋体" w:cs="Times New Roman"/>
          <w:color w:val="auto"/>
          <w:kern w:val="0"/>
          <w:sz w:val="24"/>
          <w:szCs w:val="24"/>
          <w:lang w:val="en-US" w:eastAsia="zh-CN" w:bidi="ar-SA"/>
        </w:rPr>
        <w:t>1、</w:t>
      </w:r>
      <w:r>
        <w:rPr>
          <w:rFonts w:hint="eastAsia"/>
          <w:color w:val="auto"/>
          <w:kern w:val="0"/>
          <w:sz w:val="24"/>
          <w:szCs w:val="24"/>
        </w:rPr>
        <w:t>支持TCP/IP协议、HTTP、HTTPS、J2EE/EJB、SOCKET等；</w:t>
      </w:r>
    </w:p>
    <w:p w14:paraId="51710825">
      <w:pPr>
        <w:widowControl/>
        <w:numPr>
          <w:ilvl w:val="0"/>
          <w:numId w:val="0"/>
        </w:numPr>
        <w:ind w:left="0" w:leftChars="0" w:firstLine="556" w:firstLineChars="0"/>
        <w:jc w:val="left"/>
        <w:rPr>
          <w:rFonts w:hint="eastAsia"/>
          <w:color w:val="auto"/>
          <w:kern w:val="0"/>
          <w:sz w:val="24"/>
          <w:szCs w:val="24"/>
        </w:rPr>
      </w:pPr>
      <w:r>
        <w:rPr>
          <w:rFonts w:hint="default" w:ascii="Times New Roman" w:hAnsi="Times New Roman" w:eastAsia="宋体" w:cs="Times New Roman"/>
          <w:color w:val="auto"/>
          <w:kern w:val="0"/>
          <w:sz w:val="24"/>
          <w:szCs w:val="24"/>
          <w:lang w:val="en-US" w:eastAsia="zh-CN" w:bidi="ar-SA"/>
        </w:rPr>
        <w:t>2、</w:t>
      </w:r>
      <w:r>
        <w:rPr>
          <w:rFonts w:hint="eastAsia"/>
          <w:color w:val="auto"/>
          <w:kern w:val="0"/>
          <w:sz w:val="24"/>
          <w:szCs w:val="24"/>
        </w:rPr>
        <w:t>对数据库的访问支持ODBC、COM、JDBC、PDO、ADO.NET等；</w:t>
      </w:r>
    </w:p>
    <w:p w14:paraId="7B851378">
      <w:pPr>
        <w:widowControl/>
        <w:numPr>
          <w:ilvl w:val="0"/>
          <w:numId w:val="0"/>
        </w:numPr>
        <w:ind w:left="0" w:leftChars="0" w:firstLine="556" w:firstLineChars="0"/>
        <w:jc w:val="left"/>
        <w:rPr>
          <w:rFonts w:hint="eastAsia"/>
          <w:color w:val="auto"/>
          <w:kern w:val="0"/>
          <w:sz w:val="24"/>
          <w:szCs w:val="24"/>
        </w:rPr>
      </w:pPr>
      <w:r>
        <w:rPr>
          <w:rFonts w:hint="default" w:ascii="Times New Roman" w:hAnsi="Times New Roman" w:eastAsia="宋体" w:cs="Times New Roman"/>
          <w:color w:val="auto"/>
          <w:kern w:val="0"/>
          <w:sz w:val="24"/>
          <w:szCs w:val="24"/>
          <w:lang w:val="en-US" w:eastAsia="zh-CN" w:bidi="ar-SA"/>
        </w:rPr>
        <w:t>3、</w:t>
      </w:r>
      <w:r>
        <w:rPr>
          <w:rFonts w:hint="eastAsia"/>
          <w:color w:val="auto"/>
          <w:kern w:val="0"/>
          <w:sz w:val="24"/>
          <w:szCs w:val="24"/>
        </w:rPr>
        <w:t>支持XML、WebService、SOAP等；</w:t>
      </w:r>
    </w:p>
    <w:p w14:paraId="7F186485">
      <w:pPr>
        <w:widowControl/>
        <w:numPr>
          <w:ilvl w:val="0"/>
          <w:numId w:val="0"/>
        </w:numPr>
        <w:ind w:left="0" w:leftChars="0" w:firstLine="567" w:firstLineChars="0"/>
        <w:jc w:val="left"/>
        <w:rPr>
          <w:rFonts w:hint="eastAsia"/>
          <w:color w:val="auto"/>
          <w:kern w:val="0"/>
          <w:sz w:val="24"/>
          <w:szCs w:val="24"/>
        </w:rPr>
      </w:pPr>
      <w:r>
        <w:rPr>
          <w:rFonts w:hint="default" w:ascii="Times New Roman" w:hAnsi="Times New Roman" w:eastAsia="宋体" w:cs="Times New Roman"/>
          <w:color w:val="auto"/>
          <w:kern w:val="0"/>
          <w:sz w:val="24"/>
          <w:szCs w:val="24"/>
          <w:lang w:val="en-US" w:eastAsia="zh-CN" w:bidi="ar-SA"/>
        </w:rPr>
        <w:t>4、</w:t>
      </w:r>
      <w:r>
        <w:rPr>
          <w:rFonts w:hint="eastAsia"/>
          <w:color w:val="auto"/>
          <w:kern w:val="0"/>
          <w:sz w:val="24"/>
          <w:szCs w:val="24"/>
        </w:rPr>
        <w:t>支持HL7等。</w:t>
      </w:r>
    </w:p>
    <w:p w14:paraId="34E5CD3E">
      <w:pPr>
        <w:pStyle w:val="6"/>
        <w:bidi w:val="0"/>
        <w:ind w:left="575" w:leftChars="0" w:hanging="575" w:firstLineChars="0"/>
        <w:rPr>
          <w:rFonts w:hint="eastAsia"/>
          <w:color w:val="auto"/>
        </w:rPr>
      </w:pPr>
      <w:bookmarkStart w:id="69" w:name="_Toc14608"/>
      <w:bookmarkStart w:id="70" w:name="_Toc26455"/>
      <w:bookmarkStart w:id="71" w:name="_Toc15322"/>
      <w:r>
        <w:rPr>
          <w:rFonts w:hint="eastAsia"/>
          <w:color w:val="auto"/>
        </w:rPr>
        <w:t>技术方案</w:t>
      </w:r>
      <w:bookmarkEnd w:id="69"/>
      <w:bookmarkEnd w:id="70"/>
    </w:p>
    <w:p w14:paraId="6F27BF5B">
      <w:pPr>
        <w:pStyle w:val="10"/>
        <w:bidi w:val="0"/>
        <w:ind w:left="720" w:leftChars="0" w:hanging="720" w:firstLineChars="0"/>
        <w:rPr>
          <w:rFonts w:hint="eastAsia"/>
          <w:color w:val="auto"/>
        </w:rPr>
      </w:pPr>
      <w:bookmarkStart w:id="72" w:name="_Toc21693"/>
      <w:bookmarkStart w:id="73" w:name="_Toc8164"/>
      <w:r>
        <w:rPr>
          <w:rFonts w:hint="eastAsia"/>
          <w:color w:val="auto"/>
          <w:lang w:val="en-US" w:eastAsia="zh-CN"/>
        </w:rPr>
        <w:t>关键</w:t>
      </w:r>
      <w:r>
        <w:rPr>
          <w:rFonts w:hint="eastAsia"/>
          <w:color w:val="auto"/>
        </w:rPr>
        <w:t>技术路线</w:t>
      </w:r>
      <w:bookmarkEnd w:id="72"/>
      <w:bookmarkEnd w:id="73"/>
    </w:p>
    <w:p w14:paraId="0CE1A785">
      <w:pPr>
        <w:pStyle w:val="12"/>
        <w:bidi w:val="0"/>
        <w:ind w:left="864" w:leftChars="0" w:hanging="864" w:firstLineChars="0"/>
        <w:rPr>
          <w:rFonts w:hint="eastAsia"/>
          <w:color w:val="auto"/>
        </w:rPr>
      </w:pPr>
      <w:bookmarkStart w:id="74" w:name="_Toc7500"/>
      <w:bookmarkStart w:id="75" w:name="_Toc1814"/>
      <w:r>
        <w:rPr>
          <w:rFonts w:hint="eastAsia"/>
          <w:color w:val="auto"/>
        </w:rPr>
        <w:t>面向服务的SOA架构</w:t>
      </w:r>
      <w:bookmarkEnd w:id="74"/>
      <w:bookmarkEnd w:id="75"/>
    </w:p>
    <w:p w14:paraId="58541B91">
      <w:pPr>
        <w:ind w:firstLine="480"/>
        <w:rPr>
          <w:rFonts w:hint="eastAsia"/>
          <w:color w:val="auto"/>
          <w:sz w:val="24"/>
          <w:szCs w:val="24"/>
        </w:rPr>
      </w:pPr>
      <w:r>
        <w:rPr>
          <w:rFonts w:hint="eastAsia"/>
          <w:color w:val="auto"/>
          <w:sz w:val="24"/>
          <w:szCs w:val="24"/>
        </w:rPr>
        <w:t>SOA是Service-OrientedArchitecture的缩写，服务是具有逻辑功能的应用程序单元，这些程序单元通过提供良好定义的基于消息的接口，供服务使用者通过网络来使用其提供的功能。</w:t>
      </w:r>
    </w:p>
    <w:p w14:paraId="51CE1865">
      <w:pPr>
        <w:pStyle w:val="12"/>
        <w:bidi w:val="0"/>
        <w:ind w:left="864" w:leftChars="0" w:hanging="864" w:firstLineChars="0"/>
        <w:rPr>
          <w:rFonts w:hint="eastAsia"/>
          <w:color w:val="auto"/>
        </w:rPr>
      </w:pPr>
      <w:bookmarkStart w:id="76" w:name="_Toc25471"/>
      <w:bookmarkStart w:id="77" w:name="_Toc11298"/>
      <w:r>
        <w:rPr>
          <w:rFonts w:hint="eastAsia"/>
          <w:color w:val="auto"/>
        </w:rPr>
        <w:t>基于Web的B/S架构</w:t>
      </w:r>
      <w:bookmarkEnd w:id="76"/>
      <w:bookmarkEnd w:id="77"/>
    </w:p>
    <w:p w14:paraId="4F9D8E1E">
      <w:pPr>
        <w:ind w:firstLine="480"/>
        <w:rPr>
          <w:rFonts w:hint="eastAsia"/>
          <w:color w:val="auto"/>
          <w:sz w:val="24"/>
          <w:szCs w:val="24"/>
        </w:rPr>
      </w:pPr>
      <w:r>
        <w:rPr>
          <w:rFonts w:hint="eastAsia"/>
          <w:color w:val="auto"/>
          <w:sz w:val="24"/>
          <w:szCs w:val="24"/>
        </w:rPr>
        <w:t>B/S架构即采用浏览器页面作为应用程序主界面的一种系统架构。</w:t>
      </w:r>
    </w:p>
    <w:p w14:paraId="775D6C38">
      <w:pPr>
        <w:ind w:firstLine="480"/>
        <w:rPr>
          <w:rFonts w:hint="eastAsia"/>
          <w:color w:val="auto"/>
          <w:sz w:val="24"/>
          <w:szCs w:val="24"/>
        </w:rPr>
      </w:pPr>
      <w:r>
        <w:rPr>
          <w:rFonts w:hint="eastAsia"/>
          <w:color w:val="auto"/>
          <w:sz w:val="24"/>
          <w:szCs w:val="24"/>
        </w:rPr>
        <w:t>B/S(浏览器/服务器模式)是随着Internet技术的兴起，对C/S结构的一种改进。在这种结构下，软件应用的业务逻辑完全在应用服务器端实现，用户表现完全在Web服务器实现，客户端只需要浏览器即可进行业务处理，是一种全新的软件系统构造技术。这种结构更成为当今应用软件的首选体系结构。</w:t>
      </w:r>
    </w:p>
    <w:p w14:paraId="361CD02B">
      <w:pPr>
        <w:pStyle w:val="12"/>
        <w:bidi w:val="0"/>
        <w:ind w:left="864" w:leftChars="0" w:hanging="864" w:firstLineChars="0"/>
        <w:rPr>
          <w:rFonts w:hint="eastAsia"/>
          <w:color w:val="auto"/>
        </w:rPr>
      </w:pPr>
      <w:bookmarkStart w:id="78" w:name="_Toc30163"/>
      <w:bookmarkStart w:id="79" w:name="_Toc8931"/>
      <w:r>
        <w:rPr>
          <w:rFonts w:hint="eastAsia"/>
          <w:color w:val="auto"/>
        </w:rPr>
        <w:t>工作流引擎</w:t>
      </w:r>
      <w:bookmarkEnd w:id="78"/>
      <w:bookmarkEnd w:id="79"/>
    </w:p>
    <w:p w14:paraId="1958D3EA">
      <w:pPr>
        <w:ind w:firstLine="480"/>
        <w:rPr>
          <w:rFonts w:hint="eastAsia"/>
          <w:color w:val="auto"/>
          <w:sz w:val="24"/>
          <w:szCs w:val="24"/>
        </w:rPr>
      </w:pPr>
      <w:r>
        <w:rPr>
          <w:rFonts w:hint="eastAsia"/>
          <w:color w:val="auto"/>
          <w:sz w:val="24"/>
          <w:szCs w:val="24"/>
        </w:rPr>
        <w:t>工作流引擎――将复杂的业务抽象分解为一套简单业务处理单元组成的工作流，由一个专门的管理系统对各个简单业务处理单元进行控制和调换，以达到不改变系统本身而对业务处理的灵活性和可变性。</w:t>
      </w:r>
    </w:p>
    <w:p w14:paraId="0AD38ADE">
      <w:pPr>
        <w:pStyle w:val="12"/>
        <w:bidi w:val="0"/>
        <w:ind w:left="864" w:leftChars="0" w:hanging="864" w:firstLineChars="0"/>
        <w:rPr>
          <w:rFonts w:hint="eastAsia"/>
          <w:color w:val="auto"/>
        </w:rPr>
      </w:pPr>
      <w:bookmarkStart w:id="80" w:name="_Toc5874"/>
      <w:bookmarkStart w:id="81" w:name="_Toc23285"/>
      <w:r>
        <w:rPr>
          <w:rFonts w:hint="eastAsia"/>
          <w:color w:val="auto"/>
        </w:rPr>
        <w:t>HL7引擎技术</w:t>
      </w:r>
      <w:bookmarkEnd w:id="80"/>
      <w:bookmarkEnd w:id="81"/>
    </w:p>
    <w:p w14:paraId="73F554ED">
      <w:pPr>
        <w:ind w:firstLine="480"/>
        <w:rPr>
          <w:rFonts w:hint="eastAsia"/>
          <w:color w:val="auto"/>
          <w:sz w:val="24"/>
          <w:szCs w:val="24"/>
        </w:rPr>
      </w:pPr>
      <w:r>
        <w:rPr>
          <w:rFonts w:hint="eastAsia"/>
          <w:color w:val="auto"/>
          <w:sz w:val="24"/>
          <w:szCs w:val="24"/>
        </w:rPr>
        <w:t>可实现异构系统、不同类型数据库之间数据代码对应转换，如将不符合HL7的数据转换成符合HL7标准的数据，或者将不同HL7版本的数据相互转换，并且提供可视化的配置工具。 HL7为应能支持临床病人照料和医疗保健服务的管理、传递和评估提供数据交换、数据管理和集成提供了标准，特别是为健康保健信息系统之间的信息交换与协同作用建立了灵活、廉价高效和标准的指引，方法学和相关的服务。</w:t>
      </w:r>
    </w:p>
    <w:p w14:paraId="58B7EE3F">
      <w:pPr>
        <w:pStyle w:val="12"/>
        <w:bidi w:val="0"/>
        <w:ind w:left="864" w:leftChars="0" w:hanging="864" w:firstLineChars="0"/>
        <w:rPr>
          <w:rFonts w:hint="eastAsia"/>
          <w:color w:val="auto"/>
        </w:rPr>
      </w:pPr>
      <w:bookmarkStart w:id="82" w:name="_Toc24286"/>
      <w:bookmarkStart w:id="83" w:name="_Toc11137"/>
      <w:r>
        <w:rPr>
          <w:rFonts w:hint="eastAsia"/>
          <w:color w:val="auto"/>
        </w:rPr>
        <w:t>XML技术</w:t>
      </w:r>
      <w:bookmarkEnd w:id="82"/>
      <w:bookmarkEnd w:id="83"/>
    </w:p>
    <w:p w14:paraId="04B228D4">
      <w:pPr>
        <w:ind w:firstLine="480"/>
        <w:rPr>
          <w:rFonts w:hint="eastAsia"/>
          <w:color w:val="auto"/>
          <w:sz w:val="24"/>
          <w:szCs w:val="24"/>
        </w:rPr>
      </w:pPr>
      <w:r>
        <w:rPr>
          <w:rFonts w:hint="eastAsia"/>
          <w:color w:val="auto"/>
          <w:sz w:val="24"/>
          <w:szCs w:val="24"/>
        </w:rPr>
        <w:t>XML即为可扩展的标记语言（eXtensibleMarkupLanguage）。XML是一套定义语义标记的规则，这些标记将文档分成许多部件并对这些部件加以标识。</w:t>
      </w:r>
    </w:p>
    <w:p w14:paraId="68D3728D">
      <w:pPr>
        <w:ind w:firstLine="480"/>
        <w:rPr>
          <w:rFonts w:hint="eastAsia"/>
          <w:color w:val="auto"/>
          <w:sz w:val="24"/>
          <w:szCs w:val="24"/>
        </w:rPr>
      </w:pPr>
      <w:r>
        <w:rPr>
          <w:rFonts w:hint="eastAsia"/>
          <w:color w:val="auto"/>
          <w:sz w:val="24"/>
          <w:szCs w:val="24"/>
        </w:rPr>
        <w:t>它具有标记不同字段(field)的能力，使得搜索变得更简单和动态化，XML可以充当公共传输工具，以中性格式进行数据传输。此外，XML还可以处理各种数据，包括文本、图像和声音，并且可以由用户进行扩展以处理任何特殊类型的数据。</w:t>
      </w:r>
    </w:p>
    <w:p w14:paraId="28C6FF91">
      <w:pPr>
        <w:pStyle w:val="12"/>
        <w:bidi w:val="0"/>
        <w:ind w:left="864" w:leftChars="0" w:hanging="864" w:firstLineChars="0"/>
        <w:rPr>
          <w:rFonts w:hint="eastAsia"/>
          <w:color w:val="auto"/>
        </w:rPr>
      </w:pPr>
      <w:bookmarkStart w:id="84" w:name="_Toc2919"/>
      <w:bookmarkStart w:id="85" w:name="_Toc17737"/>
      <w:r>
        <w:rPr>
          <w:rFonts w:hint="eastAsia"/>
          <w:color w:val="auto"/>
        </w:rPr>
        <w:t>PORTAL技术</w:t>
      </w:r>
      <w:bookmarkEnd w:id="84"/>
      <w:bookmarkEnd w:id="85"/>
    </w:p>
    <w:p w14:paraId="428CAC85">
      <w:pPr>
        <w:ind w:firstLine="480"/>
        <w:rPr>
          <w:rFonts w:hint="eastAsia"/>
          <w:color w:val="auto"/>
          <w:sz w:val="24"/>
          <w:szCs w:val="24"/>
        </w:rPr>
      </w:pPr>
      <w:r>
        <w:rPr>
          <w:rFonts w:hint="eastAsia"/>
          <w:color w:val="auto"/>
          <w:sz w:val="24"/>
          <w:szCs w:val="24"/>
        </w:rPr>
        <w:t>PORTAL为医院的各类用户提供了数据、信息和应用功能访问的集成环境和统一入口。</w:t>
      </w:r>
    </w:p>
    <w:p w14:paraId="1C0BEEE4">
      <w:pPr>
        <w:pStyle w:val="10"/>
        <w:bidi w:val="0"/>
        <w:ind w:left="720" w:leftChars="0" w:hanging="720" w:firstLineChars="0"/>
        <w:rPr>
          <w:rFonts w:hint="eastAsia"/>
          <w:color w:val="auto"/>
        </w:rPr>
      </w:pPr>
      <w:bookmarkStart w:id="86" w:name="_Toc28698"/>
      <w:bookmarkStart w:id="87" w:name="_Toc14502"/>
      <w:r>
        <w:rPr>
          <w:rFonts w:hint="eastAsia"/>
          <w:color w:val="auto"/>
        </w:rPr>
        <w:t>软件技术</w:t>
      </w:r>
      <w:bookmarkEnd w:id="86"/>
      <w:bookmarkEnd w:id="87"/>
    </w:p>
    <w:p w14:paraId="2BFC49C1">
      <w:pPr>
        <w:ind w:firstLine="480"/>
        <w:rPr>
          <w:rFonts w:hint="eastAsia" w:cstheme="minorEastAsia"/>
          <w:color w:val="auto"/>
          <w:sz w:val="24"/>
          <w:szCs w:val="24"/>
        </w:rPr>
      </w:pPr>
      <w:r>
        <w:rPr>
          <w:rFonts w:hint="eastAsia" w:cstheme="minorEastAsia"/>
          <w:color w:val="auto"/>
          <w:sz w:val="24"/>
          <w:szCs w:val="24"/>
        </w:rPr>
        <w:t>技术匹配性：选择成熟的医疗系统开发框架和数据库管理系统，确保技术与项目的需求相匹配。</w:t>
      </w:r>
    </w:p>
    <w:p w14:paraId="6F2CDC79">
      <w:pPr>
        <w:ind w:firstLine="480"/>
        <w:rPr>
          <w:rFonts w:hint="eastAsia" w:cstheme="minorEastAsia"/>
          <w:b/>
          <w:bCs/>
          <w:color w:val="auto"/>
          <w:sz w:val="24"/>
          <w:szCs w:val="24"/>
        </w:rPr>
      </w:pPr>
      <w:r>
        <w:rPr>
          <w:rFonts w:hint="eastAsia" w:cstheme="minorEastAsia"/>
          <w:color w:val="auto"/>
          <w:sz w:val="24"/>
          <w:szCs w:val="24"/>
        </w:rPr>
        <w:t>可靠性：采用稳定可靠的软件技术，确保平台的稳定运行和数据安全。</w:t>
      </w:r>
    </w:p>
    <w:p w14:paraId="1B5C3C9C">
      <w:pPr>
        <w:ind w:firstLine="480"/>
        <w:rPr>
          <w:rFonts w:hint="eastAsia" w:cstheme="minorEastAsia"/>
          <w:color w:val="auto"/>
          <w:sz w:val="24"/>
          <w:szCs w:val="24"/>
        </w:rPr>
      </w:pPr>
      <w:r>
        <w:rPr>
          <w:rFonts w:hint="eastAsia" w:cstheme="minorEastAsia"/>
          <w:color w:val="auto"/>
          <w:sz w:val="24"/>
          <w:szCs w:val="24"/>
        </w:rPr>
        <w:t>自主知识产权情况：优先选择具有自主知识产权的软件技术，以保护项目的知识产权。</w:t>
      </w:r>
    </w:p>
    <w:p w14:paraId="3CFBB124">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heme="minorEastAsia"/>
          <w:color w:val="auto"/>
          <w:kern w:val="2"/>
          <w:sz w:val="24"/>
          <w:szCs w:val="24"/>
          <w:lang w:val="en-US" w:eastAsia="zh-CN" w:bidi="ar-SA"/>
        </w:rPr>
      </w:pPr>
      <w:r>
        <w:rPr>
          <w:rFonts w:hint="eastAsia" w:ascii="宋体" w:hAnsi="宋体" w:eastAsia="宋体" w:cstheme="minorEastAsia"/>
          <w:color w:val="auto"/>
          <w:kern w:val="2"/>
          <w:sz w:val="24"/>
          <w:szCs w:val="24"/>
          <w:lang w:val="en-US" w:eastAsia="zh-CN" w:bidi="ar-SA"/>
        </w:rPr>
        <w:t>数据迁移能力：</w:t>
      </w:r>
      <w:r>
        <w:rPr>
          <w:rFonts w:hint="eastAsia" w:cstheme="minorEastAsia"/>
          <w:color w:val="auto"/>
          <w:kern w:val="2"/>
          <w:sz w:val="24"/>
          <w:szCs w:val="24"/>
          <w:lang w:val="en-US" w:eastAsia="zh-CN" w:bidi="ar-SA"/>
        </w:rPr>
        <w:t>能够进行</w:t>
      </w:r>
      <w:r>
        <w:rPr>
          <w:rFonts w:hint="default" w:ascii="宋体" w:hAnsi="宋体" w:eastAsia="宋体" w:cstheme="minorEastAsia"/>
          <w:color w:val="auto"/>
          <w:kern w:val="2"/>
          <w:sz w:val="24"/>
          <w:szCs w:val="24"/>
          <w:lang w:val="en-US" w:eastAsia="zh-CN" w:bidi="ar-SA"/>
        </w:rPr>
        <w:t>历史数据迁移</w:t>
      </w:r>
      <w:r>
        <w:rPr>
          <w:rFonts w:hint="eastAsia" w:cstheme="minorEastAsia"/>
          <w:color w:val="auto"/>
          <w:kern w:val="2"/>
          <w:sz w:val="24"/>
          <w:szCs w:val="24"/>
          <w:lang w:val="en-US" w:eastAsia="zh-CN" w:bidi="ar-SA"/>
        </w:rPr>
        <w:t>，确保</w:t>
      </w:r>
      <w:r>
        <w:rPr>
          <w:rFonts w:hint="default" w:ascii="宋体" w:hAnsi="宋体" w:eastAsia="宋体" w:cstheme="minorEastAsia"/>
          <w:color w:val="auto"/>
          <w:kern w:val="2"/>
          <w:sz w:val="24"/>
          <w:szCs w:val="24"/>
          <w:lang w:val="en-US" w:eastAsia="zh-CN" w:bidi="ar-SA"/>
        </w:rPr>
        <w:t>系统的平稳过渡，保护历史数据资产</w:t>
      </w:r>
      <w:r>
        <w:rPr>
          <w:rFonts w:hint="eastAsia" w:cstheme="minorEastAsia"/>
          <w:color w:val="auto"/>
          <w:kern w:val="2"/>
          <w:sz w:val="24"/>
          <w:szCs w:val="24"/>
          <w:lang w:val="en-US" w:eastAsia="zh-CN" w:bidi="ar-SA"/>
        </w:rPr>
        <w:t>。</w:t>
      </w:r>
    </w:p>
    <w:p w14:paraId="56BC1EEC">
      <w:pPr>
        <w:ind w:firstLine="480"/>
        <w:rPr>
          <w:rFonts w:hint="eastAsia" w:cstheme="minorEastAsia"/>
          <w:color w:val="auto"/>
          <w:sz w:val="24"/>
          <w:szCs w:val="24"/>
          <w:lang w:val="en-US" w:eastAsia="zh-CN"/>
        </w:rPr>
      </w:pPr>
      <w:r>
        <w:rPr>
          <w:rFonts w:hint="eastAsia" w:cstheme="minorEastAsia"/>
          <w:color w:val="auto"/>
          <w:sz w:val="24"/>
          <w:szCs w:val="24"/>
          <w:lang w:val="en-US" w:eastAsia="zh-CN"/>
        </w:rPr>
        <w:t>抗安全能力：</w:t>
      </w:r>
      <w:r>
        <w:rPr>
          <w:rFonts w:hint="eastAsia" w:cstheme="minorEastAsia"/>
          <w:color w:val="auto"/>
          <w:kern w:val="2"/>
          <w:sz w:val="24"/>
          <w:szCs w:val="24"/>
          <w:lang w:val="en-US" w:eastAsia="zh-CN" w:bidi="ar-SA"/>
        </w:rPr>
        <w:t>软件供应商需</w:t>
      </w:r>
      <w:r>
        <w:rPr>
          <w:rFonts w:hint="eastAsia" w:cstheme="minorEastAsia"/>
          <w:color w:val="auto"/>
          <w:sz w:val="24"/>
          <w:szCs w:val="24"/>
          <w:lang w:val="en-US" w:eastAsia="zh-CN"/>
        </w:rPr>
        <w:t>具备一定抗风险能力，保障平台及相关系统数据安全。</w:t>
      </w:r>
    </w:p>
    <w:p w14:paraId="2380F9A4">
      <w:pPr>
        <w:rPr>
          <w:rFonts w:hint="default"/>
          <w:color w:val="auto"/>
          <w:lang w:val="en-US" w:eastAsia="zh-CN"/>
        </w:rPr>
      </w:pPr>
      <w:r>
        <w:rPr>
          <w:rFonts w:hint="eastAsia" w:cstheme="minorEastAsia"/>
          <w:color w:val="auto"/>
          <w:kern w:val="2"/>
          <w:sz w:val="24"/>
          <w:szCs w:val="24"/>
          <w:lang w:val="en-US" w:eastAsia="zh-CN" w:bidi="ar-SA"/>
        </w:rPr>
        <w:t>评级能力：软件供应商应具备高级别智慧医疗、互联互通、智慧服务、智慧管理评审要求的相应能力。</w:t>
      </w:r>
    </w:p>
    <w:p w14:paraId="3A0EDB58">
      <w:pPr>
        <w:pStyle w:val="10"/>
        <w:bidi w:val="0"/>
        <w:ind w:left="720" w:leftChars="0" w:hanging="720" w:firstLineChars="0"/>
        <w:rPr>
          <w:rFonts w:hint="eastAsia"/>
          <w:color w:val="auto"/>
        </w:rPr>
      </w:pPr>
      <w:bookmarkStart w:id="88" w:name="_Toc16585"/>
      <w:bookmarkStart w:id="89" w:name="_Toc9553"/>
      <w:r>
        <w:rPr>
          <w:rFonts w:hint="eastAsia"/>
          <w:color w:val="auto"/>
        </w:rPr>
        <w:t>安全技术</w:t>
      </w:r>
      <w:bookmarkEnd w:id="88"/>
      <w:bookmarkEnd w:id="89"/>
    </w:p>
    <w:p w14:paraId="3FF88E3F">
      <w:pPr>
        <w:ind w:firstLine="480"/>
        <w:rPr>
          <w:rFonts w:hint="default" w:cstheme="minorEastAsia"/>
          <w:color w:val="auto"/>
          <w:sz w:val="24"/>
          <w:szCs w:val="24"/>
          <w:lang w:val="en-US" w:eastAsia="zh-CN"/>
        </w:rPr>
      </w:pPr>
      <w:r>
        <w:rPr>
          <w:rFonts w:hint="eastAsia" w:cstheme="minorEastAsia"/>
          <w:color w:val="auto"/>
          <w:sz w:val="24"/>
          <w:szCs w:val="24"/>
          <w:lang w:val="en-US" w:eastAsia="zh-CN"/>
        </w:rPr>
        <w:t>一、系统安全技术</w:t>
      </w:r>
    </w:p>
    <w:p w14:paraId="5C59D38D">
      <w:pPr>
        <w:ind w:firstLine="480"/>
        <w:rPr>
          <w:rFonts w:hint="eastAsia" w:cstheme="minorEastAsia"/>
          <w:color w:val="auto"/>
          <w:sz w:val="24"/>
          <w:szCs w:val="24"/>
        </w:rPr>
      </w:pPr>
      <w:r>
        <w:rPr>
          <w:rFonts w:hint="eastAsia" w:cstheme="minorEastAsia"/>
          <w:color w:val="auto"/>
          <w:sz w:val="24"/>
          <w:szCs w:val="24"/>
        </w:rPr>
        <w:t>安全技术是保障平台安全的重要手段。我们需要采用多种安全技术，如身份认证、数据加密、防火墙等，确保平台的安全性。同时，需要定期进行安全漏洞扫描和修复，确保平台的安全性得到持续保障。</w:t>
      </w:r>
    </w:p>
    <w:p w14:paraId="02418F9D">
      <w:pPr>
        <w:ind w:firstLine="480"/>
        <w:rPr>
          <w:rFonts w:hint="eastAsia" w:cstheme="minorEastAsia"/>
          <w:color w:val="auto"/>
          <w:sz w:val="24"/>
          <w:szCs w:val="24"/>
        </w:rPr>
      </w:pPr>
      <w:r>
        <w:rPr>
          <w:rFonts w:hint="eastAsia" w:cstheme="minorEastAsia"/>
          <w:color w:val="auto"/>
          <w:sz w:val="24"/>
          <w:szCs w:val="24"/>
        </w:rPr>
        <w:t>系统应具备相当的可靠性，以便向各类用户提供 7*24 小时的不间断服务。具备完善的使用授权、监控和日志管理机制，能够提供相应数据备份、恢复功能，制定合理的备份策略提供保护机制。在系统漏洞安全方面，要求避免出现漏洞问题，能主动发现并修复漏洞，保障系统的安全稳定，同时在整个项目周期内有相应的安全技术支撑人员保障系统的安全。</w:t>
      </w:r>
    </w:p>
    <w:p w14:paraId="5D20FD5C">
      <w:pPr>
        <w:ind w:firstLine="480"/>
        <w:rPr>
          <w:rFonts w:hint="eastAsia" w:cstheme="minorEastAsia"/>
          <w:color w:val="auto"/>
          <w:sz w:val="24"/>
          <w:szCs w:val="24"/>
        </w:rPr>
      </w:pPr>
      <w:r>
        <w:rPr>
          <w:rFonts w:hint="eastAsia" w:cstheme="minorEastAsia"/>
          <w:color w:val="auto"/>
          <w:sz w:val="24"/>
          <w:szCs w:val="24"/>
        </w:rPr>
        <w:t>本项目</w:t>
      </w:r>
      <w:r>
        <w:rPr>
          <w:rFonts w:hint="eastAsia" w:cstheme="minorEastAsia"/>
          <w:color w:val="auto"/>
          <w:sz w:val="24"/>
          <w:szCs w:val="24"/>
          <w:lang w:val="en-US" w:eastAsia="zh-CN"/>
        </w:rPr>
        <w:t>数据中心配置</w:t>
      </w:r>
      <w:r>
        <w:rPr>
          <w:rFonts w:hint="eastAsia" w:cstheme="minorEastAsia"/>
          <w:color w:val="auto"/>
          <w:sz w:val="24"/>
          <w:szCs w:val="24"/>
        </w:rPr>
        <w:t xml:space="preserve">安全产品保障项目数据安全。 </w:t>
      </w:r>
    </w:p>
    <w:p w14:paraId="0536BB81">
      <w:pPr>
        <w:ind w:firstLine="480"/>
        <w:rPr>
          <w:rFonts w:hint="eastAsia" w:cstheme="minorEastAsia"/>
          <w:color w:val="auto"/>
          <w:sz w:val="24"/>
          <w:szCs w:val="24"/>
        </w:rPr>
      </w:pPr>
      <w:r>
        <w:rPr>
          <w:rFonts w:hint="eastAsia" w:cstheme="minorEastAsia"/>
          <w:color w:val="auto"/>
          <w:sz w:val="24"/>
          <w:szCs w:val="24"/>
        </w:rPr>
        <w:t>二、关键设备和软件推荐方案及自主知识产权情况</w:t>
      </w:r>
    </w:p>
    <w:p w14:paraId="65626B96">
      <w:pPr>
        <w:ind w:firstLine="480"/>
        <w:rPr>
          <w:rFonts w:hint="eastAsia" w:ascii="宋体" w:hAnsi="宋体" w:eastAsia="宋体" w:cstheme="minorEastAsia"/>
          <w:color w:val="auto"/>
          <w:sz w:val="24"/>
          <w:szCs w:val="24"/>
        </w:rPr>
      </w:pPr>
      <w:r>
        <w:rPr>
          <w:rFonts w:hint="eastAsia" w:cstheme="minorEastAsia"/>
          <w:color w:val="auto"/>
          <w:sz w:val="24"/>
          <w:szCs w:val="24"/>
        </w:rPr>
        <w:t>选择具有自主知识产权的设备，以保护项目的知识产权。同时，为了确保系统的稳定</w:t>
      </w:r>
      <w:r>
        <w:rPr>
          <w:rFonts w:hint="eastAsia" w:ascii="宋体" w:hAnsi="宋体" w:eastAsia="宋体" w:cstheme="minorEastAsia"/>
          <w:color w:val="auto"/>
          <w:sz w:val="24"/>
          <w:szCs w:val="24"/>
        </w:rPr>
        <w:t>性和安全性，采用成熟的政务系统开发框架和数据库管理系统，并加强安全技术的应用和管理。</w:t>
      </w:r>
    </w:p>
    <w:p w14:paraId="64FA738C">
      <w:pPr>
        <w:ind w:firstLine="480"/>
        <w:rPr>
          <w:rFonts w:hint="eastAsia" w:cstheme="minorEastAsia"/>
          <w:color w:val="auto"/>
          <w:sz w:val="24"/>
          <w:szCs w:val="24"/>
        </w:rPr>
      </w:pPr>
      <w:r>
        <w:rPr>
          <w:rFonts w:hint="eastAsia" w:cstheme="minorEastAsia"/>
          <w:color w:val="auto"/>
          <w:sz w:val="24"/>
          <w:szCs w:val="24"/>
        </w:rPr>
        <w:t>三、安全、可靠的产品设备选用方案</w:t>
      </w:r>
    </w:p>
    <w:p w14:paraId="77D788E0">
      <w:pPr>
        <w:ind w:firstLine="480"/>
        <w:rPr>
          <w:rFonts w:hint="eastAsia" w:cstheme="minorEastAsia"/>
          <w:color w:val="auto"/>
          <w:sz w:val="24"/>
          <w:szCs w:val="24"/>
        </w:rPr>
      </w:pPr>
      <w:r>
        <w:rPr>
          <w:rFonts w:hint="eastAsia" w:cstheme="minorEastAsia"/>
          <w:color w:val="auto"/>
          <w:sz w:val="24"/>
          <w:szCs w:val="24"/>
        </w:rPr>
        <w:t>在选用产品设备时，需要注重安全性和可靠性。建议选择经过严格测试和验证的产品设备，并加强设备的维护和保养工作。同时，需要制定完善的安全管理制度和技术防范措施，加强安全风险的监测和预警工作，确保系统的安全可靠运行。</w:t>
      </w:r>
    </w:p>
    <w:p w14:paraId="24EE4C9E">
      <w:pPr>
        <w:pStyle w:val="10"/>
        <w:bidi w:val="0"/>
        <w:ind w:left="720" w:leftChars="0" w:hanging="720" w:firstLineChars="0"/>
        <w:rPr>
          <w:rFonts w:hint="eastAsia"/>
          <w:color w:val="auto"/>
        </w:rPr>
      </w:pPr>
      <w:bookmarkStart w:id="90" w:name="_Toc32744"/>
      <w:r>
        <w:rPr>
          <w:rFonts w:hint="eastAsia"/>
          <w:color w:val="auto"/>
        </w:rPr>
        <w:t>总体技术架构设计</w:t>
      </w:r>
      <w:bookmarkEnd w:id="90"/>
    </w:p>
    <w:p w14:paraId="39BE8F95">
      <w:pPr>
        <w:ind w:firstLine="480"/>
        <w:rPr>
          <w:rFonts w:hint="eastAsia" w:cstheme="minorEastAsia"/>
          <w:b/>
          <w:bCs/>
          <w:color w:val="auto"/>
          <w:sz w:val="24"/>
          <w:szCs w:val="24"/>
        </w:rPr>
      </w:pPr>
      <w:r>
        <w:rPr>
          <w:rFonts w:hint="eastAsia" w:cstheme="minorEastAsia"/>
          <w:b/>
          <w:bCs/>
          <w:color w:val="auto"/>
          <w:sz w:val="24"/>
          <w:szCs w:val="24"/>
          <w:lang w:val="en-US" w:eastAsia="zh-CN"/>
        </w:rPr>
        <w:t>1、</w:t>
      </w:r>
      <w:r>
        <w:rPr>
          <w:rFonts w:hint="eastAsia" w:cstheme="minorEastAsia"/>
          <w:b/>
          <w:bCs/>
          <w:color w:val="auto"/>
          <w:sz w:val="24"/>
          <w:szCs w:val="24"/>
        </w:rPr>
        <w:t>技术栈</w:t>
      </w:r>
    </w:p>
    <w:p w14:paraId="3AC56788">
      <w:pPr>
        <w:ind w:firstLine="480"/>
        <w:rPr>
          <w:rFonts w:hint="eastAsia" w:cstheme="minorEastAsia"/>
          <w:color w:val="auto"/>
          <w:sz w:val="24"/>
          <w:szCs w:val="24"/>
        </w:rPr>
      </w:pPr>
      <w:r>
        <w:rPr>
          <w:rFonts w:hint="eastAsia" w:cstheme="minorEastAsia"/>
          <w:color w:val="auto"/>
          <w:sz w:val="24"/>
          <w:szCs w:val="24"/>
          <w:lang w:val="en-US" w:eastAsia="zh-CN"/>
        </w:rPr>
        <w:t>在系统交互方面，选择使用</w:t>
      </w:r>
      <w:r>
        <w:rPr>
          <w:rFonts w:hint="eastAsia" w:cstheme="minorEastAsia"/>
          <w:color w:val="auto"/>
          <w:sz w:val="24"/>
          <w:szCs w:val="24"/>
        </w:rPr>
        <w:t>SOA架构</w:t>
      </w:r>
      <w:r>
        <w:rPr>
          <w:rFonts w:hint="eastAsia" w:cstheme="minorEastAsia"/>
          <w:color w:val="auto"/>
          <w:sz w:val="24"/>
          <w:szCs w:val="24"/>
          <w:lang w:eastAsia="zh-CN"/>
        </w:rPr>
        <w:t>，</w:t>
      </w:r>
      <w:r>
        <w:rPr>
          <w:rFonts w:hint="eastAsia" w:cstheme="minorEastAsia"/>
          <w:color w:val="auto"/>
          <w:sz w:val="24"/>
          <w:szCs w:val="24"/>
          <w:lang w:val="en-US" w:eastAsia="zh-CN"/>
        </w:rPr>
        <w:t>为实现系统间“高内聚低耦合”，将中间逻辑层部分过程标准化，以服务的形式提供给不同的系统调用，</w:t>
      </w:r>
      <w:r>
        <w:rPr>
          <w:rFonts w:hint="eastAsia" w:cstheme="minorEastAsia"/>
          <w:color w:val="auto"/>
          <w:sz w:val="24"/>
          <w:szCs w:val="24"/>
        </w:rPr>
        <w:t>通过</w:t>
      </w:r>
      <w:r>
        <w:rPr>
          <w:rFonts w:hint="eastAsia" w:cstheme="minorEastAsia"/>
          <w:color w:val="auto"/>
          <w:sz w:val="24"/>
          <w:szCs w:val="24"/>
          <w:lang w:val="en-US" w:eastAsia="zh-CN"/>
        </w:rPr>
        <w:t>数据平台建设的</w:t>
      </w:r>
      <w:r>
        <w:rPr>
          <w:rFonts w:hint="eastAsia" w:cstheme="minorEastAsia"/>
          <w:color w:val="auto"/>
          <w:sz w:val="24"/>
          <w:szCs w:val="24"/>
        </w:rPr>
        <w:t>ESB（企业服务总线）实现系统间解耦，采用Web Service/RESTful API提供</w:t>
      </w:r>
      <w:r>
        <w:rPr>
          <w:rFonts w:hint="eastAsia" w:cstheme="minorEastAsia"/>
          <w:color w:val="auto"/>
          <w:sz w:val="24"/>
          <w:szCs w:val="24"/>
          <w:lang w:val="en-US" w:eastAsia="zh-CN"/>
        </w:rPr>
        <w:t>系统间</w:t>
      </w:r>
      <w:r>
        <w:rPr>
          <w:rFonts w:hint="eastAsia" w:cstheme="minorEastAsia"/>
          <w:color w:val="auto"/>
          <w:sz w:val="24"/>
          <w:szCs w:val="24"/>
        </w:rPr>
        <w:t>标准化服务接口</w:t>
      </w:r>
      <w:r>
        <w:rPr>
          <w:rFonts w:hint="eastAsia" w:cstheme="minorEastAsia"/>
          <w:color w:val="auto"/>
          <w:sz w:val="24"/>
          <w:szCs w:val="24"/>
          <w:lang w:eastAsia="zh-CN"/>
        </w:rPr>
        <w:t>，</w:t>
      </w:r>
      <w:r>
        <w:rPr>
          <w:rFonts w:hint="eastAsia" w:cstheme="minorEastAsia"/>
          <w:color w:val="auto"/>
          <w:sz w:val="24"/>
          <w:szCs w:val="24"/>
          <w:lang w:val="en-US" w:eastAsia="zh-CN"/>
        </w:rPr>
        <w:t>实现</w:t>
      </w:r>
      <w:r>
        <w:rPr>
          <w:rFonts w:hint="eastAsia" w:cstheme="minorEastAsia"/>
          <w:color w:val="auto"/>
          <w:sz w:val="24"/>
          <w:szCs w:val="24"/>
        </w:rPr>
        <w:t>互联互通交互服务。</w:t>
      </w:r>
    </w:p>
    <w:p w14:paraId="652DAB91">
      <w:pPr>
        <w:ind w:firstLine="480"/>
        <w:rPr>
          <w:rFonts w:hint="eastAsia" w:cstheme="minorEastAsia"/>
          <w:color w:val="auto"/>
          <w:sz w:val="24"/>
          <w:szCs w:val="24"/>
        </w:rPr>
      </w:pPr>
      <w:r>
        <w:rPr>
          <w:rFonts w:hint="eastAsia" w:cstheme="minorEastAsia"/>
          <w:color w:val="auto"/>
          <w:sz w:val="24"/>
          <w:szCs w:val="24"/>
          <w:lang w:val="en-US" w:eastAsia="zh-CN"/>
        </w:rPr>
        <w:t>在系统部署方面，采用</w:t>
      </w:r>
      <w:r>
        <w:rPr>
          <w:rFonts w:hint="eastAsia" w:cstheme="minorEastAsia"/>
          <w:color w:val="auto"/>
          <w:sz w:val="24"/>
          <w:szCs w:val="24"/>
        </w:rPr>
        <w:t>B/S架构：基于前后端分离框架，实现客户端零安装、跨平台访问（覆盖所有Web端系统）</w:t>
      </w:r>
      <w:r>
        <w:rPr>
          <w:rFonts w:hint="eastAsia" w:cstheme="minorEastAsia"/>
          <w:color w:val="auto"/>
          <w:sz w:val="24"/>
          <w:szCs w:val="24"/>
          <w:lang w:eastAsia="zh-CN"/>
        </w:rPr>
        <w:t>，</w:t>
      </w:r>
      <w:r>
        <w:rPr>
          <w:rFonts w:hint="eastAsia" w:cstheme="minorEastAsia"/>
          <w:color w:val="auto"/>
          <w:sz w:val="24"/>
          <w:szCs w:val="24"/>
          <w:lang w:val="en-US" w:eastAsia="zh-CN"/>
        </w:rPr>
        <w:t>解决医院现有C/S架构不便问题</w:t>
      </w:r>
      <w:r>
        <w:rPr>
          <w:rFonts w:hint="eastAsia" w:cstheme="minorEastAsia"/>
          <w:color w:val="auto"/>
          <w:sz w:val="24"/>
          <w:szCs w:val="24"/>
        </w:rPr>
        <w:t>。</w:t>
      </w:r>
    </w:p>
    <w:p w14:paraId="77DB2D6C">
      <w:pPr>
        <w:ind w:firstLine="480"/>
        <w:rPr>
          <w:rFonts w:hint="eastAsia" w:cstheme="minorEastAsia"/>
          <w:color w:val="auto"/>
          <w:sz w:val="24"/>
          <w:szCs w:val="24"/>
        </w:rPr>
      </w:pPr>
      <w:r>
        <w:rPr>
          <w:rFonts w:hint="eastAsia" w:cstheme="minorEastAsia"/>
          <w:color w:val="auto"/>
          <w:sz w:val="24"/>
          <w:szCs w:val="24"/>
          <w:lang w:val="en-US" w:eastAsia="zh-CN"/>
        </w:rPr>
        <w:t>在流程优化方面，基于</w:t>
      </w:r>
      <w:r>
        <w:rPr>
          <w:rFonts w:hint="eastAsia" w:cstheme="minorEastAsia"/>
          <w:color w:val="auto"/>
          <w:sz w:val="24"/>
          <w:szCs w:val="24"/>
        </w:rPr>
        <w:t>工作流引擎</w:t>
      </w:r>
      <w:r>
        <w:rPr>
          <w:rFonts w:hint="eastAsia" w:cstheme="minorEastAsia"/>
          <w:color w:val="auto"/>
          <w:sz w:val="24"/>
          <w:szCs w:val="24"/>
          <w:lang w:eastAsia="zh-CN"/>
        </w:rPr>
        <w:t>，</w:t>
      </w:r>
      <w:r>
        <w:rPr>
          <w:rFonts w:hint="eastAsia" w:cstheme="minorEastAsia"/>
          <w:color w:val="auto"/>
          <w:sz w:val="24"/>
          <w:szCs w:val="24"/>
        </w:rPr>
        <w:t>可视化配置业务流程（如：医疗流程闭环管理、输血管理、抗菌药物审批流程）。</w:t>
      </w:r>
    </w:p>
    <w:p w14:paraId="56B1A88C">
      <w:pPr>
        <w:ind w:firstLine="480"/>
        <w:rPr>
          <w:rFonts w:hint="eastAsia" w:cstheme="minorEastAsia"/>
          <w:b/>
          <w:bCs/>
          <w:color w:val="auto"/>
          <w:sz w:val="24"/>
          <w:szCs w:val="24"/>
        </w:rPr>
      </w:pPr>
      <w:r>
        <w:rPr>
          <w:rFonts w:hint="eastAsia" w:cstheme="minorEastAsia"/>
          <w:b/>
          <w:bCs/>
          <w:color w:val="auto"/>
          <w:sz w:val="24"/>
          <w:szCs w:val="24"/>
          <w:lang w:val="en-US" w:eastAsia="zh-CN"/>
        </w:rPr>
        <w:t>2、</w:t>
      </w:r>
      <w:r>
        <w:rPr>
          <w:rFonts w:hint="eastAsia" w:cstheme="minorEastAsia"/>
          <w:b/>
          <w:bCs/>
          <w:color w:val="auto"/>
          <w:sz w:val="24"/>
          <w:szCs w:val="24"/>
        </w:rPr>
        <w:t>数据交互</w:t>
      </w:r>
    </w:p>
    <w:p w14:paraId="28692763">
      <w:pPr>
        <w:ind w:firstLine="480"/>
        <w:rPr>
          <w:rFonts w:hint="eastAsia" w:cstheme="minorEastAsia"/>
          <w:color w:val="auto"/>
          <w:sz w:val="24"/>
          <w:szCs w:val="24"/>
        </w:rPr>
      </w:pPr>
      <w:r>
        <w:rPr>
          <w:rFonts w:hint="eastAsia" w:cstheme="minorEastAsia"/>
          <w:color w:val="auto"/>
          <w:sz w:val="24"/>
          <w:szCs w:val="24"/>
          <w:lang w:val="en-US" w:eastAsia="zh-CN"/>
        </w:rPr>
        <w:t>通过采用</w:t>
      </w:r>
      <w:r>
        <w:rPr>
          <w:rFonts w:hint="eastAsia" w:cstheme="minorEastAsia"/>
          <w:color w:val="auto"/>
          <w:sz w:val="24"/>
          <w:szCs w:val="24"/>
        </w:rPr>
        <w:t>HL7引擎</w:t>
      </w:r>
      <w:r>
        <w:rPr>
          <w:rFonts w:hint="eastAsia" w:cstheme="minorEastAsia"/>
          <w:color w:val="auto"/>
          <w:sz w:val="24"/>
          <w:szCs w:val="24"/>
          <w:lang w:eastAsia="zh-CN"/>
        </w:rPr>
        <w:t>，</w:t>
      </w:r>
      <w:r>
        <w:rPr>
          <w:rFonts w:hint="eastAsia" w:cstheme="minorEastAsia"/>
          <w:color w:val="auto"/>
          <w:sz w:val="24"/>
          <w:szCs w:val="24"/>
        </w:rPr>
        <w:t>实现异构系统数据转换（如：LIS、PACS与HIS的数据交换）</w:t>
      </w:r>
      <w:r>
        <w:rPr>
          <w:rFonts w:hint="eastAsia" w:cstheme="minorEastAsia"/>
          <w:color w:val="auto"/>
          <w:sz w:val="24"/>
          <w:szCs w:val="24"/>
          <w:lang w:eastAsia="zh-CN"/>
        </w:rPr>
        <w:t>；</w:t>
      </w:r>
      <w:r>
        <w:rPr>
          <w:rFonts w:hint="eastAsia" w:cstheme="minorEastAsia"/>
          <w:color w:val="auto"/>
          <w:sz w:val="24"/>
          <w:szCs w:val="24"/>
        </w:rPr>
        <w:t>采用XML Schema定义临床文档结构（如：共享文档管理、电子病历CDA标准）</w:t>
      </w:r>
      <w:r>
        <w:rPr>
          <w:rFonts w:hint="eastAsia" w:cstheme="minorEastAsia"/>
          <w:color w:val="auto"/>
          <w:sz w:val="24"/>
          <w:szCs w:val="24"/>
          <w:lang w:eastAsia="zh-CN"/>
        </w:rPr>
        <w:t>；</w:t>
      </w:r>
      <w:r>
        <w:rPr>
          <w:rFonts w:hint="eastAsia" w:cstheme="minorEastAsia"/>
          <w:color w:val="auto"/>
          <w:sz w:val="24"/>
          <w:szCs w:val="24"/>
        </w:rPr>
        <w:t>使用ETL工具实现多源数据清洗（</w:t>
      </w:r>
      <w:r>
        <w:rPr>
          <w:rFonts w:hint="eastAsia" w:cstheme="minorEastAsia"/>
          <w:color w:val="auto"/>
          <w:sz w:val="24"/>
          <w:szCs w:val="24"/>
          <w:lang w:val="en-US" w:eastAsia="zh-CN"/>
        </w:rPr>
        <w:t>如</w:t>
      </w:r>
      <w:r>
        <w:rPr>
          <w:rFonts w:hint="eastAsia" w:cstheme="minorEastAsia"/>
          <w:color w:val="auto"/>
          <w:sz w:val="24"/>
          <w:szCs w:val="24"/>
        </w:rPr>
        <w:t>：数据清洗采集、临床数据中心CDR）。</w:t>
      </w:r>
    </w:p>
    <w:p w14:paraId="6FFADDCC">
      <w:pPr>
        <w:ind w:firstLine="480"/>
        <w:rPr>
          <w:rFonts w:hint="eastAsia" w:cstheme="minorEastAsia"/>
          <w:b/>
          <w:bCs/>
          <w:color w:val="auto"/>
          <w:sz w:val="24"/>
          <w:szCs w:val="24"/>
        </w:rPr>
      </w:pPr>
      <w:r>
        <w:rPr>
          <w:rFonts w:hint="eastAsia" w:cstheme="minorEastAsia"/>
          <w:b/>
          <w:bCs/>
          <w:color w:val="auto"/>
          <w:sz w:val="24"/>
          <w:szCs w:val="24"/>
          <w:lang w:val="en-US" w:eastAsia="zh-CN"/>
        </w:rPr>
        <w:t>3、</w:t>
      </w:r>
      <w:r>
        <w:rPr>
          <w:rFonts w:hint="eastAsia" w:cstheme="minorEastAsia"/>
          <w:b/>
          <w:bCs/>
          <w:color w:val="auto"/>
          <w:sz w:val="24"/>
          <w:szCs w:val="24"/>
        </w:rPr>
        <w:t>门户集成</w:t>
      </w:r>
    </w:p>
    <w:p w14:paraId="0050ED9D">
      <w:pPr>
        <w:ind w:firstLine="480"/>
        <w:rPr>
          <w:rFonts w:hint="eastAsia" w:cstheme="minorEastAsia"/>
          <w:color w:val="auto"/>
          <w:sz w:val="24"/>
          <w:szCs w:val="24"/>
        </w:rPr>
      </w:pPr>
      <w:r>
        <w:rPr>
          <w:rFonts w:hint="eastAsia"/>
          <w:color w:val="auto"/>
          <w:sz w:val="24"/>
          <w:szCs w:val="24"/>
          <w:lang w:val="en-US" w:eastAsia="zh-CN"/>
        </w:rPr>
        <w:t>采用</w:t>
      </w:r>
      <w:r>
        <w:rPr>
          <w:rFonts w:hint="eastAsia"/>
          <w:color w:val="auto"/>
          <w:sz w:val="24"/>
          <w:szCs w:val="24"/>
        </w:rPr>
        <w:t>PORTAL</w:t>
      </w:r>
      <w:r>
        <w:rPr>
          <w:rFonts w:hint="eastAsia"/>
          <w:color w:val="auto"/>
          <w:sz w:val="24"/>
          <w:szCs w:val="24"/>
          <w:lang w:val="en-US" w:eastAsia="zh-CN"/>
        </w:rPr>
        <w:t>技术，</w:t>
      </w:r>
      <w:r>
        <w:rPr>
          <w:rFonts w:hint="eastAsia"/>
          <w:color w:val="auto"/>
          <w:sz w:val="24"/>
          <w:szCs w:val="24"/>
        </w:rPr>
        <w:t>为医院的各类用户提供数据、信息和应用功能访问的集成环境和统一入口，</w:t>
      </w:r>
      <w:r>
        <w:rPr>
          <w:rFonts w:hint="eastAsia" w:cstheme="minorEastAsia"/>
          <w:color w:val="auto"/>
          <w:sz w:val="24"/>
          <w:szCs w:val="24"/>
        </w:rPr>
        <w:t>构建统一门户，支持SSO单点登录和个性化工作台</w:t>
      </w:r>
      <w:r>
        <w:rPr>
          <w:rFonts w:hint="eastAsia" w:cstheme="minorEastAsia"/>
          <w:color w:val="auto"/>
          <w:sz w:val="24"/>
          <w:szCs w:val="24"/>
          <w:lang w:eastAsia="zh-CN"/>
        </w:rPr>
        <w:t>，</w:t>
      </w:r>
      <w:r>
        <w:rPr>
          <w:rFonts w:hint="eastAsia" w:cstheme="minorEastAsia"/>
          <w:color w:val="auto"/>
          <w:sz w:val="24"/>
          <w:szCs w:val="24"/>
          <w:lang w:val="en-US" w:eastAsia="zh-CN"/>
        </w:rPr>
        <w:t>即基础系统中构建的</w:t>
      </w:r>
      <w:r>
        <w:rPr>
          <w:rFonts w:hint="eastAsia" w:cstheme="minorEastAsia"/>
          <w:color w:val="auto"/>
          <w:sz w:val="24"/>
          <w:szCs w:val="24"/>
        </w:rPr>
        <w:t>统一门户及单点登录、统一身份认证。</w:t>
      </w:r>
    </w:p>
    <w:p w14:paraId="5486723F">
      <w:pPr>
        <w:pStyle w:val="10"/>
        <w:bidi w:val="0"/>
        <w:ind w:left="720" w:leftChars="0" w:hanging="720" w:firstLineChars="0"/>
        <w:rPr>
          <w:rFonts w:hint="eastAsia"/>
          <w:color w:val="auto"/>
        </w:rPr>
      </w:pPr>
      <w:bookmarkStart w:id="91" w:name="_Toc32267"/>
      <w:r>
        <w:rPr>
          <w:rFonts w:hint="eastAsia"/>
          <w:color w:val="auto"/>
        </w:rPr>
        <w:t>关键系统技术实现</w:t>
      </w:r>
      <w:bookmarkEnd w:id="91"/>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2634"/>
        <w:gridCol w:w="4371"/>
      </w:tblGrid>
      <w:tr w14:paraId="3C97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shd w:val="clear" w:color="auto" w:fill="D7D7D7" w:themeFill="background1" w:themeFillShade="D8"/>
          </w:tcPr>
          <w:p w14:paraId="24B3D59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系统分类</w:t>
            </w:r>
          </w:p>
        </w:tc>
        <w:tc>
          <w:tcPr>
            <w:tcW w:w="1545" w:type="pct"/>
            <w:shd w:val="clear" w:color="auto" w:fill="D7D7D7" w:themeFill="background1" w:themeFillShade="D8"/>
          </w:tcPr>
          <w:p w14:paraId="75988F0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代表性系统</w:t>
            </w:r>
          </w:p>
        </w:tc>
        <w:tc>
          <w:tcPr>
            <w:tcW w:w="2563" w:type="pct"/>
            <w:shd w:val="clear" w:color="auto" w:fill="D7D7D7" w:themeFill="background1" w:themeFillShade="D8"/>
          </w:tcPr>
          <w:p w14:paraId="28365E2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技术方案</w:t>
            </w:r>
          </w:p>
        </w:tc>
      </w:tr>
      <w:tr w14:paraId="5982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7FBDCBB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数据平台</w:t>
            </w:r>
          </w:p>
        </w:tc>
        <w:tc>
          <w:tcPr>
            <w:tcW w:w="1545" w:type="pct"/>
          </w:tcPr>
          <w:p w14:paraId="3390CB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主数据管理</w:t>
            </w:r>
          </w:p>
        </w:tc>
        <w:tc>
          <w:tcPr>
            <w:tcW w:w="2563" w:type="pct"/>
          </w:tcPr>
          <w:p w14:paraId="061CC9C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MDM</w:t>
            </w:r>
            <w:r>
              <w:rPr>
                <w:rFonts w:hint="eastAsia" w:ascii="宋体" w:hAnsi="宋体" w:eastAsia="宋体" w:cs="宋体"/>
                <w:color w:val="auto"/>
                <w:sz w:val="21"/>
                <w:szCs w:val="21"/>
              </w:rPr>
              <w:tab/>
            </w:r>
            <w:r>
              <w:rPr>
                <w:rFonts w:hint="eastAsia" w:ascii="宋体" w:hAnsi="宋体" w:eastAsia="宋体" w:cs="宋体"/>
                <w:color w:val="auto"/>
                <w:sz w:val="21"/>
                <w:szCs w:val="21"/>
              </w:rPr>
              <w:t>采用Apache Atlas构建元数据中心，通过SQL Server/Oracle实现主数据持久化</w:t>
            </w:r>
          </w:p>
        </w:tc>
      </w:tr>
      <w:tr w14:paraId="5A87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416ADAD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基础系统</w:t>
            </w:r>
          </w:p>
        </w:tc>
        <w:tc>
          <w:tcPr>
            <w:tcW w:w="1545" w:type="pct"/>
          </w:tcPr>
          <w:p w14:paraId="0267871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统一</w:t>
            </w:r>
            <w:r>
              <w:rPr>
                <w:rFonts w:hint="eastAsia" w:ascii="宋体" w:hAnsi="宋体" w:eastAsia="宋体" w:cs="宋体"/>
                <w:color w:val="auto"/>
                <w:sz w:val="21"/>
                <w:szCs w:val="21"/>
                <w:vertAlign w:val="baseline"/>
                <w:lang w:val="en-US" w:eastAsia="zh-CN"/>
              </w:rPr>
              <w:t>门户/</w:t>
            </w:r>
            <w:r>
              <w:rPr>
                <w:rFonts w:hint="eastAsia" w:ascii="宋体" w:hAnsi="宋体" w:eastAsia="宋体" w:cs="宋体"/>
                <w:color w:val="auto"/>
                <w:sz w:val="21"/>
                <w:szCs w:val="21"/>
                <w:vertAlign w:val="baseline"/>
              </w:rPr>
              <w:t>身份认证</w:t>
            </w:r>
          </w:p>
        </w:tc>
        <w:tc>
          <w:tcPr>
            <w:tcW w:w="2563" w:type="pct"/>
          </w:tcPr>
          <w:p w14:paraId="4FEDB27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rPr>
              <w:t>PORTAL技术构建统一门户</w:t>
            </w:r>
            <w:r>
              <w:rPr>
                <w:rFonts w:hint="eastAsia" w:ascii="宋体" w:hAnsi="宋体" w:eastAsia="宋体" w:cs="宋体"/>
                <w:color w:val="auto"/>
                <w:sz w:val="21"/>
                <w:szCs w:val="21"/>
                <w:vertAlign w:val="baseline"/>
                <w:lang w:eastAsia="zh-CN"/>
              </w:rPr>
              <w:t>，国密SM9算法实现无证书</w:t>
            </w:r>
            <w:r>
              <w:rPr>
                <w:rFonts w:hint="eastAsia" w:ascii="宋体" w:hAnsi="宋体" w:eastAsia="宋体" w:cs="宋体"/>
                <w:color w:val="auto"/>
                <w:sz w:val="21"/>
                <w:szCs w:val="21"/>
                <w:vertAlign w:val="baseline"/>
                <w:lang w:val="en-US" w:eastAsia="zh-CN"/>
              </w:rPr>
              <w:t>身份</w:t>
            </w:r>
            <w:r>
              <w:rPr>
                <w:rFonts w:hint="eastAsia" w:ascii="宋体" w:hAnsi="宋体" w:eastAsia="宋体" w:cs="宋体"/>
                <w:color w:val="auto"/>
                <w:sz w:val="21"/>
                <w:szCs w:val="21"/>
                <w:vertAlign w:val="baseline"/>
                <w:lang w:eastAsia="zh-CN"/>
              </w:rPr>
              <w:t>认证</w:t>
            </w:r>
          </w:p>
        </w:tc>
      </w:tr>
      <w:tr w14:paraId="3324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6B5C869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便民服务</w:t>
            </w:r>
          </w:p>
        </w:tc>
        <w:tc>
          <w:tcPr>
            <w:tcW w:w="1545" w:type="pct"/>
          </w:tcPr>
          <w:p w14:paraId="79D21F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统一支付对账平台</w:t>
            </w:r>
          </w:p>
        </w:tc>
        <w:tc>
          <w:tcPr>
            <w:tcW w:w="2563" w:type="pct"/>
          </w:tcPr>
          <w:p w14:paraId="7B629778">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集成支付宝/微信SDK，使用RocketMQ保障交易事务一致性，Redis缓存对账流水</w:t>
            </w:r>
          </w:p>
        </w:tc>
      </w:tr>
      <w:tr w14:paraId="2AD3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7C46F5C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急诊急救</w:t>
            </w:r>
          </w:p>
        </w:tc>
        <w:tc>
          <w:tcPr>
            <w:tcW w:w="1545" w:type="pct"/>
          </w:tcPr>
          <w:p w14:paraId="32E67AB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胸痛/卒中中心</w:t>
            </w:r>
          </w:p>
        </w:tc>
        <w:tc>
          <w:tcPr>
            <w:tcW w:w="2563" w:type="pct"/>
          </w:tcPr>
          <w:p w14:paraId="65BA911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工作流引擎（Camunda）控制“门球时间”流程</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WebSocket实时推送DICOM影像至手持终端</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Redis缓存时间节点数据</w:t>
            </w:r>
          </w:p>
        </w:tc>
      </w:tr>
      <w:tr w14:paraId="6EC1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3A06741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集成HIS</w:t>
            </w:r>
          </w:p>
        </w:tc>
        <w:tc>
          <w:tcPr>
            <w:tcW w:w="1545" w:type="pct"/>
          </w:tcPr>
          <w:p w14:paraId="2F62A13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住院电子病历系统</w:t>
            </w:r>
          </w:p>
        </w:tc>
        <w:tc>
          <w:tcPr>
            <w:tcW w:w="2563" w:type="pct"/>
          </w:tcPr>
          <w:p w14:paraId="25CDF6D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基于FHIR标准建模，CKEditor富文本编辑器+自然语言处理（NLP）辅助结构化录入</w:t>
            </w:r>
          </w:p>
        </w:tc>
      </w:tr>
      <w:tr w14:paraId="63C8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4E43C9B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医技管理</w:t>
            </w:r>
          </w:p>
        </w:tc>
        <w:tc>
          <w:tcPr>
            <w:tcW w:w="1545" w:type="pct"/>
          </w:tcPr>
          <w:p w14:paraId="7AC1EBD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医学影像系统(PACS)</w:t>
            </w:r>
          </w:p>
        </w:tc>
        <w:tc>
          <w:tcPr>
            <w:tcW w:w="2563" w:type="pct"/>
          </w:tcPr>
          <w:p w14:paraId="76884C6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DICOM协议传输影像，WebGL实现三维重建，MinIO分布式存储保障高并发访问</w:t>
            </w:r>
          </w:p>
        </w:tc>
      </w:tr>
      <w:tr w14:paraId="0883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686FD74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医疗管理</w:t>
            </w:r>
          </w:p>
        </w:tc>
        <w:tc>
          <w:tcPr>
            <w:tcW w:w="1545" w:type="pct"/>
          </w:tcPr>
          <w:p w14:paraId="6BFB6E2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电子病历</w:t>
            </w:r>
            <w:r>
              <w:rPr>
                <w:rFonts w:hint="eastAsia" w:ascii="宋体" w:hAnsi="宋体" w:eastAsia="宋体" w:cs="宋体"/>
                <w:color w:val="auto"/>
                <w:sz w:val="21"/>
                <w:szCs w:val="21"/>
                <w:lang w:val="en-US" w:eastAsia="zh-CN"/>
              </w:rPr>
              <w:t>质量管理</w:t>
            </w:r>
            <w:r>
              <w:rPr>
                <w:rFonts w:hint="eastAsia" w:ascii="宋体" w:hAnsi="宋体" w:eastAsia="宋体" w:cs="宋体"/>
                <w:color w:val="auto"/>
                <w:sz w:val="21"/>
                <w:szCs w:val="21"/>
              </w:rPr>
              <w:t>系统</w:t>
            </w:r>
          </w:p>
        </w:tc>
        <w:tc>
          <w:tcPr>
            <w:tcW w:w="2563" w:type="pct"/>
          </w:tcPr>
          <w:p w14:paraId="2FB347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BERT模型检测病历完整性</w:t>
            </w:r>
          </w:p>
          <w:p w14:paraId="13C4305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规则引擎动态加载质控规则</w:t>
            </w:r>
          </w:p>
        </w:tc>
      </w:tr>
      <w:tr w14:paraId="15EF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6129F8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护理管理</w:t>
            </w:r>
          </w:p>
        </w:tc>
        <w:tc>
          <w:tcPr>
            <w:tcW w:w="1545" w:type="pct"/>
          </w:tcPr>
          <w:p w14:paraId="2F75313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护理</w:t>
            </w:r>
            <w:r>
              <w:rPr>
                <w:rFonts w:hint="eastAsia" w:cs="宋体"/>
                <w:color w:val="auto"/>
                <w:sz w:val="21"/>
                <w:szCs w:val="21"/>
                <w:lang w:val="en-US" w:eastAsia="zh-CN"/>
              </w:rPr>
              <w:t>质量</w:t>
            </w:r>
            <w:r>
              <w:rPr>
                <w:rFonts w:hint="eastAsia" w:ascii="宋体" w:hAnsi="宋体" w:eastAsia="宋体" w:cs="宋体"/>
                <w:color w:val="auto"/>
                <w:sz w:val="21"/>
                <w:szCs w:val="21"/>
                <w:lang w:val="en-US" w:eastAsia="zh-CN"/>
              </w:rPr>
              <w:t>管理系统</w:t>
            </w:r>
          </w:p>
        </w:tc>
        <w:tc>
          <w:tcPr>
            <w:tcW w:w="2563" w:type="pct"/>
          </w:tcPr>
          <w:p w14:paraId="6FA8B09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低代码质控表单引擎</w:t>
            </w:r>
            <w:r>
              <w:rPr>
                <w:rFonts w:hint="eastAsia" w:cs="宋体"/>
                <w:color w:val="auto"/>
                <w:sz w:val="21"/>
                <w:szCs w:val="21"/>
                <w:vertAlign w:val="baseline"/>
                <w:lang w:val="en-US" w:eastAsia="zh-CN"/>
              </w:rPr>
              <w:t>配置表单</w:t>
            </w:r>
          </w:p>
          <w:p w14:paraId="32C5E8C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Flink流处理手卫生依从率等11项核心指标</w:t>
            </w:r>
          </w:p>
        </w:tc>
      </w:tr>
      <w:tr w14:paraId="329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4331D1C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药事管理</w:t>
            </w:r>
          </w:p>
        </w:tc>
        <w:tc>
          <w:tcPr>
            <w:tcW w:w="1545" w:type="pct"/>
          </w:tcPr>
          <w:p w14:paraId="2F8082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合理用药监测系统</w:t>
            </w:r>
          </w:p>
        </w:tc>
        <w:tc>
          <w:tcPr>
            <w:tcW w:w="2563" w:type="pct"/>
          </w:tcPr>
          <w:p w14:paraId="6F9A4AE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集成DrugBank知识库，规则引擎实时拦截超剂量/禁忌配伍医嘱。</w:t>
            </w:r>
          </w:p>
        </w:tc>
      </w:tr>
      <w:tr w14:paraId="5575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591B36F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结算系统</w:t>
            </w:r>
          </w:p>
        </w:tc>
        <w:tc>
          <w:tcPr>
            <w:tcW w:w="1545" w:type="pct"/>
          </w:tcPr>
          <w:p w14:paraId="3194CD1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医保结算管理系统</w:t>
            </w:r>
          </w:p>
        </w:tc>
        <w:tc>
          <w:tcPr>
            <w:tcW w:w="2563" w:type="pct"/>
          </w:tcPr>
          <w:p w14:paraId="479C44B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NLP模糊匹配医保目录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DRG预分组计算</w:t>
            </w:r>
          </w:p>
        </w:tc>
      </w:tr>
      <w:tr w14:paraId="2773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1048388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运营管理</w:t>
            </w:r>
          </w:p>
        </w:tc>
        <w:tc>
          <w:tcPr>
            <w:tcW w:w="1545" w:type="pct"/>
          </w:tcPr>
          <w:p w14:paraId="081A866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全成本核算系统</w:t>
            </w:r>
          </w:p>
        </w:tc>
        <w:tc>
          <w:tcPr>
            <w:tcW w:w="2563" w:type="pct"/>
          </w:tcPr>
          <w:p w14:paraId="228F778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Hadoop构建数据湖，Spark计算分摊模型，Tableau可视化成本分析报表。</w:t>
            </w:r>
          </w:p>
        </w:tc>
      </w:tr>
      <w:tr w14:paraId="7785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14:paraId="3B889D3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其他</w:t>
            </w:r>
          </w:p>
        </w:tc>
        <w:tc>
          <w:tcPr>
            <w:tcW w:w="1545" w:type="pct"/>
          </w:tcPr>
          <w:p w14:paraId="540D046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三级医院评审指标系统</w:t>
            </w:r>
          </w:p>
        </w:tc>
        <w:tc>
          <w:tcPr>
            <w:tcW w:w="2563" w:type="pct"/>
          </w:tcPr>
          <w:p w14:paraId="29A0ABF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知识图谱自动映射条款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智能差距分析</w:t>
            </w:r>
          </w:p>
        </w:tc>
      </w:tr>
    </w:tbl>
    <w:p w14:paraId="2FD3B814">
      <w:pPr>
        <w:pStyle w:val="6"/>
        <w:bidi w:val="0"/>
        <w:ind w:left="575" w:leftChars="0" w:hanging="575" w:firstLineChars="0"/>
        <w:rPr>
          <w:rFonts w:hint="eastAsia"/>
          <w:color w:val="auto"/>
          <w:lang w:val="en-US" w:eastAsia="zh-CN"/>
        </w:rPr>
      </w:pPr>
      <w:bookmarkStart w:id="92" w:name="_Toc19165"/>
      <w:r>
        <w:rPr>
          <w:rFonts w:hint="eastAsia"/>
          <w:color w:val="auto"/>
          <w:lang w:val="en-US" w:eastAsia="zh-CN"/>
        </w:rPr>
        <w:t>数字化方案</w:t>
      </w:r>
      <w:bookmarkEnd w:id="92"/>
    </w:p>
    <w:p w14:paraId="4CC69D80">
      <w:pPr>
        <w:pStyle w:val="10"/>
        <w:bidi w:val="0"/>
        <w:ind w:left="720" w:leftChars="0" w:hanging="720" w:firstLineChars="0"/>
        <w:rPr>
          <w:rFonts w:hint="default"/>
          <w:color w:val="auto"/>
          <w:lang w:val="en-US" w:eastAsia="zh-CN"/>
        </w:rPr>
      </w:pPr>
      <w:bookmarkStart w:id="93" w:name="_Toc31722"/>
      <w:r>
        <w:rPr>
          <w:rFonts w:hint="eastAsia"/>
          <w:color w:val="auto"/>
          <w:lang w:val="en-US" w:eastAsia="zh-CN"/>
        </w:rPr>
        <w:t>应用系统</w:t>
      </w:r>
      <w:bookmarkEnd w:id="93"/>
    </w:p>
    <w:p w14:paraId="14DF75E8">
      <w:pPr>
        <w:pStyle w:val="12"/>
        <w:bidi w:val="0"/>
        <w:ind w:left="864" w:leftChars="0" w:hanging="864" w:firstLineChars="0"/>
        <w:rPr>
          <w:rFonts w:hint="eastAsia"/>
          <w:color w:val="auto"/>
          <w:lang w:val="en-US" w:eastAsia="zh-CN"/>
        </w:rPr>
      </w:pPr>
      <w:r>
        <w:rPr>
          <w:rFonts w:hint="eastAsia"/>
          <w:color w:val="auto"/>
          <w:lang w:val="en-US" w:eastAsia="zh-CN"/>
        </w:rPr>
        <w:t>人民医院院内系统</w:t>
      </w:r>
    </w:p>
    <w:p w14:paraId="6F2E9F2D">
      <w:pPr>
        <w:pStyle w:val="21"/>
        <w:jc w:val="center"/>
        <w:rPr>
          <w:rFonts w:hint="eastAsia"/>
          <w:color w:val="auto"/>
          <w:highlight w:val="none"/>
        </w:rPr>
      </w:pPr>
      <w:r>
        <w:rPr>
          <w:color w:val="auto"/>
          <w:highlight w:val="none"/>
        </w:rPr>
        <w:t xml:space="preserve">表 </w:t>
      </w:r>
      <w:r>
        <w:rPr>
          <w:rFonts w:hint="eastAsia"/>
          <w:color w:val="auto"/>
          <w:highlight w:val="none"/>
          <w:lang w:val="en-US" w:eastAsia="zh-CN"/>
        </w:rPr>
        <w:t>5</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人民医院信息化建设</w:t>
      </w:r>
      <w:r>
        <w:rPr>
          <w:rFonts w:hint="eastAsia"/>
          <w:color w:val="auto"/>
          <w:highlight w:val="none"/>
          <w:lang w:val="en-US" w:eastAsia="zh-CN"/>
        </w:rPr>
        <w:t>系统</w:t>
      </w:r>
      <w:r>
        <w:rPr>
          <w:rFonts w:hint="eastAsia"/>
          <w:color w:val="auto"/>
          <w:highlight w:val="none"/>
        </w:rPr>
        <w:t>清单</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4"/>
        <w:gridCol w:w="1602"/>
        <w:gridCol w:w="3930"/>
        <w:gridCol w:w="1743"/>
      </w:tblGrid>
      <w:tr w14:paraId="53563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3902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94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23BF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分类</w:t>
            </w:r>
          </w:p>
        </w:tc>
        <w:tc>
          <w:tcPr>
            <w:tcW w:w="23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94952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系统</w:t>
            </w:r>
          </w:p>
        </w:tc>
        <w:tc>
          <w:tcPr>
            <w:tcW w:w="1022"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2CAF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建设情况</w:t>
            </w:r>
          </w:p>
        </w:tc>
      </w:tr>
      <w:tr w14:paraId="04A4E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6E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F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数据平台</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2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集成引擎</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86C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88CA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D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FC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D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主数据管理MDM</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2B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1738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1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187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2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患者主索引EMPI</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771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86C4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4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5D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8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消息中心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5B7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47A6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F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01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0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平台监控</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E8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E89E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3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7F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4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临床数据中心（CDR）</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6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BE2C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6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62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2F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运营数据中心（ODR）</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B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EA50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4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63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B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数据清洗采集ETL</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AC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2415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4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BC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B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数据质量管理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0E0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445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61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C99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C1E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医疗流程闭环管理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FE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D70A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4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936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50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互联互通交互服务</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29A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55BD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F8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D6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09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数据集管理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AE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14F1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D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23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C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共享文档管理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57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84A6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E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8C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F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患者全息视图</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5E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D76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E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E6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7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数据挖掘分析BI</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DA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5E93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C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3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基础系统</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B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统计信息系统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24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4364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A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7BF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40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医院信息综合查询</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E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48F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F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D4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B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字典参数配置</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56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F165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9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85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CD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系统菜单管理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7F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BB9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1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E3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05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物价管理系统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2D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464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C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D8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C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统一门户及单点登陆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DB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BC3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97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9C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9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统一身份认证</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744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0187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1F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9E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26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操作权限管理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A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44DA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8F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8C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57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软件发布系统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DA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D4B1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EF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708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D28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操作日志审计</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6C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B31B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61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3DD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B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患者基本信息管理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0F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3036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0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13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8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电子健康卡功能</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30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0267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9B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B6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D8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电子发票功能</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A5A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FA1F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7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62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C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电子签名系统CA</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EB7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19AC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2A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C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便民服务</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B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统一支付对账平台</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9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E0E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D7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23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8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患者实名认证</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45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9B4F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BD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91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4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患者信用管理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86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E1B9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3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3B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8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互联网服务系统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782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E328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0A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2D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E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智能导诊系统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08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34B1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F0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9A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F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门诊挂号系统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26B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A927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F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10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1C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全面预约服务系统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4D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EEE0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C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62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62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排队叫号系统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37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F9E5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2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75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FB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诊间支付系统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0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9C31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9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58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7E2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满意度评价系统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B5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3DA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D4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0E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61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信息公开系统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FC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28EB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B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0D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C6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信息推送系统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9C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3E91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9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1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急诊急救</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8B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急诊分诊管理系统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6C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FDC8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5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2D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7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胸痛中心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345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6B20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3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0E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67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卒中中心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22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4DED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30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94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8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创伤中心</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ADE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6B27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F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CB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E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门诊留观系统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BB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06B8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74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7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基础HIS</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1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门诊医师系统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18D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0305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4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78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D2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门急诊一体化电子病历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06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C9EB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C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14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4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急诊输液管理系统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25C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000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1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D5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A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住院医师系统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D2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5A228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1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E4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0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住院电子病历系统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C0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8594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5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3D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7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临床路径系统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9B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735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93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E6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7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住院护理记录</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86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2BC82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0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D9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F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护理医嘱执行</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9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5559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2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A1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4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护理白板系统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BB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464B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7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F0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3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护理医嘱提醒</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3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649E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73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39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C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移动查房系统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72F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026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8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E8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6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移动护理系统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846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1FB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F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3C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D0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日间病房管理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CF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C28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09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21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CA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手术信息系统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D02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73C5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83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3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麻醉信息系统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1E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C5BA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8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D4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C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重症监护系统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25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7556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3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B9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F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输血管理系统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2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0C0B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2C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10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1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通用治疗管理系统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11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3DC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3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E9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0A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透析信息管理系统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04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E435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B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AE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8B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健康体检信息系统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CF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6928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48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B3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5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临床决策支持系统CDSS（检验、检查规则库）</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26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3971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A4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A1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5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VTE管理系统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24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6186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2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84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A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随访管理系统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E8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E30F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0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2B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6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医院门户系统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0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1A59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2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005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医技管理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6D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临床检验系统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DC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8AEC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B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A0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8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医学影像系统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2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761B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25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8A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6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超声图文报告系统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8F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8AE6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5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6A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A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镜检图文报告系统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10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7636E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216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6D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E3A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电生理信息系统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59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9F1C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A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62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A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病理信息系统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89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E77A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6F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285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3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消毒供应系统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87B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2B34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3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F4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医疗管理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B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医务科管理系统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B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81FE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9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9C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7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电子病历质量管系统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E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6DA7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0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2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1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医嘱闭环管理系统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F3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0F26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8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9B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4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单病种管理系统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448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CC5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2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D6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E99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不良事件上报系统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17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0CBE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B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E0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0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手术分级管理系统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E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28D64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50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30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1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危急值管理系统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AB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15F0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F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2F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A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病历首页质控</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01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66DE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F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31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7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病案管理系统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C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E48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63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C2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D7C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院感管理系统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9A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8ED5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C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09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E07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传染病上报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2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4508E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C1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7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19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食源性疾病信息上报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43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BFBA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5E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A2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E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重大非传染疾病及死亡上报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3B8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5C6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4C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FA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D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预防接种信息上报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8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B2E5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2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6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46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国家传染病预警系统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9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1F113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F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2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2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护理部管理系统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BA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EC96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6C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30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E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护理质量管理系统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BE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15414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8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C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药事管理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3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药库管理系统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1A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1736D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F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E2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6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药房管理系统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6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34E6B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E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30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F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合理用药监测系统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9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7013D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F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92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A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处方点评系统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71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8051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18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2D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7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实时审方系统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D3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ADD8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1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73B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2D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抗菌药物管理系统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21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46E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1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09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top"/>
          </w:tcPr>
          <w:p w14:paraId="2C1AA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静脉药物配置管理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EA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6B33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6F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E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结算系统</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C34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门诊收费结算系统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A59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09D9B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4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7C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ED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住院出入转结算系统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4E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C1FE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1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7A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5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住院收费结算系统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2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4EAD3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B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D8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92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结算往来管理系统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1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64A64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1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98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74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医保结算管理系统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61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r w14:paraId="56B3F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3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6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运营管理</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E5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基础平台</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4E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37EB7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4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DA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C4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会计核算</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53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7E96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DA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0B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9D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报销管理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97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6C1D3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6D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29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49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智能记账</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7E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2095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D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6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4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全面预算</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2B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7848F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BE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EA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00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全成本核算</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8B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4DF13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4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0F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95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资产设备管理</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005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利旧</w:t>
            </w:r>
          </w:p>
        </w:tc>
      </w:tr>
      <w:tr w14:paraId="7E17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D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4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其他</w:t>
            </w: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6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三级医院绩效考核上报</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0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04EE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FF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A4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1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三级医院评审指标系统</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BD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71C09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35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F66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7D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电子病历评级指导</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EB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39397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7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DF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7E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协同办公系统OA</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D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新增</w:t>
            </w:r>
          </w:p>
        </w:tc>
      </w:tr>
      <w:tr w14:paraId="5B100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4" w:hRule="atLeast"/>
        </w:trPr>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16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D7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4"/>
                <w:szCs w:val="24"/>
                <w:u w:val="none"/>
              </w:rPr>
            </w:pP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E8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color w:val="auto"/>
                <w:lang w:val="en-US" w:eastAsia="zh-CN"/>
              </w:rPr>
              <w:t>其它各类现有接口对接（包括但不限于院内LIS、PACS、排队叫号、银医自助系统、江西省医共体平台、传染病直报系统、智慧医疗系统、院内现有软件及硬件接口、电子票据、江西省DRG平台数据上传、省全民健康信息平台、门急诊病案首页上传、检查检验互认平台等接口）</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F2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升级改造</w:t>
            </w:r>
          </w:p>
        </w:tc>
      </w:tr>
    </w:tbl>
    <w:p w14:paraId="68ACEDB7">
      <w:pPr>
        <w:pStyle w:val="13"/>
        <w:bidi w:val="0"/>
        <w:ind w:left="864" w:leftChars="0" w:hanging="864" w:firstLineChars="0"/>
        <w:rPr>
          <w:rFonts w:hint="default"/>
          <w:color w:val="auto"/>
          <w:lang w:val="en-US" w:eastAsia="zh-CN"/>
        </w:rPr>
      </w:pPr>
      <w:r>
        <w:rPr>
          <w:rFonts w:hint="eastAsia"/>
          <w:color w:val="auto"/>
          <w:lang w:val="en-US" w:eastAsia="zh-CN"/>
        </w:rPr>
        <w:t>数据平台</w:t>
      </w:r>
    </w:p>
    <w:p w14:paraId="0A275232">
      <w:pPr>
        <w:pStyle w:val="14"/>
        <w:bidi w:val="0"/>
        <w:rPr>
          <w:color w:val="auto"/>
        </w:rPr>
      </w:pPr>
      <w:r>
        <w:rPr>
          <w:rFonts w:hint="eastAsia"/>
          <w:color w:val="auto"/>
          <w:lang w:val="en-US" w:eastAsia="zh-CN"/>
        </w:rPr>
        <w:t xml:space="preserve"> 集</w:t>
      </w:r>
      <w:r>
        <w:rPr>
          <w:rFonts w:hint="eastAsia"/>
          <w:color w:val="auto"/>
        </w:rPr>
        <w:t>成引擎</w:t>
      </w:r>
    </w:p>
    <w:p w14:paraId="2117EC39">
      <w:pPr>
        <w:ind w:firstLine="480"/>
        <w:rPr>
          <w:rFonts w:hint="default"/>
          <w:color w:val="auto"/>
        </w:rPr>
      </w:pPr>
      <w:r>
        <w:rPr>
          <w:rFonts w:hint="eastAsia"/>
          <w:color w:val="auto"/>
        </w:rPr>
        <w:t>集成引擎</w:t>
      </w:r>
      <w:r>
        <w:rPr>
          <w:rFonts w:hint="default"/>
          <w:color w:val="auto"/>
        </w:rPr>
        <w:t>‌是一种技术系统，用于收集、存储、处理和分析大量数据，以支持平台上的各种功能和服务。其核心作用包括数据收集、数据存储、数据处理、数据分析、实时性和可扩展性</w:t>
      </w:r>
      <w:r>
        <w:rPr>
          <w:rFonts w:hint="eastAsia"/>
          <w:color w:val="auto"/>
          <w:lang w:eastAsia="zh-CN"/>
        </w:rPr>
        <w:t>。</w:t>
      </w:r>
      <w:r>
        <w:rPr>
          <w:rFonts w:hint="default"/>
          <w:color w:val="auto"/>
        </w:rPr>
        <w:t>‌</w:t>
      </w:r>
    </w:p>
    <w:p w14:paraId="26620BD2">
      <w:pPr>
        <w:ind w:firstLine="480"/>
        <w:rPr>
          <w:rFonts w:hint="default"/>
          <w:color w:val="auto"/>
          <w:lang w:val="en-US" w:eastAsia="zh-CN"/>
        </w:rPr>
      </w:pPr>
      <w:r>
        <w:rPr>
          <w:rFonts w:hint="eastAsia"/>
          <w:color w:val="auto"/>
          <w:lang w:val="en-US" w:eastAsia="zh-CN"/>
        </w:rPr>
        <w:t>具体功能包括但不限于以下：</w:t>
      </w:r>
    </w:p>
    <w:p w14:paraId="6DBB611B">
      <w:pPr>
        <w:ind w:firstLine="480"/>
        <w:rPr>
          <w:color w:val="auto"/>
        </w:rPr>
      </w:pPr>
      <w:r>
        <w:rPr>
          <w:rFonts w:hint="eastAsia"/>
          <w:color w:val="auto"/>
        </w:rPr>
        <w:t>支持XML、JMS、MQ、SOAP等基础消息格式和医疗卫生行业的HIPPAEDI、HL7V2/V3Message等消息格式的转化，以及支持HTTP、HTTPs、MLLP、TCP/IP等通信协议切换。</w:t>
      </w:r>
    </w:p>
    <w:p w14:paraId="244360C6">
      <w:pPr>
        <w:ind w:firstLine="480"/>
        <w:rPr>
          <w:color w:val="auto"/>
        </w:rPr>
      </w:pPr>
      <w:r>
        <w:rPr>
          <w:rFonts w:hint="eastAsia"/>
          <w:color w:val="auto"/>
        </w:rPr>
        <w:t>支持利用XSLT或XQuery转换、业务规则、系统交叉参考和域值映射进行数据转换和文档扩充；</w:t>
      </w:r>
    </w:p>
    <w:p w14:paraId="179F3287">
      <w:pPr>
        <w:ind w:firstLine="480"/>
        <w:rPr>
          <w:color w:val="auto"/>
        </w:rPr>
      </w:pPr>
      <w:r>
        <w:rPr>
          <w:rFonts w:hint="eastAsia"/>
          <w:color w:val="auto"/>
        </w:rPr>
        <w:t>具备不同协议的动态路由功能，且路由规则通过配置方式实现；</w:t>
      </w:r>
    </w:p>
    <w:p w14:paraId="7B43066B">
      <w:pPr>
        <w:ind w:firstLine="480"/>
        <w:rPr>
          <w:color w:val="auto"/>
        </w:rPr>
      </w:pPr>
      <w:r>
        <w:rPr>
          <w:rFonts w:hint="eastAsia"/>
          <w:color w:val="auto"/>
        </w:rPr>
        <w:t>具备通过请求的数据内容的关键值进行主题发布的功能；</w:t>
      </w:r>
    </w:p>
    <w:p w14:paraId="38C62683">
      <w:pPr>
        <w:ind w:firstLine="480"/>
        <w:rPr>
          <w:color w:val="auto"/>
        </w:rPr>
      </w:pPr>
      <w:r>
        <w:rPr>
          <w:rFonts w:hint="eastAsia"/>
          <w:color w:val="auto"/>
        </w:rPr>
        <w:t>支持对已有服务的重新编排，从而生成新的服务；</w:t>
      </w:r>
    </w:p>
    <w:p w14:paraId="07169A50">
      <w:pPr>
        <w:ind w:firstLine="480"/>
        <w:rPr>
          <w:color w:val="auto"/>
        </w:rPr>
      </w:pPr>
      <w:r>
        <w:rPr>
          <w:rFonts w:hint="eastAsia"/>
          <w:color w:val="auto"/>
        </w:rPr>
        <w:t>支持消息异常处理；</w:t>
      </w:r>
    </w:p>
    <w:p w14:paraId="164B40E1">
      <w:pPr>
        <w:ind w:firstLine="480"/>
        <w:rPr>
          <w:color w:val="auto"/>
        </w:rPr>
      </w:pPr>
      <w:r>
        <w:rPr>
          <w:rFonts w:hint="eastAsia"/>
          <w:color w:val="auto"/>
        </w:rPr>
        <w:t>支持消息预警管理机制；</w:t>
      </w:r>
    </w:p>
    <w:p w14:paraId="28BB16C4">
      <w:pPr>
        <w:ind w:firstLine="480"/>
        <w:rPr>
          <w:color w:val="auto"/>
        </w:rPr>
      </w:pPr>
      <w:r>
        <w:rPr>
          <w:rFonts w:hint="eastAsia"/>
          <w:color w:val="auto"/>
        </w:rPr>
        <w:t>支持消息性能的图形化监控；</w:t>
      </w:r>
    </w:p>
    <w:p w14:paraId="32D3C74D">
      <w:pPr>
        <w:ind w:firstLine="480"/>
        <w:rPr>
          <w:color w:val="auto"/>
        </w:rPr>
      </w:pPr>
      <w:r>
        <w:rPr>
          <w:rFonts w:hint="eastAsia"/>
          <w:color w:val="auto"/>
        </w:rPr>
        <w:t>支持消息备份与恢复；</w:t>
      </w:r>
    </w:p>
    <w:p w14:paraId="09027874">
      <w:pPr>
        <w:ind w:firstLine="480"/>
        <w:rPr>
          <w:color w:val="auto"/>
        </w:rPr>
      </w:pPr>
      <w:r>
        <w:rPr>
          <w:rFonts w:hint="eastAsia"/>
          <w:color w:val="auto"/>
        </w:rPr>
        <w:t>支持多线程通信方式；</w:t>
      </w:r>
    </w:p>
    <w:p w14:paraId="2BA14301">
      <w:pPr>
        <w:ind w:firstLine="480"/>
        <w:rPr>
          <w:color w:val="auto"/>
        </w:rPr>
      </w:pPr>
      <w:r>
        <w:rPr>
          <w:rFonts w:hint="eastAsia"/>
          <w:color w:val="auto"/>
        </w:rPr>
        <w:t>支持第三方系统的多种方式调用，包括Web服务、WebAPI、HTTP服务等；</w:t>
      </w:r>
    </w:p>
    <w:p w14:paraId="1BB66A08">
      <w:pPr>
        <w:ind w:firstLine="480"/>
        <w:rPr>
          <w:color w:val="auto"/>
        </w:rPr>
      </w:pPr>
      <w:r>
        <w:rPr>
          <w:rFonts w:hint="eastAsia"/>
          <w:color w:val="auto"/>
        </w:rPr>
        <w:t>支持请求/响应、点对点、发布/订阅和事件等多种集成模式；</w:t>
      </w:r>
    </w:p>
    <w:p w14:paraId="1ADC45A2">
      <w:pPr>
        <w:ind w:firstLine="480"/>
        <w:rPr>
          <w:color w:val="auto"/>
        </w:rPr>
      </w:pPr>
      <w:r>
        <w:rPr>
          <w:rFonts w:hint="eastAsia"/>
          <w:color w:val="auto"/>
        </w:rPr>
        <w:t>支持基于内容的路由和内容过滤。</w:t>
      </w:r>
    </w:p>
    <w:p w14:paraId="0358C219">
      <w:pPr>
        <w:pStyle w:val="14"/>
        <w:bidi w:val="0"/>
        <w:rPr>
          <w:color w:val="auto"/>
        </w:rPr>
      </w:pPr>
      <w:r>
        <w:rPr>
          <w:rFonts w:hint="eastAsia"/>
          <w:color w:val="auto"/>
          <w:lang w:val="en-US" w:eastAsia="zh-CN"/>
        </w:rPr>
        <w:t xml:space="preserve"> </w:t>
      </w:r>
      <w:r>
        <w:rPr>
          <w:rFonts w:hint="eastAsia"/>
          <w:color w:val="auto"/>
        </w:rPr>
        <w:t>主数据管理MDM</w:t>
      </w:r>
    </w:p>
    <w:p w14:paraId="5299C048">
      <w:pPr>
        <w:ind w:firstLine="480"/>
        <w:rPr>
          <w:color w:val="auto"/>
        </w:rPr>
      </w:pPr>
      <w:r>
        <w:rPr>
          <w:rFonts w:hint="eastAsia"/>
          <w:color w:val="auto"/>
        </w:rPr>
        <w:t>主数据是医院内部系统间的共享数据，通过主数据管理平台定义数据的值域和制定标准，建立院内标准体系为实现互操作提供必要的语义保证，同时对患者、医护人员、科室、医嘱等基础数据及相关主索引实行统一管理，能够做到数据存储和数据发布的唯一性和各种报表的一致性，该数据标准既要充分体现现有的业务需求 也要符合国家标准及先进的国际通用标准， 为今后医院的进一步发展提供可靠的数据基础条件。主数据可由平台管理者进行注册、维护。管理全体工作人员（包括本院和非本院）和科室数据管理，建立医院统一的组织机构架构，包括业务科室、护理单元、职能部门、后勤部门等。并且支持从医院现有业务系统同步人员、科室、病区、药品、材料等相关信息，建立与主数据同步的对应管理。</w:t>
      </w:r>
    </w:p>
    <w:p w14:paraId="56A5350F">
      <w:pPr>
        <w:ind w:firstLine="480"/>
        <w:rPr>
          <w:color w:val="auto"/>
        </w:rPr>
      </w:pPr>
      <w:r>
        <w:rPr>
          <w:color w:val="auto"/>
        </w:rPr>
        <w:t>通过集成平台消息处理机制实现各业务系统间的字典同步，数据字典发生变更时，集成平台的服务接口发送消息相应业务系统，接收到字典变更的消息后，自行调用集成平台上相应的获取数据的服务接口实现字典同步。</w:t>
      </w:r>
    </w:p>
    <w:p w14:paraId="30C37AAB">
      <w:pPr>
        <w:ind w:firstLine="480"/>
        <w:rPr>
          <w:color w:val="auto"/>
        </w:rPr>
      </w:pPr>
      <w:r>
        <w:rPr>
          <w:rFonts w:hint="eastAsia"/>
          <w:color w:val="auto"/>
          <w:lang w:val="en-US" w:eastAsia="zh-CN"/>
        </w:rPr>
        <w:t>具体功能包括但不限于以下：</w:t>
      </w:r>
    </w:p>
    <w:p w14:paraId="2B597CFB">
      <w:pPr>
        <w:ind w:firstLine="482"/>
        <w:jc w:val="left"/>
        <w:rPr>
          <w:rFonts w:cs="宋体"/>
          <w:b/>
          <w:color w:val="auto"/>
        </w:rPr>
      </w:pPr>
      <w:r>
        <w:rPr>
          <w:rFonts w:hint="eastAsia" w:cs="宋体"/>
          <w:b/>
          <w:color w:val="auto"/>
        </w:rPr>
        <w:t>（一）数据元管理</w:t>
      </w:r>
    </w:p>
    <w:p w14:paraId="76D3A7F9">
      <w:pPr>
        <w:ind w:firstLine="480"/>
        <w:rPr>
          <w:color w:val="auto"/>
        </w:rPr>
      </w:pPr>
      <w:r>
        <w:rPr>
          <w:color w:val="auto"/>
        </w:rPr>
        <w:t>用于对医疗卫生信息结构体系中，不同业务领域之间信息交换和数据共享所需要基本数据单元的管理。主要功能包括：</w:t>
      </w:r>
    </w:p>
    <w:p w14:paraId="44ABC167">
      <w:pPr>
        <w:ind w:firstLine="480"/>
        <w:rPr>
          <w:color w:val="auto"/>
        </w:rPr>
      </w:pPr>
      <w:r>
        <w:rPr>
          <w:rFonts w:hint="eastAsia"/>
          <w:color w:val="auto"/>
        </w:rPr>
        <w:t>1</w:t>
      </w:r>
      <w:r>
        <w:rPr>
          <w:color w:val="auto"/>
        </w:rPr>
        <w:t>)提供完整的医疗卫生信息结构体系中所需要的统一、无歧义的基本数据单元（包括数据元的名称、属性、标识、表示、值域等描述）</w:t>
      </w:r>
      <w:r>
        <w:rPr>
          <w:rFonts w:hint="eastAsia"/>
          <w:color w:val="auto"/>
        </w:rPr>
        <w:t>。</w:t>
      </w:r>
    </w:p>
    <w:p w14:paraId="280FA73A">
      <w:pPr>
        <w:ind w:firstLine="480"/>
        <w:rPr>
          <w:color w:val="auto"/>
        </w:rPr>
      </w:pPr>
      <w:r>
        <w:rPr>
          <w:color w:val="auto"/>
        </w:rPr>
        <w:t>2)依据临床服务、医院管理以及平台应用业务活动，对元数据进行组织，形成以活动为基础的数据集合</w:t>
      </w:r>
      <w:r>
        <w:rPr>
          <w:rFonts w:hint="eastAsia"/>
          <w:color w:val="auto"/>
        </w:rPr>
        <w:t>。</w:t>
      </w:r>
    </w:p>
    <w:p w14:paraId="079E3A47">
      <w:pPr>
        <w:ind w:firstLine="480"/>
        <w:rPr>
          <w:color w:val="auto"/>
        </w:rPr>
      </w:pPr>
      <w:r>
        <w:rPr>
          <w:rFonts w:hint="eastAsia"/>
          <w:color w:val="auto"/>
        </w:rPr>
        <w:t>3）提供标准数据字典的维护（包括数据元和术语库）的维护功能。</w:t>
      </w:r>
    </w:p>
    <w:p w14:paraId="7A4C60BC">
      <w:pPr>
        <w:ind w:firstLine="480"/>
        <w:rPr>
          <w:color w:val="auto"/>
        </w:rPr>
      </w:pPr>
      <w:r>
        <w:rPr>
          <w:color w:val="auto"/>
        </w:rPr>
        <w:t>4</w:t>
      </w:r>
      <w:r>
        <w:rPr>
          <w:rFonts w:hint="eastAsia"/>
          <w:color w:val="auto"/>
        </w:rPr>
        <w:t>）提供标准数据元、标准术语库以及代码映射表均可在应用过程中不断更新的功能。</w:t>
      </w:r>
    </w:p>
    <w:p w14:paraId="65617629">
      <w:pPr>
        <w:ind w:firstLine="480"/>
        <w:rPr>
          <w:color w:val="auto"/>
        </w:rPr>
      </w:pPr>
      <w:r>
        <w:rPr>
          <w:color w:val="auto"/>
        </w:rPr>
        <w:t>5</w:t>
      </w:r>
      <w:r>
        <w:rPr>
          <w:rFonts w:hint="eastAsia"/>
          <w:color w:val="auto"/>
        </w:rPr>
        <w:t>）提供标准数据与私有数据对照功能。</w:t>
      </w:r>
    </w:p>
    <w:p w14:paraId="2513C536">
      <w:pPr>
        <w:ind w:firstLine="480"/>
        <w:rPr>
          <w:color w:val="auto"/>
        </w:rPr>
      </w:pPr>
      <w:r>
        <w:rPr>
          <w:color w:val="auto"/>
        </w:rPr>
        <w:t>6</w:t>
      </w:r>
      <w:r>
        <w:rPr>
          <w:rFonts w:hint="eastAsia"/>
          <w:color w:val="auto"/>
        </w:rPr>
        <w:t>）提供标准数据元格式转换功能。</w:t>
      </w:r>
    </w:p>
    <w:p w14:paraId="7DBC0810">
      <w:pPr>
        <w:ind w:firstLine="482"/>
        <w:jc w:val="left"/>
        <w:rPr>
          <w:rFonts w:cs="宋体"/>
          <w:b/>
          <w:color w:val="auto"/>
        </w:rPr>
      </w:pPr>
      <w:r>
        <w:rPr>
          <w:rFonts w:hint="eastAsia" w:cs="宋体"/>
          <w:b/>
          <w:color w:val="auto"/>
        </w:rPr>
        <w:t>（二）映射信息管理</w:t>
      </w:r>
    </w:p>
    <w:p w14:paraId="0D8FF0AA">
      <w:pPr>
        <w:ind w:firstLine="480"/>
        <w:rPr>
          <w:color w:val="auto"/>
        </w:rPr>
      </w:pPr>
      <w:r>
        <w:rPr>
          <w:rFonts w:hint="eastAsia"/>
          <w:color w:val="auto"/>
        </w:rPr>
        <w:t>统一管理各个业务系统与主数据对应关系，避免各种对照关系过于分散，不利于管理。</w:t>
      </w:r>
    </w:p>
    <w:p w14:paraId="20E4441C">
      <w:pPr>
        <w:ind w:firstLine="480"/>
        <w:rPr>
          <w:color w:val="auto"/>
        </w:rPr>
      </w:pPr>
      <w:r>
        <w:rPr>
          <w:rFonts w:hint="eastAsia"/>
          <w:color w:val="auto"/>
        </w:rPr>
        <w:t>平台和其他外部业务系统的非国标字典或者术语的映射登记，通过数据库链接和SQL语句来获取平台字典和外部字典。</w:t>
      </w:r>
    </w:p>
    <w:p w14:paraId="703E20A0">
      <w:pPr>
        <w:ind w:firstLine="480"/>
        <w:rPr>
          <w:rFonts w:hint="eastAsia" w:eastAsia="宋体"/>
          <w:color w:val="auto"/>
          <w:lang w:eastAsia="zh-CN"/>
        </w:rPr>
      </w:pPr>
      <w:r>
        <w:rPr>
          <w:rFonts w:hint="eastAsia"/>
          <w:color w:val="auto"/>
        </w:rPr>
        <w:t>平台字典和外部业务系统字典映射对照，前面映射登记后这里就可以后取到平台和业务系统的字典，在此界面完成对照</w:t>
      </w:r>
      <w:r>
        <w:rPr>
          <w:rFonts w:hint="eastAsia"/>
          <w:color w:val="auto"/>
          <w:lang w:eastAsia="zh-CN"/>
        </w:rPr>
        <w:t>。</w:t>
      </w:r>
    </w:p>
    <w:p w14:paraId="7FABDDD3">
      <w:pPr>
        <w:ind w:firstLine="482"/>
        <w:jc w:val="left"/>
        <w:rPr>
          <w:rFonts w:cs="宋体"/>
          <w:b/>
          <w:color w:val="auto"/>
        </w:rPr>
      </w:pPr>
      <w:r>
        <w:rPr>
          <w:rFonts w:hint="eastAsia" w:cs="宋体"/>
          <w:b/>
          <w:color w:val="auto"/>
        </w:rPr>
        <w:t>（三）数据交换定义及转换</w:t>
      </w:r>
    </w:p>
    <w:p w14:paraId="3949CCF6">
      <w:pPr>
        <w:ind w:firstLine="480"/>
        <w:rPr>
          <w:color w:val="auto"/>
        </w:rPr>
      </w:pPr>
      <w:r>
        <w:rPr>
          <w:color w:val="auto"/>
        </w:rPr>
        <w:t>1</w:t>
      </w:r>
      <w:r>
        <w:rPr>
          <w:rFonts w:hint="eastAsia"/>
          <w:color w:val="auto"/>
        </w:rPr>
        <w:t>）提供图形化交换配置工具；</w:t>
      </w:r>
    </w:p>
    <w:p w14:paraId="70B71B95">
      <w:pPr>
        <w:ind w:firstLine="480"/>
        <w:rPr>
          <w:color w:val="auto"/>
        </w:rPr>
      </w:pPr>
      <w:r>
        <w:rPr>
          <w:color w:val="auto"/>
        </w:rPr>
        <w:t>2</w:t>
      </w:r>
      <w:r>
        <w:rPr>
          <w:rFonts w:hint="eastAsia"/>
          <w:color w:val="auto"/>
        </w:rPr>
        <w:t>）支持服务代理、消息路由、数据转换、服务组合等共享交换方式；</w:t>
      </w:r>
    </w:p>
    <w:p w14:paraId="7189CA1D">
      <w:pPr>
        <w:ind w:firstLine="480"/>
        <w:rPr>
          <w:color w:val="auto"/>
        </w:rPr>
      </w:pPr>
      <w:r>
        <w:rPr>
          <w:color w:val="auto"/>
        </w:rPr>
        <w:t>3</w:t>
      </w:r>
      <w:r>
        <w:rPr>
          <w:rFonts w:hint="eastAsia"/>
          <w:color w:val="auto"/>
        </w:rPr>
        <w:t>）支持同步、异步、分发等共享交换模式，支持服务自运行策略定义。</w:t>
      </w:r>
    </w:p>
    <w:p w14:paraId="0D81CD6F">
      <w:pPr>
        <w:pStyle w:val="14"/>
        <w:bidi w:val="0"/>
        <w:rPr>
          <w:color w:val="auto"/>
        </w:rPr>
      </w:pPr>
      <w:r>
        <w:rPr>
          <w:rFonts w:hint="eastAsia"/>
          <w:color w:val="auto"/>
          <w:lang w:val="en-US" w:eastAsia="zh-CN"/>
        </w:rPr>
        <w:t xml:space="preserve"> </w:t>
      </w:r>
      <w:r>
        <w:rPr>
          <w:rFonts w:hint="eastAsia"/>
          <w:color w:val="auto"/>
        </w:rPr>
        <w:t>患者主索引EMPI</w:t>
      </w:r>
    </w:p>
    <w:p w14:paraId="58F8AE13">
      <w:pPr>
        <w:ind w:firstLine="480"/>
        <w:rPr>
          <w:color w:val="auto"/>
        </w:rPr>
      </w:pPr>
      <w:r>
        <w:rPr>
          <w:rFonts w:hint="eastAsia"/>
          <w:color w:val="auto"/>
        </w:rPr>
        <w:t>患者主索引根据医疗业务特点应用特定的算法为在不同时间点、不同业务系统中的患者提供唯一标识服务，能够将分布在不同系统，不同标准的医疗信息通过患者主索引关联起来。</w:t>
      </w:r>
    </w:p>
    <w:p w14:paraId="7D107D45">
      <w:pPr>
        <w:ind w:firstLine="480"/>
        <w:rPr>
          <w:rFonts w:hint="eastAsia"/>
          <w:color w:val="auto"/>
        </w:rPr>
      </w:pPr>
      <w:r>
        <w:rPr>
          <w:rFonts w:hint="eastAsia"/>
          <w:color w:val="auto"/>
        </w:rPr>
        <w:t>患者主索引合并的规则登记，可以设置每一项规则的权重比例，系统会通过此界面登记的合并规则按照权重比大于等于1来自动合并不通的记录成为一条主索引。</w:t>
      </w:r>
    </w:p>
    <w:p w14:paraId="433AEB86">
      <w:pPr>
        <w:ind w:firstLine="480"/>
        <w:rPr>
          <w:color w:val="auto"/>
        </w:rPr>
      </w:pPr>
      <w:r>
        <w:rPr>
          <w:rFonts w:hint="eastAsia"/>
          <w:color w:val="auto"/>
          <w:lang w:val="en-US" w:eastAsia="zh-CN"/>
        </w:rPr>
        <w:t>具体功能包括但不限于以下：</w:t>
      </w:r>
    </w:p>
    <w:p w14:paraId="671D53E7">
      <w:pPr>
        <w:ind w:firstLine="480"/>
        <w:rPr>
          <w:color w:val="auto"/>
        </w:rPr>
      </w:pPr>
      <w:r>
        <w:rPr>
          <w:rFonts w:hint="eastAsia"/>
          <w:color w:val="auto"/>
        </w:rPr>
        <w:t>支持通过主索引合并规则自动合并主索引以外，还提供手动合并和拆分的功能，可以人为判断是否需要合并或者拆分主索引；</w:t>
      </w:r>
    </w:p>
    <w:p w14:paraId="5B00E3C4">
      <w:pPr>
        <w:ind w:firstLine="480"/>
        <w:rPr>
          <w:color w:val="auto"/>
        </w:rPr>
      </w:pPr>
      <w:r>
        <w:rPr>
          <w:rFonts w:hint="eastAsia"/>
          <w:color w:val="auto"/>
        </w:rPr>
        <w:t>支持各业务域患者信息注册，例如：门诊患者、住院患者、体检患者等；</w:t>
      </w:r>
    </w:p>
    <w:p w14:paraId="12C39D2C">
      <w:pPr>
        <w:ind w:firstLine="480"/>
        <w:rPr>
          <w:color w:val="auto"/>
        </w:rPr>
      </w:pPr>
      <w:r>
        <w:rPr>
          <w:rFonts w:hint="eastAsia"/>
          <w:color w:val="auto"/>
        </w:rPr>
        <w:t>支持通过各业务域患者ID号（例如：门诊号、住院号）查询患者主索引信息；</w:t>
      </w:r>
    </w:p>
    <w:p w14:paraId="5676BCCF">
      <w:pPr>
        <w:ind w:firstLine="480"/>
        <w:rPr>
          <w:color w:val="auto"/>
        </w:rPr>
      </w:pPr>
      <w:r>
        <w:rPr>
          <w:rFonts w:hint="eastAsia"/>
          <w:color w:val="auto"/>
        </w:rPr>
        <w:t>支持跨患者域交叉查询服务；</w:t>
      </w:r>
    </w:p>
    <w:p w14:paraId="7908686E">
      <w:pPr>
        <w:ind w:firstLine="480"/>
        <w:rPr>
          <w:color w:val="auto"/>
        </w:rPr>
      </w:pPr>
      <w:r>
        <w:rPr>
          <w:rFonts w:hint="eastAsia"/>
          <w:color w:val="auto"/>
        </w:rPr>
        <w:t>支持通过门诊号查询患者住院号；</w:t>
      </w:r>
    </w:p>
    <w:p w14:paraId="29E87EFF">
      <w:pPr>
        <w:ind w:firstLine="480"/>
        <w:rPr>
          <w:color w:val="auto"/>
        </w:rPr>
      </w:pPr>
      <w:r>
        <w:rPr>
          <w:rFonts w:hint="eastAsia"/>
          <w:color w:val="auto"/>
        </w:rPr>
        <w:t>支持通过主索引ID查询；</w:t>
      </w:r>
    </w:p>
    <w:p w14:paraId="6B33B1E0">
      <w:pPr>
        <w:ind w:firstLine="480"/>
        <w:rPr>
          <w:color w:val="auto"/>
        </w:rPr>
      </w:pPr>
      <w:r>
        <w:rPr>
          <w:rFonts w:hint="eastAsia"/>
          <w:color w:val="auto"/>
        </w:rPr>
        <w:t>支持通过主索引ID查询相关联的门诊/住院等患者信息。</w:t>
      </w:r>
    </w:p>
    <w:p w14:paraId="263559B3">
      <w:pPr>
        <w:pStyle w:val="14"/>
        <w:bidi w:val="0"/>
        <w:rPr>
          <w:color w:val="auto"/>
        </w:rPr>
      </w:pPr>
      <w:r>
        <w:rPr>
          <w:rFonts w:hint="eastAsia"/>
          <w:color w:val="auto"/>
          <w:lang w:val="en-US" w:eastAsia="zh-CN"/>
        </w:rPr>
        <w:t xml:space="preserve"> </w:t>
      </w:r>
      <w:r>
        <w:rPr>
          <w:rFonts w:hint="eastAsia"/>
          <w:color w:val="auto"/>
        </w:rPr>
        <w:t>消息中心</w:t>
      </w:r>
    </w:p>
    <w:p w14:paraId="4A39C378">
      <w:pPr>
        <w:ind w:firstLine="480"/>
        <w:rPr>
          <w:color w:val="auto"/>
        </w:rPr>
      </w:pPr>
      <w:r>
        <w:rPr>
          <w:rFonts w:hint="eastAsia"/>
          <w:color w:val="auto"/>
        </w:rPr>
        <w:t>支持平台消息日志设置，通过截取解析消息体内患者相关信息和订阅方相关信息来获取消息流转日志。</w:t>
      </w:r>
    </w:p>
    <w:p w14:paraId="5B556465">
      <w:pPr>
        <w:ind w:firstLine="480"/>
        <w:rPr>
          <w:color w:val="auto"/>
        </w:rPr>
      </w:pPr>
      <w:r>
        <w:rPr>
          <w:rFonts w:hint="eastAsia"/>
          <w:color w:val="auto"/>
        </w:rPr>
        <w:t>提供集成平台服务订阅方消息流转日志监控，清晰展示消息唯一号，服务订阅方，服务名称，响应时间等重要信息。方便日志查找，错误排查。</w:t>
      </w:r>
    </w:p>
    <w:p w14:paraId="0BDFB4A1">
      <w:pPr>
        <w:pStyle w:val="14"/>
        <w:bidi w:val="0"/>
        <w:rPr>
          <w:color w:val="auto"/>
        </w:rPr>
      </w:pPr>
      <w:r>
        <w:rPr>
          <w:rFonts w:hint="eastAsia"/>
          <w:color w:val="auto"/>
          <w:lang w:val="en-US" w:eastAsia="zh-CN"/>
        </w:rPr>
        <w:t xml:space="preserve"> </w:t>
      </w:r>
      <w:r>
        <w:rPr>
          <w:rFonts w:hint="eastAsia"/>
          <w:color w:val="auto"/>
        </w:rPr>
        <w:t>平台监控</w:t>
      </w:r>
    </w:p>
    <w:p w14:paraId="30A6AD90">
      <w:pPr>
        <w:ind w:firstLine="480"/>
        <w:rPr>
          <w:rFonts w:hint="eastAsia"/>
          <w:color w:val="auto"/>
          <w:lang w:eastAsia="zh-CN"/>
        </w:rPr>
      </w:pPr>
      <w:r>
        <w:rPr>
          <w:rFonts w:hint="eastAsia"/>
          <w:color w:val="auto"/>
        </w:rPr>
        <w:t>对数据平台进行实时或定期的观察、收集、分析和评估，以确保数据的准确性、完整性和可用性。它能够帮助企业实时了解数据的运行情况，及时发现并解决问题，为企业的决策和运营提供有力的支持‌</w:t>
      </w:r>
      <w:r>
        <w:rPr>
          <w:rFonts w:hint="eastAsia"/>
          <w:color w:val="auto"/>
          <w:lang w:eastAsia="zh-CN"/>
        </w:rPr>
        <w:t>。</w:t>
      </w:r>
    </w:p>
    <w:p w14:paraId="51A477B1">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lang w:eastAsia="zh-CN"/>
        </w:rPr>
      </w:pPr>
      <w:r>
        <w:rPr>
          <w:rFonts w:hint="eastAsia" w:ascii="宋体" w:hAnsi="宋体" w:eastAsia="宋体" w:cs="宋体"/>
          <w:color w:val="auto"/>
          <w:kern w:val="2"/>
          <w:sz w:val="24"/>
          <w:szCs w:val="24"/>
          <w:highlight w:val="none"/>
          <w:lang w:val="en-US" w:eastAsia="zh-CN" w:bidi="ar"/>
        </w:rPr>
        <w:t>具体功能包括但不限于以下：</w:t>
      </w:r>
    </w:p>
    <w:p w14:paraId="614AEA41">
      <w:pPr>
        <w:ind w:firstLine="480"/>
        <w:rPr>
          <w:color w:val="auto"/>
        </w:rPr>
      </w:pPr>
      <w:r>
        <w:rPr>
          <w:rFonts w:hint="eastAsia"/>
          <w:color w:val="auto"/>
        </w:rPr>
        <w:t>提供实时监控平台服务运行情况工具，包括平台通讯点，路由的运行状态，以及消息流转的数量。通过图形化界面直观展示。</w:t>
      </w:r>
    </w:p>
    <w:p w14:paraId="287670F0">
      <w:pPr>
        <w:ind w:firstLine="480"/>
        <w:rPr>
          <w:color w:val="auto"/>
        </w:rPr>
      </w:pPr>
      <w:r>
        <w:rPr>
          <w:rFonts w:hint="eastAsia"/>
          <w:color w:val="auto"/>
        </w:rPr>
        <w:t>全方位监控平台相关服务器运行状况，通过图形和数据列表直观展现服务器内存。C</w:t>
      </w:r>
      <w:r>
        <w:rPr>
          <w:color w:val="auto"/>
        </w:rPr>
        <w:t>PU</w:t>
      </w:r>
      <w:r>
        <w:rPr>
          <w:rFonts w:hint="eastAsia"/>
          <w:color w:val="auto"/>
        </w:rPr>
        <w:t>、磁盘、网络的运行情况。</w:t>
      </w:r>
    </w:p>
    <w:p w14:paraId="2D9344BD">
      <w:pPr>
        <w:ind w:firstLine="480"/>
        <w:rPr>
          <w:rFonts w:hint="eastAsia" w:eastAsia="宋体"/>
          <w:color w:val="auto"/>
          <w:lang w:eastAsia="zh-CN"/>
        </w:rPr>
      </w:pPr>
      <w:r>
        <w:rPr>
          <w:rFonts w:hint="eastAsia"/>
          <w:color w:val="auto"/>
        </w:rPr>
        <w:t>提供更丰富的、交互式个性化操作信息面板，可通过Web浏览器方式展现业务活动实时数据和个性化报表以监控业务流程和服务，以及从流程和服务中跟踪关键性能指标</w:t>
      </w:r>
      <w:r>
        <w:rPr>
          <w:rFonts w:hint="eastAsia"/>
          <w:color w:val="auto"/>
          <w:lang w:eastAsia="zh-CN"/>
        </w:rPr>
        <w:t>。</w:t>
      </w:r>
    </w:p>
    <w:p w14:paraId="1AB4C16B">
      <w:pPr>
        <w:ind w:firstLine="480"/>
        <w:rPr>
          <w:rFonts w:hint="eastAsia" w:eastAsia="宋体"/>
          <w:color w:val="auto"/>
          <w:lang w:eastAsia="zh-CN"/>
        </w:rPr>
      </w:pPr>
      <w:r>
        <w:rPr>
          <w:rFonts w:hint="eastAsia"/>
          <w:color w:val="auto"/>
        </w:rPr>
        <w:t>支持设置个性化的警告条件，实现对重要事件（如：通讯点或基础服务故障）发生时，通过电子邮件、短信等方式发送给指定的用户</w:t>
      </w:r>
      <w:r>
        <w:rPr>
          <w:rFonts w:hint="eastAsia"/>
          <w:color w:val="auto"/>
          <w:lang w:eastAsia="zh-CN"/>
        </w:rPr>
        <w:t>。</w:t>
      </w:r>
    </w:p>
    <w:p w14:paraId="0A5CFA13">
      <w:pPr>
        <w:ind w:firstLine="480"/>
        <w:rPr>
          <w:rFonts w:hint="eastAsia" w:eastAsia="宋体"/>
          <w:color w:val="auto"/>
          <w:lang w:eastAsia="zh-CN"/>
        </w:rPr>
      </w:pPr>
      <w:r>
        <w:rPr>
          <w:rFonts w:hint="eastAsia"/>
          <w:color w:val="auto"/>
        </w:rPr>
        <w:t>提供日志审计，能够记录平台系统管理员的操作，发现违规行为</w:t>
      </w:r>
      <w:r>
        <w:rPr>
          <w:rFonts w:hint="eastAsia"/>
          <w:color w:val="auto"/>
          <w:lang w:eastAsia="zh-CN"/>
        </w:rPr>
        <w:t>。</w:t>
      </w:r>
    </w:p>
    <w:p w14:paraId="687AC1B3">
      <w:pPr>
        <w:ind w:firstLine="480"/>
        <w:rPr>
          <w:rFonts w:hint="eastAsia" w:eastAsia="宋体"/>
          <w:color w:val="auto"/>
          <w:lang w:eastAsia="zh-CN"/>
        </w:rPr>
      </w:pPr>
      <w:r>
        <w:rPr>
          <w:rFonts w:hint="eastAsia"/>
          <w:color w:val="auto"/>
        </w:rPr>
        <w:t>提供图形化的流程设计器，提供可视化的设置向导，以简化常见的任务（如：与IT系统连接和设置人工工作流步骤）</w:t>
      </w:r>
      <w:r>
        <w:rPr>
          <w:rFonts w:hint="eastAsia"/>
          <w:color w:val="auto"/>
          <w:lang w:eastAsia="zh-CN"/>
        </w:rPr>
        <w:t>。</w:t>
      </w:r>
    </w:p>
    <w:p w14:paraId="1E18A1FB">
      <w:pPr>
        <w:pStyle w:val="14"/>
        <w:bidi w:val="0"/>
        <w:rPr>
          <w:color w:val="auto"/>
        </w:rPr>
      </w:pPr>
      <w:r>
        <w:rPr>
          <w:rFonts w:hint="eastAsia"/>
          <w:color w:val="auto"/>
          <w:lang w:val="en-US" w:eastAsia="zh-CN"/>
        </w:rPr>
        <w:t xml:space="preserve"> </w:t>
      </w:r>
      <w:r>
        <w:rPr>
          <w:rFonts w:hint="eastAsia"/>
          <w:color w:val="auto"/>
        </w:rPr>
        <w:t>临床数据中心（CDR）</w:t>
      </w:r>
    </w:p>
    <w:p w14:paraId="2B3A72A0">
      <w:pPr>
        <w:bidi w:val="0"/>
        <w:rPr>
          <w:rFonts w:hint="eastAsia"/>
          <w:color w:val="auto"/>
          <w:lang w:eastAsia="zh-CN"/>
        </w:rPr>
      </w:pPr>
      <w:r>
        <w:rPr>
          <w:rFonts w:hint="eastAsia"/>
          <w:color w:val="auto"/>
          <w:lang w:val="en-US" w:eastAsia="zh-CN"/>
        </w:rPr>
        <w:t>以</w:t>
      </w:r>
      <w:r>
        <w:rPr>
          <w:rFonts w:hint="eastAsia"/>
          <w:color w:val="auto"/>
        </w:rPr>
        <w:t>患者为中心，对医疗机构内患者诊疗信息的有机整合和管理，保障临床数据的完整性、连续性和扩展性。CDR通过整合医院各业务系统中的临床数据，包括医嘱、病历、检验、心电、超声、病理等，形成一个统一的、完整的数据视图，为医院的各类信息化应用提供支持</w:t>
      </w:r>
      <w:r>
        <w:rPr>
          <w:rFonts w:hint="eastAsia"/>
          <w:color w:val="auto"/>
          <w:lang w:eastAsia="zh-CN"/>
        </w:rPr>
        <w:t>。</w:t>
      </w:r>
    </w:p>
    <w:p w14:paraId="7716C5A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ascii="Arial" w:hAnsi="Arial" w:eastAsia="Arial" w:cs="Arial"/>
          <w:i w:val="0"/>
          <w:iCs w:val="0"/>
          <w:caps w:val="0"/>
          <w:color w:val="auto"/>
          <w:spacing w:val="0"/>
          <w:sz w:val="19"/>
          <w:szCs w:val="19"/>
          <w:shd w:val="clear" w:fill="FFFFFF"/>
        </w:rPr>
        <w:t>‌</w:t>
      </w:r>
    </w:p>
    <w:p w14:paraId="30E57903">
      <w:pPr>
        <w:bidi w:val="0"/>
        <w:rPr>
          <w:b/>
          <w:bCs/>
          <w:color w:val="auto"/>
        </w:rPr>
      </w:pPr>
      <w:bookmarkStart w:id="94" w:name="_Toc153617978"/>
      <w:r>
        <w:rPr>
          <w:rFonts w:hint="eastAsia"/>
          <w:b/>
          <w:bCs/>
          <w:color w:val="auto"/>
        </w:rPr>
        <w:t>数据采集</w:t>
      </w:r>
      <w:bookmarkEnd w:id="94"/>
    </w:p>
    <w:p w14:paraId="10B63E2B">
      <w:pPr>
        <w:bidi w:val="0"/>
        <w:rPr>
          <w:color w:val="auto"/>
        </w:rPr>
      </w:pPr>
      <w:r>
        <w:rPr>
          <w:color w:val="auto"/>
        </w:rPr>
        <w:t>支持多种数据库类型的数据源采集配置；</w:t>
      </w:r>
    </w:p>
    <w:p w14:paraId="21885BD3">
      <w:pPr>
        <w:bidi w:val="0"/>
        <w:rPr>
          <w:color w:val="auto"/>
        </w:rPr>
      </w:pPr>
      <w:r>
        <w:rPr>
          <w:color w:val="auto"/>
        </w:rPr>
        <w:t>提供基于ETL的抽取、转换、翻转等操作采集脚本；</w:t>
      </w:r>
    </w:p>
    <w:p w14:paraId="00145E2A">
      <w:pPr>
        <w:bidi w:val="0"/>
        <w:rPr>
          <w:color w:val="auto"/>
        </w:rPr>
      </w:pPr>
      <w:r>
        <w:rPr>
          <w:color w:val="auto"/>
        </w:rPr>
        <w:t>支持基于数据日志采集、接口采集等多种数据采集方式；</w:t>
      </w:r>
    </w:p>
    <w:p w14:paraId="4F4ACC75">
      <w:pPr>
        <w:bidi w:val="0"/>
        <w:rPr>
          <w:color w:val="auto"/>
        </w:rPr>
      </w:pPr>
      <w:r>
        <w:rPr>
          <w:color w:val="auto"/>
        </w:rPr>
        <w:t>支持SQL语句采集、文档附件采集、FTP文件采集；</w:t>
      </w:r>
    </w:p>
    <w:p w14:paraId="26EA8E0C">
      <w:pPr>
        <w:bidi w:val="0"/>
        <w:rPr>
          <w:color w:val="auto"/>
        </w:rPr>
      </w:pPr>
      <w:r>
        <w:rPr>
          <w:color w:val="auto"/>
        </w:rPr>
        <w:t>可根据数据集内容分组建立多个数据采集模型模式；</w:t>
      </w:r>
    </w:p>
    <w:p w14:paraId="25BEC58D">
      <w:pPr>
        <w:bidi w:val="0"/>
        <w:rPr>
          <w:color w:val="auto"/>
        </w:rPr>
      </w:pPr>
      <w:r>
        <w:rPr>
          <w:color w:val="auto"/>
        </w:rPr>
        <w:t>数据采集内容包含病历摘要、就诊记录、门诊病历、住院病历、护理病历、电子处方、电子医嘱、检验报告、检查报告、手麻记录、超声报告、内镜报告、病理报告、心电图、门诊业务、住院业务、质量数据、医技数据等；</w:t>
      </w:r>
    </w:p>
    <w:p w14:paraId="7E4C5150">
      <w:pPr>
        <w:bidi w:val="0"/>
        <w:rPr>
          <w:color w:val="auto"/>
        </w:rPr>
      </w:pPr>
      <w:r>
        <w:rPr>
          <w:color w:val="auto"/>
        </w:rPr>
        <w:t xml:space="preserve">根据数据标准提供门诊病历、住院病历、护理病历、医嘱、检验检查报告等诊疗数据的采集脚本和接口； </w:t>
      </w:r>
    </w:p>
    <w:p w14:paraId="2A841F7C">
      <w:pPr>
        <w:bidi w:val="0"/>
        <w:rPr>
          <w:color w:val="auto"/>
        </w:rPr>
      </w:pPr>
      <w:r>
        <w:rPr>
          <w:color w:val="auto"/>
        </w:rPr>
        <w:t>可生成数据采集的记录日志；可根据日志跟踪解决数据采集错误；</w:t>
      </w:r>
    </w:p>
    <w:p w14:paraId="10C1DC3B">
      <w:pPr>
        <w:bidi w:val="0"/>
        <w:rPr>
          <w:color w:val="auto"/>
        </w:rPr>
      </w:pPr>
      <w:r>
        <w:rPr>
          <w:color w:val="auto"/>
        </w:rPr>
        <w:t>支持增量数据采集，自动采集同步新产生的数据；</w:t>
      </w:r>
    </w:p>
    <w:p w14:paraId="677100CE">
      <w:pPr>
        <w:bidi w:val="0"/>
        <w:rPr>
          <w:color w:val="auto"/>
        </w:rPr>
      </w:pPr>
      <w:r>
        <w:rPr>
          <w:color w:val="auto"/>
        </w:rPr>
        <w:t>支持不同数据设置不同频率、不同时段、不同采集接口、不同adapter接口；</w:t>
      </w:r>
    </w:p>
    <w:p w14:paraId="73F2A395">
      <w:pPr>
        <w:bidi w:val="0"/>
        <w:rPr>
          <w:rFonts w:hint="eastAsia" w:eastAsia="宋体"/>
          <w:color w:val="auto"/>
          <w:lang w:eastAsia="zh-CN"/>
        </w:rPr>
      </w:pPr>
      <w:r>
        <w:rPr>
          <w:color w:val="auto"/>
        </w:rPr>
        <w:t>提供与医院HIS、EMR等系统数据采集的接口配置功能</w:t>
      </w:r>
      <w:r>
        <w:rPr>
          <w:rFonts w:hint="eastAsia"/>
          <w:color w:val="auto"/>
          <w:lang w:eastAsia="zh-CN"/>
        </w:rPr>
        <w:t>。</w:t>
      </w:r>
    </w:p>
    <w:p w14:paraId="5E2D3C2D">
      <w:pPr>
        <w:bidi w:val="0"/>
        <w:rPr>
          <w:b/>
          <w:bCs/>
          <w:color w:val="auto"/>
        </w:rPr>
      </w:pPr>
      <w:bookmarkStart w:id="95" w:name="_Toc153617979"/>
      <w:r>
        <w:rPr>
          <w:rFonts w:hint="eastAsia"/>
          <w:b/>
          <w:bCs/>
          <w:color w:val="auto"/>
        </w:rPr>
        <w:t>数据集成</w:t>
      </w:r>
      <w:bookmarkEnd w:id="95"/>
    </w:p>
    <w:p w14:paraId="68C18D0F">
      <w:pPr>
        <w:bidi w:val="0"/>
        <w:rPr>
          <w:color w:val="auto"/>
        </w:rPr>
      </w:pPr>
      <w:r>
        <w:rPr>
          <w:rFonts w:hint="eastAsia"/>
          <w:color w:val="auto"/>
        </w:rPr>
        <w:t>提供数据集映射功能，实现共享文档配置与管理，其主要功能包括共享文档定义、节点属性映射，将所有类型文档转为互联互通要求标准文档类型。</w:t>
      </w:r>
    </w:p>
    <w:p w14:paraId="65814430">
      <w:pPr>
        <w:bidi w:val="0"/>
        <w:rPr>
          <w:color w:val="auto"/>
        </w:rPr>
      </w:pPr>
      <w:r>
        <w:rPr>
          <w:rFonts w:hint="eastAsia"/>
          <w:color w:val="auto"/>
        </w:rPr>
        <w:t>提供数据集成管理，定时抽取数据到对应的数据集表。</w:t>
      </w:r>
    </w:p>
    <w:p w14:paraId="4697C33A">
      <w:pPr>
        <w:bidi w:val="0"/>
        <w:rPr>
          <w:color w:val="auto"/>
        </w:rPr>
      </w:pPr>
      <w:r>
        <w:rPr>
          <w:rFonts w:hint="eastAsia"/>
          <w:color w:val="auto"/>
        </w:rPr>
        <w:t>提供数据校验管理，依据共享文档标准将每个数据集需要的数据取出之后进行数据元数据类型校验，不符和电子病历数据集标准的值会提示。</w:t>
      </w:r>
    </w:p>
    <w:p w14:paraId="0037158F">
      <w:pPr>
        <w:bidi w:val="0"/>
        <w:rPr>
          <w:color w:val="auto"/>
        </w:rPr>
      </w:pPr>
      <w:r>
        <w:rPr>
          <w:rFonts w:hint="eastAsia"/>
          <w:color w:val="auto"/>
        </w:rPr>
        <w:t>提供共享文档生成功能，用于生成患者的数据集、C</w:t>
      </w:r>
      <w:r>
        <w:rPr>
          <w:color w:val="auto"/>
        </w:rPr>
        <w:t>DA</w:t>
      </w:r>
      <w:r>
        <w:rPr>
          <w:rFonts w:hint="eastAsia"/>
          <w:color w:val="auto"/>
        </w:rPr>
        <w:t>。</w:t>
      </w:r>
    </w:p>
    <w:p w14:paraId="3B437221">
      <w:pPr>
        <w:bidi w:val="0"/>
        <w:rPr>
          <w:color w:val="auto"/>
        </w:rPr>
      </w:pPr>
      <w:r>
        <w:rPr>
          <w:rFonts w:hint="eastAsia"/>
          <w:color w:val="auto"/>
        </w:rPr>
        <w:t>提供共享文档概览功能，用于查看5</w:t>
      </w:r>
      <w:r>
        <w:rPr>
          <w:color w:val="auto"/>
        </w:rPr>
        <w:t>3</w:t>
      </w:r>
      <w:r>
        <w:rPr>
          <w:rFonts w:hint="eastAsia"/>
          <w:color w:val="auto"/>
        </w:rPr>
        <w:t>个数据集。</w:t>
      </w:r>
    </w:p>
    <w:p w14:paraId="1D2709FA">
      <w:pPr>
        <w:bidi w:val="0"/>
        <w:rPr>
          <w:color w:val="auto"/>
        </w:rPr>
      </w:pPr>
      <w:r>
        <w:rPr>
          <w:rFonts w:hint="eastAsia"/>
          <w:color w:val="auto"/>
        </w:rPr>
        <w:t>提供共享文档检索功能，用于查询、查看、下载、生成患者共享文档。</w:t>
      </w:r>
    </w:p>
    <w:p w14:paraId="08B88E75">
      <w:pPr>
        <w:bidi w:val="0"/>
        <w:rPr>
          <w:b/>
          <w:bCs/>
          <w:color w:val="auto"/>
        </w:rPr>
      </w:pPr>
      <w:bookmarkStart w:id="96" w:name="_Toc153617980"/>
      <w:r>
        <w:rPr>
          <w:rFonts w:hint="eastAsia"/>
          <w:b/>
          <w:bCs/>
          <w:color w:val="auto"/>
        </w:rPr>
        <w:t>CDR库</w:t>
      </w:r>
      <w:bookmarkEnd w:id="96"/>
    </w:p>
    <w:p w14:paraId="4754CA2F">
      <w:pPr>
        <w:bidi w:val="0"/>
        <w:rPr>
          <w:color w:val="auto"/>
        </w:rPr>
      </w:pPr>
      <w:r>
        <w:rPr>
          <w:color w:val="auto"/>
        </w:rPr>
        <w:t>提供数据中心数据内容的定义功能；</w:t>
      </w:r>
    </w:p>
    <w:p w14:paraId="6E769F39">
      <w:pPr>
        <w:bidi w:val="0"/>
        <w:rPr>
          <w:color w:val="auto"/>
        </w:rPr>
      </w:pPr>
      <w:r>
        <w:rPr>
          <w:color w:val="auto"/>
        </w:rPr>
        <w:t>建立临床信息数据库，遵循国家卫计委《WS   445-2014 电子病历基本数据集》，至少包含标准要求的16类数据集和58个数据子集的内容；支持自定义扩展数据集；</w:t>
      </w:r>
    </w:p>
    <w:p w14:paraId="38B9D762">
      <w:pPr>
        <w:bidi w:val="0"/>
        <w:rPr>
          <w:color w:val="auto"/>
        </w:rPr>
      </w:pPr>
      <w:r>
        <w:rPr>
          <w:color w:val="auto"/>
        </w:rPr>
        <w:t>建立电子病历文档库，遵循国家卫计委《电子病历共享文档规范》，至少包含标准要求的53类共享文档；并支持自定义扩展；</w:t>
      </w:r>
    </w:p>
    <w:p w14:paraId="2971526B">
      <w:pPr>
        <w:ind w:firstLine="480"/>
        <w:rPr>
          <w:color w:val="auto"/>
        </w:rPr>
      </w:pPr>
      <w:r>
        <w:rPr>
          <w:color w:val="auto"/>
        </w:rPr>
        <w:t>支持非结构化数据的存储，如图片、pdf、html、word等</w:t>
      </w:r>
      <w:r>
        <w:rPr>
          <w:rFonts w:hint="eastAsia"/>
          <w:color w:val="auto"/>
        </w:rPr>
        <w:t>。</w:t>
      </w:r>
    </w:p>
    <w:p w14:paraId="37841CBF">
      <w:pPr>
        <w:ind w:firstLine="480"/>
        <w:rPr>
          <w:color w:val="auto"/>
        </w:rPr>
      </w:pPr>
      <w:r>
        <w:rPr>
          <w:rFonts w:hint="eastAsia"/>
          <w:color w:val="auto"/>
        </w:rPr>
        <w:t>多种形式支持：支持同时存储带展现格式的临床数据以及机器分析需要的结构化数据。</w:t>
      </w:r>
    </w:p>
    <w:p w14:paraId="03F5106A">
      <w:pPr>
        <w:ind w:firstLine="480"/>
        <w:rPr>
          <w:color w:val="auto"/>
        </w:rPr>
      </w:pPr>
      <w:r>
        <w:rPr>
          <w:rFonts w:hint="eastAsia"/>
          <w:color w:val="auto"/>
        </w:rPr>
        <w:t>版本支持：对于需要历史版本支持的数据，可以保存完整的历史版本数据，以便追溯数据的变化。</w:t>
      </w:r>
    </w:p>
    <w:p w14:paraId="3B64E9A4">
      <w:pPr>
        <w:ind w:firstLine="480"/>
        <w:rPr>
          <w:color w:val="auto"/>
        </w:rPr>
      </w:pPr>
      <w:r>
        <w:rPr>
          <w:rFonts w:hint="eastAsia"/>
          <w:color w:val="auto"/>
        </w:rPr>
        <w:t>支持对数据格式、数据内容以及所包含的术语进行数据验证。</w:t>
      </w:r>
    </w:p>
    <w:p w14:paraId="3BFBD652">
      <w:pPr>
        <w:ind w:firstLine="480"/>
        <w:rPr>
          <w:color w:val="auto"/>
        </w:rPr>
      </w:pPr>
      <w:r>
        <w:rPr>
          <w:rFonts w:hint="eastAsia"/>
          <w:color w:val="auto"/>
        </w:rPr>
        <w:t>支持查看任意时间段存入CDR的数据。</w:t>
      </w:r>
    </w:p>
    <w:p w14:paraId="09BB5538">
      <w:pPr>
        <w:ind w:firstLine="480"/>
        <w:rPr>
          <w:rFonts w:hint="eastAsia" w:eastAsia="宋体"/>
          <w:color w:val="auto"/>
          <w:lang w:eastAsia="zh-CN"/>
        </w:rPr>
      </w:pPr>
      <w:r>
        <w:rPr>
          <w:rFonts w:hint="eastAsia"/>
          <w:color w:val="auto"/>
        </w:rPr>
        <w:t>支持根据字典数据的对应关系，将临床数据以指定版本的字典数据输出</w:t>
      </w:r>
      <w:r>
        <w:rPr>
          <w:rFonts w:hint="eastAsia"/>
          <w:color w:val="auto"/>
          <w:lang w:eastAsia="zh-CN"/>
        </w:rPr>
        <w:t>。</w:t>
      </w:r>
    </w:p>
    <w:p w14:paraId="2F9CB2BE">
      <w:pPr>
        <w:ind w:firstLine="480"/>
        <w:rPr>
          <w:rFonts w:hint="eastAsia" w:eastAsia="宋体"/>
          <w:color w:val="auto"/>
          <w:lang w:eastAsia="zh-CN"/>
        </w:rPr>
      </w:pPr>
      <w:r>
        <w:rPr>
          <w:rFonts w:hint="eastAsia"/>
          <w:color w:val="auto"/>
        </w:rPr>
        <w:t>数据输出：提供常用临床数据访问接口实现快速访问CDR</w:t>
      </w:r>
      <w:r>
        <w:rPr>
          <w:rFonts w:hint="eastAsia"/>
          <w:color w:val="auto"/>
          <w:lang w:eastAsia="zh-CN"/>
        </w:rPr>
        <w:t>。</w:t>
      </w:r>
    </w:p>
    <w:p w14:paraId="62A37CA8">
      <w:pPr>
        <w:ind w:firstLine="480"/>
        <w:rPr>
          <w:color w:val="auto"/>
        </w:rPr>
      </w:pPr>
      <w:r>
        <w:rPr>
          <w:rFonts w:hint="eastAsia"/>
          <w:color w:val="auto"/>
        </w:rPr>
        <w:t>统一代码字典库：提供了数据注册服务、数据映射服务。</w:t>
      </w:r>
    </w:p>
    <w:p w14:paraId="7E370428">
      <w:pPr>
        <w:ind w:firstLine="480"/>
        <w:rPr>
          <w:color w:val="auto"/>
        </w:rPr>
      </w:pPr>
      <w:r>
        <w:rPr>
          <w:color w:val="auto"/>
        </w:rPr>
        <w:t>提供CDR文档数据的注册、更新服务</w:t>
      </w:r>
      <w:r>
        <w:rPr>
          <w:rFonts w:hint="eastAsia"/>
          <w:color w:val="auto"/>
        </w:rPr>
        <w:t>。</w:t>
      </w:r>
    </w:p>
    <w:p w14:paraId="2A5186E7">
      <w:pPr>
        <w:ind w:firstLine="480"/>
        <w:rPr>
          <w:color w:val="auto"/>
        </w:rPr>
      </w:pPr>
      <w:r>
        <w:rPr>
          <w:color w:val="auto"/>
        </w:rPr>
        <w:t>提供CDR数据的查询、调阅服务</w:t>
      </w:r>
      <w:r>
        <w:rPr>
          <w:rFonts w:hint="eastAsia"/>
          <w:color w:val="auto"/>
        </w:rPr>
        <w:t>。</w:t>
      </w:r>
    </w:p>
    <w:p w14:paraId="68232E51">
      <w:pPr>
        <w:pStyle w:val="14"/>
        <w:bidi w:val="0"/>
        <w:rPr>
          <w:color w:val="auto"/>
        </w:rPr>
      </w:pPr>
      <w:r>
        <w:rPr>
          <w:rFonts w:hint="eastAsia"/>
          <w:color w:val="auto"/>
          <w:lang w:val="en-US" w:eastAsia="zh-CN"/>
        </w:rPr>
        <w:t xml:space="preserve"> </w:t>
      </w:r>
      <w:r>
        <w:rPr>
          <w:rFonts w:hint="eastAsia"/>
          <w:color w:val="auto"/>
        </w:rPr>
        <w:t>运营数据中心（ODR）</w:t>
      </w:r>
    </w:p>
    <w:p w14:paraId="5277AFAE">
      <w:pPr>
        <w:bidi w:val="0"/>
        <w:rPr>
          <w:rFonts w:hint="default"/>
          <w:color w:val="auto"/>
        </w:rPr>
      </w:pPr>
      <w:r>
        <w:rPr>
          <w:rFonts w:hint="eastAsia"/>
          <w:color w:val="auto"/>
        </w:rPr>
        <w:t>运营数据中心</w:t>
      </w:r>
      <w:r>
        <w:rPr>
          <w:color w:val="auto"/>
        </w:rPr>
        <w:t>‌是医院数据管理的重要组成部分，旨在通过数据治理和信息平台支撑，实现医院运营管理的数字化和精细化。ODR按照</w:t>
      </w:r>
      <w:r>
        <w:rPr>
          <w:rFonts w:hint="default" w:ascii="Arial" w:hAnsi="Arial" w:eastAsia="Arial" w:cs="Arial"/>
          <w:i w:val="0"/>
          <w:iCs w:val="0"/>
          <w:caps w:val="0"/>
          <w:color w:val="auto"/>
          <w:spacing w:val="0"/>
          <w:szCs w:val="19"/>
          <w:u w:val="none"/>
          <w:shd w:val="clear" w:fill="FFFFFF"/>
        </w:rPr>
        <w:t>数据中台</w:t>
      </w:r>
      <w:r>
        <w:rPr>
          <w:rFonts w:hint="default"/>
          <w:color w:val="auto"/>
        </w:rPr>
        <w:t>的技术架构进行建设，实现医院数据的标准化存储和规范化管理，奠定数据资产化管理的基础‌。</w:t>
      </w:r>
    </w:p>
    <w:p w14:paraId="5A11A6F3">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4D39300">
      <w:pPr>
        <w:ind w:firstLine="480"/>
        <w:rPr>
          <w:rFonts w:hint="eastAsia" w:eastAsia="宋体"/>
          <w:color w:val="auto"/>
          <w:lang w:eastAsia="zh-CN"/>
        </w:rPr>
      </w:pPr>
      <w:r>
        <w:rPr>
          <w:color w:val="auto"/>
        </w:rPr>
        <w:t>实现各在线业务系统的数据镜像和集中存储</w:t>
      </w:r>
      <w:r>
        <w:rPr>
          <w:rFonts w:hint="eastAsia"/>
          <w:color w:val="auto"/>
          <w:lang w:eastAsia="zh-CN"/>
        </w:rPr>
        <w:t>；</w:t>
      </w:r>
    </w:p>
    <w:p w14:paraId="4468A17E">
      <w:pPr>
        <w:ind w:firstLine="480"/>
        <w:rPr>
          <w:color w:val="auto"/>
        </w:rPr>
      </w:pPr>
      <w:r>
        <w:rPr>
          <w:color w:val="auto"/>
        </w:rPr>
        <w:t>支持基于日志的结构化数据复制备份，通过解析源数据库在线日志或归档日志获得数据的增量变化，再将这些变化应用到目标数据库，实现源数据库与目标数据库同步；</w:t>
      </w:r>
    </w:p>
    <w:p w14:paraId="123388D2">
      <w:pPr>
        <w:ind w:firstLine="480"/>
        <w:rPr>
          <w:color w:val="auto"/>
        </w:rPr>
      </w:pPr>
      <w:r>
        <w:rPr>
          <w:color w:val="auto"/>
        </w:rPr>
        <w:t>支持在异构的IT基础结构之间实现大量数据亚秒级的实时复制；</w:t>
      </w:r>
    </w:p>
    <w:p w14:paraId="0A29D1D0">
      <w:pPr>
        <w:ind w:firstLine="480"/>
        <w:rPr>
          <w:color w:val="auto"/>
        </w:rPr>
      </w:pPr>
      <w:r>
        <w:rPr>
          <w:color w:val="auto"/>
        </w:rPr>
        <w:t xml:space="preserve">提供可视化的多维数据建模工具。支持按主题定义其相关的主题明细、明细类型、字段名称、对应元数据名称、度量值、计算公式；支持维度及相关属性的定义； </w:t>
      </w:r>
    </w:p>
    <w:p w14:paraId="5325EF02">
      <w:pPr>
        <w:ind w:firstLine="480"/>
        <w:rPr>
          <w:color w:val="auto"/>
        </w:rPr>
      </w:pPr>
      <w:r>
        <w:rPr>
          <w:color w:val="auto"/>
        </w:rPr>
        <w:t>提供指标的访问服务，提供通用的指标访问控制接口供各应用系统使用；</w:t>
      </w:r>
    </w:p>
    <w:p w14:paraId="34900805">
      <w:pPr>
        <w:ind w:firstLine="480"/>
        <w:rPr>
          <w:color w:val="auto"/>
        </w:rPr>
      </w:pPr>
      <w:r>
        <w:rPr>
          <w:color w:val="auto"/>
        </w:rPr>
        <w:t>支持各种数据源，包括数据库、文件系统、Excel、Xml、LDAP、SOAP/WebServcie、CSV文件和RSS等各种数据源。</w:t>
      </w:r>
    </w:p>
    <w:p w14:paraId="665B0C0F">
      <w:pPr>
        <w:ind w:firstLine="480"/>
        <w:rPr>
          <w:color w:val="auto"/>
        </w:rPr>
      </w:pPr>
      <w:r>
        <w:rPr>
          <w:color w:val="auto"/>
        </w:rPr>
        <w:t>支持的数据库包括DB2、Oracle、Mysql、MS SQL Server、Sybase</w:t>
      </w:r>
      <w:r>
        <w:rPr>
          <w:rFonts w:hint="eastAsia"/>
          <w:color w:val="auto"/>
          <w:lang w:val="en-US" w:eastAsia="zh-CN"/>
        </w:rPr>
        <w:t>以及国产化数据库</w:t>
      </w:r>
      <w:r>
        <w:rPr>
          <w:color w:val="auto"/>
        </w:rPr>
        <w:t>等各种主流数据库。</w:t>
      </w:r>
    </w:p>
    <w:p w14:paraId="7E74B2D1">
      <w:pPr>
        <w:ind w:firstLine="480"/>
        <w:rPr>
          <w:color w:val="auto"/>
        </w:rPr>
      </w:pPr>
      <w:r>
        <w:rPr>
          <w:color w:val="auto"/>
        </w:rPr>
        <w:t>运营数据采集：包括医疗收入、医疗工作负荷类、工作效率类、患者负担类、药品管理、资产运营类、科研成果类等。</w:t>
      </w:r>
    </w:p>
    <w:p w14:paraId="284C26EF">
      <w:pPr>
        <w:ind w:firstLine="480"/>
        <w:rPr>
          <w:color w:val="auto"/>
        </w:rPr>
      </w:pPr>
      <w:r>
        <w:rPr>
          <w:color w:val="auto"/>
        </w:rPr>
        <w:t>运营数据存储：支持门急诊业务、住院业务、手术，药品、临床路径、费用、病案、耗材设备信息等结构化数据的存储。</w:t>
      </w:r>
    </w:p>
    <w:p w14:paraId="0534C306">
      <w:pPr>
        <w:ind w:firstLine="480"/>
        <w:rPr>
          <w:color w:val="auto"/>
        </w:rPr>
      </w:pPr>
      <w:r>
        <w:rPr>
          <w:rFonts w:hint="eastAsia"/>
          <w:color w:val="auto"/>
        </w:rPr>
        <w:t>提供核心数据监测指标</w:t>
      </w:r>
    </w:p>
    <w:p w14:paraId="453061BE">
      <w:pPr>
        <w:ind w:firstLine="480"/>
        <w:rPr>
          <w:color w:val="auto"/>
        </w:rPr>
      </w:pPr>
      <w:r>
        <w:rPr>
          <w:rFonts w:hint="eastAsia"/>
          <w:color w:val="auto"/>
        </w:rPr>
        <w:t>1）基本指标包括：门诊候诊人次、已就诊人次、住院开放床位数、住院占用床位数、住院床位占用比例、住院入院人次、住院出院人次、门诊人均药品费、门诊药占比、药占比排名前10医师、床位使用率、床位周转次数、平均开发床位数、出院患者平均住院日等。</w:t>
      </w:r>
    </w:p>
    <w:p w14:paraId="6CFFE11C">
      <w:pPr>
        <w:ind w:firstLine="480"/>
        <w:rPr>
          <w:color w:val="auto"/>
        </w:rPr>
      </w:pPr>
      <w:r>
        <w:rPr>
          <w:rFonts w:hint="eastAsia"/>
          <w:color w:val="auto"/>
        </w:rPr>
        <w:t>2）患者医疗质量与安全指标包括：手术冰冻与石蜡诊断符合例数、恶性肿瘤手术前诊断与术后病理诊断符合例数、住院患者死亡例数、住院患者自动出院例数、住院手术例数、住院手术死亡例数、住院危重抢救例数、住院危重抢死亡例数、急诊科危重抢救例数、急诊科危重抢救死亡例数、新生儿患者住院死亡率、住院重点疾病患者出院例数、住院重点疾病患者死亡例数、住院重点疾病患者死亡率、住院重点疾病患者平均住院天数、住院重点疾病患者平均住院费、住院重点手术患者出院例数、住院重点手术患者死亡例数、住院重点手术患者死亡率、住院重点手术患者平均住院天数、住院重点手术患者平均住院费、输血反应发生率、输液反应发生率。</w:t>
      </w:r>
    </w:p>
    <w:p w14:paraId="7C2406DD">
      <w:pPr>
        <w:ind w:firstLine="480"/>
        <w:rPr>
          <w:color w:val="auto"/>
        </w:rPr>
      </w:pPr>
      <w:r>
        <w:rPr>
          <w:rFonts w:hint="eastAsia"/>
          <w:color w:val="auto"/>
        </w:rPr>
        <w:t xml:space="preserve">3）重症医学治疗监测指标包括：转入例数、呼吸机使用时间、中心静脉导管使用时间、导尿管使用时间、人工气道使用时间、肾代替治疗时间、有创动脉压监测时间、抗菌药物使用率、抗菌药物累计DDDs数、48小时重返率、抢救次数、抢救成功次数、输血人次、使用激素药物人次、使用血液制品药物人次、抗菌药物送检率、预防深静脉血栓天数、总费用、入住天数、手术次数等。 </w:t>
      </w:r>
    </w:p>
    <w:p w14:paraId="7F028C52">
      <w:pPr>
        <w:ind w:firstLine="480"/>
        <w:rPr>
          <w:rFonts w:hint="eastAsia" w:eastAsia="宋体"/>
          <w:color w:val="auto"/>
          <w:lang w:eastAsia="zh-CN"/>
        </w:rPr>
      </w:pPr>
      <w:r>
        <w:rPr>
          <w:rFonts w:hint="eastAsia"/>
          <w:color w:val="auto"/>
        </w:rPr>
        <w:t>4）合理用药监测指标包括门诊基本药物品种数、基本药物百分率(金额)、住院抗菌药物静脉输液率、住院抗菌药物输液使用率、门诊输液率、医疗收入中药品收入比率、门诊药品费、门诊注射处方率、门诊人均处方书、门诊人均药品费用、门诊注射用抗菌药物人次、住院抗菌药物使用总人数、抗菌药物占西药出库总金额比重、抗菌药物费用占药费总额的百分率、特殊级抗菌药物用量百分率、住院人均抗菌药物费用、住院抗菌药物使用量DDD数、住院抗菌药物使用率、同期收治人天数、住院抗菌药物病原学送检例数、住院抗菌药物病原学送检率</w:t>
      </w:r>
      <w:r>
        <w:rPr>
          <w:rFonts w:hint="eastAsia"/>
          <w:color w:val="auto"/>
          <w:lang w:eastAsia="zh-CN"/>
        </w:rPr>
        <w:t>。</w:t>
      </w:r>
    </w:p>
    <w:p w14:paraId="578D0CE0">
      <w:pPr>
        <w:ind w:firstLine="480"/>
        <w:rPr>
          <w:rFonts w:hint="eastAsia" w:eastAsia="宋体"/>
          <w:color w:val="auto"/>
          <w:lang w:eastAsia="zh-CN"/>
        </w:rPr>
      </w:pPr>
      <w:r>
        <w:rPr>
          <w:rFonts w:hint="eastAsia"/>
          <w:color w:val="auto"/>
        </w:rPr>
        <w:t>提供多种形式院长查询主页显示，针对不同职能管理科室定制工作主页，将科室常用的数据集中到主页之中展示</w:t>
      </w:r>
      <w:r>
        <w:rPr>
          <w:rFonts w:hint="eastAsia"/>
          <w:color w:val="auto"/>
          <w:lang w:eastAsia="zh-CN"/>
        </w:rPr>
        <w:t>。</w:t>
      </w:r>
    </w:p>
    <w:p w14:paraId="4D4D87AE">
      <w:pPr>
        <w:pStyle w:val="14"/>
        <w:bidi w:val="0"/>
        <w:rPr>
          <w:color w:val="auto"/>
        </w:rPr>
      </w:pPr>
      <w:r>
        <w:rPr>
          <w:rFonts w:hint="eastAsia"/>
          <w:color w:val="auto"/>
          <w:lang w:val="en-US" w:eastAsia="zh-CN"/>
        </w:rPr>
        <w:t xml:space="preserve"> </w:t>
      </w:r>
      <w:r>
        <w:rPr>
          <w:rFonts w:hint="eastAsia"/>
          <w:color w:val="auto"/>
        </w:rPr>
        <w:t>数据清洗采集ETL</w:t>
      </w:r>
    </w:p>
    <w:p w14:paraId="2063F82B">
      <w:pPr>
        <w:ind w:firstLine="480"/>
        <w:rPr>
          <w:rFonts w:hint="eastAsia" w:eastAsia="宋体"/>
          <w:color w:val="auto"/>
          <w:lang w:eastAsia="zh-CN"/>
        </w:rPr>
      </w:pPr>
      <w:r>
        <w:rPr>
          <w:rFonts w:hint="eastAsia"/>
          <w:color w:val="auto"/>
        </w:rPr>
        <w:t>采用数据仓库技术ETL（Extract-Transform-Load）工具，实现将各业务系统中的生产数据自动抽取转换到数据中心，并经过数据清洗，保证数据的正确性和唯一性</w:t>
      </w:r>
      <w:r>
        <w:rPr>
          <w:rFonts w:hint="eastAsia"/>
          <w:color w:val="auto"/>
          <w:lang w:eastAsia="zh-CN"/>
        </w:rPr>
        <w:t>。</w:t>
      </w:r>
    </w:p>
    <w:p w14:paraId="5D578ACD">
      <w:pPr>
        <w:pStyle w:val="14"/>
        <w:bidi w:val="0"/>
        <w:rPr>
          <w:color w:val="auto"/>
        </w:rPr>
      </w:pPr>
      <w:r>
        <w:rPr>
          <w:rFonts w:hint="eastAsia"/>
          <w:color w:val="auto"/>
          <w:lang w:val="en-US" w:eastAsia="zh-CN"/>
        </w:rPr>
        <w:t xml:space="preserve"> </w:t>
      </w:r>
      <w:r>
        <w:rPr>
          <w:rFonts w:hint="eastAsia"/>
          <w:color w:val="auto"/>
        </w:rPr>
        <w:t>数据质量管理</w:t>
      </w:r>
    </w:p>
    <w:p w14:paraId="32A81A0E">
      <w:pPr>
        <w:ind w:firstLine="480"/>
        <w:rPr>
          <w:rFonts w:hint="eastAsia"/>
          <w:color w:val="auto"/>
        </w:rPr>
      </w:pPr>
      <w:r>
        <w:rPr>
          <w:rFonts w:hint="eastAsia"/>
          <w:color w:val="auto"/>
        </w:rPr>
        <w:t>支持保证数据特征的保持、保持数据业务规则的关联性是指数据脱敏时数据关联性以及业务语义等保持不变、相同的数据进行多次脱敏，或者在不同的系统进行脱敏，需要确保每次脱敏的数据始终保持一致性。</w:t>
      </w:r>
    </w:p>
    <w:p w14:paraId="23D6475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D8ACDDB">
      <w:pPr>
        <w:ind w:firstLine="480"/>
        <w:rPr>
          <w:rFonts w:hint="eastAsia" w:eastAsia="宋体"/>
          <w:color w:val="auto"/>
          <w:lang w:eastAsia="zh-CN"/>
        </w:rPr>
      </w:pPr>
      <w:r>
        <w:rPr>
          <w:rFonts w:hint="eastAsia"/>
          <w:color w:val="auto"/>
        </w:rPr>
        <w:t>对平台的支持：数据抽取工具面对的要求往往是将几十上百个GB的数据在有限的几个小时内完成抽取转换和装载，这种挑战势必要求抽取工具对高性能的硬件和主机提供支持。目前主流的平台包括：Windows、Linux、SUN-Solaris、HP-UX、IBM-AIX、AS/400、OS/390、ScoUnix等</w:t>
      </w:r>
      <w:r>
        <w:rPr>
          <w:rFonts w:hint="eastAsia"/>
          <w:color w:val="auto"/>
          <w:lang w:eastAsia="zh-CN"/>
        </w:rPr>
        <w:t>。</w:t>
      </w:r>
    </w:p>
    <w:p w14:paraId="39DBC1F8">
      <w:pPr>
        <w:ind w:firstLine="480"/>
        <w:rPr>
          <w:rFonts w:hint="eastAsia" w:eastAsia="宋体"/>
          <w:color w:val="auto"/>
          <w:lang w:eastAsia="zh-CN"/>
        </w:rPr>
      </w:pPr>
      <w:r>
        <w:rPr>
          <w:rFonts w:hint="eastAsia"/>
          <w:color w:val="auto"/>
        </w:rPr>
        <w:t>对数据源的支持：需要对项目中可能会遇到的各种数据源及数据源接口类型进行分析，如，针对同一种数据库，使用通用的接口（如ODBC/JDBC）还是原厂商自己的专用接口，数据抽取效率会有很大差别。常见的数据源包括：Oracle、SQLServer、DB2、Informix、Sybase、SAS、Text、Excel、SAP、Peoplesoft</w:t>
      </w:r>
      <w:r>
        <w:rPr>
          <w:rFonts w:hint="eastAsia"/>
          <w:color w:val="auto"/>
          <w:lang w:val="en-US" w:eastAsia="zh-CN"/>
        </w:rPr>
        <w:t>及国产化数据库</w:t>
      </w:r>
      <w:r>
        <w:rPr>
          <w:rFonts w:hint="eastAsia"/>
          <w:color w:val="auto"/>
        </w:rPr>
        <w:t>等</w:t>
      </w:r>
      <w:r>
        <w:rPr>
          <w:rFonts w:hint="eastAsia"/>
          <w:color w:val="auto"/>
          <w:lang w:eastAsia="zh-CN"/>
        </w:rPr>
        <w:t>。</w:t>
      </w:r>
    </w:p>
    <w:p w14:paraId="3EA2FA8D">
      <w:pPr>
        <w:ind w:firstLine="480"/>
        <w:rPr>
          <w:color w:val="auto"/>
        </w:rPr>
      </w:pPr>
      <w:r>
        <w:rPr>
          <w:rFonts w:hint="eastAsia"/>
          <w:color w:val="auto"/>
        </w:rPr>
        <w:t>具备数据转换功能：对抽取到的数据能进行灵活的计算、合并、拆分等，包括：字段映射，映射的自动匹配，字段的拆分，多字段的混合运算，跨异构数据库的关联，自定义函数，多数据类型支持，复杂条件过滤，支持脏读，数据的批量装载，时间类型的转换，对各种码表的支持，环境变量是否可以动态修改，去重复记录，抽取断点，记录间合并或计算，记录拆分、抽取的字段等。</w:t>
      </w:r>
    </w:p>
    <w:p w14:paraId="5BC842AB">
      <w:pPr>
        <w:ind w:firstLine="480"/>
        <w:rPr>
          <w:rFonts w:hint="eastAsia" w:eastAsia="宋体"/>
          <w:color w:val="auto"/>
          <w:lang w:eastAsia="zh-CN"/>
        </w:rPr>
      </w:pPr>
      <w:r>
        <w:rPr>
          <w:rFonts w:hint="eastAsia"/>
          <w:color w:val="auto"/>
        </w:rPr>
        <w:t>具备管理和调度功能：采用多线程、分布式、负载均衡、集中管理等高性能高可靠性与易管理和扩展的多层体系架构，包括：抽取过程的备份与恢复、升级，版本管理，开发和发布，支持统一以及自定义的管理平台，支持时间触发方式，支持事件触发方式，支持命令行执行方式，支持用户对计算机资源的管理和分配，负载均衡，文档的自动生成，调度过程中能否执行其他任务等</w:t>
      </w:r>
      <w:r>
        <w:rPr>
          <w:rFonts w:hint="eastAsia"/>
          <w:color w:val="auto"/>
          <w:lang w:eastAsia="zh-CN"/>
        </w:rPr>
        <w:t>。</w:t>
      </w:r>
    </w:p>
    <w:p w14:paraId="4FE5B623">
      <w:pPr>
        <w:pStyle w:val="14"/>
        <w:bidi w:val="0"/>
        <w:rPr>
          <w:color w:val="auto"/>
        </w:rPr>
      </w:pPr>
      <w:r>
        <w:rPr>
          <w:rFonts w:hint="eastAsia"/>
          <w:color w:val="auto"/>
          <w:lang w:val="en-US" w:eastAsia="zh-CN"/>
        </w:rPr>
        <w:t xml:space="preserve"> </w:t>
      </w:r>
      <w:r>
        <w:rPr>
          <w:rFonts w:hint="eastAsia"/>
          <w:color w:val="auto"/>
        </w:rPr>
        <w:t>医疗流程闭环管理</w:t>
      </w:r>
    </w:p>
    <w:p w14:paraId="53472255">
      <w:pPr>
        <w:ind w:firstLine="480"/>
        <w:rPr>
          <w:color w:val="auto"/>
        </w:rPr>
      </w:pPr>
      <w:r>
        <w:rPr>
          <w:rFonts w:hint="eastAsia"/>
          <w:color w:val="auto"/>
        </w:rPr>
        <w:t>提供门诊、住院病人从建档——挂号缴费——报到——叫号——接诊——就诊完成</w:t>
      </w:r>
      <w:r>
        <w:rPr>
          <w:color w:val="auto"/>
        </w:rPr>
        <w:t>的流程闭环管理，流程节点可定义，能够详细记录执行时间、执行人等信息</w:t>
      </w:r>
      <w:r>
        <w:rPr>
          <w:rFonts w:hint="eastAsia"/>
          <w:color w:val="auto"/>
        </w:rPr>
        <w:t>。</w:t>
      </w:r>
    </w:p>
    <w:p w14:paraId="6C8F2A77">
      <w:pPr>
        <w:pStyle w:val="14"/>
        <w:bidi w:val="0"/>
        <w:rPr>
          <w:color w:val="auto"/>
        </w:rPr>
      </w:pPr>
      <w:r>
        <w:rPr>
          <w:rFonts w:hint="eastAsia"/>
          <w:color w:val="auto"/>
          <w:lang w:val="en-US" w:eastAsia="zh-CN"/>
        </w:rPr>
        <w:t xml:space="preserve"> </w:t>
      </w:r>
      <w:r>
        <w:rPr>
          <w:rFonts w:hint="eastAsia"/>
          <w:color w:val="auto"/>
        </w:rPr>
        <w:t>互联互通交互服务</w:t>
      </w:r>
    </w:p>
    <w:p w14:paraId="7CDF4FCD">
      <w:pPr>
        <w:rPr>
          <w:rFonts w:hint="eastAsia"/>
          <w:color w:val="auto"/>
          <w:lang w:eastAsia="zh-CN"/>
        </w:rPr>
      </w:pPr>
      <w:r>
        <w:rPr>
          <w:rFonts w:hint="eastAsia"/>
          <w:color w:val="auto"/>
        </w:rPr>
        <w:t>不同的系统和服务可以共享数据和资源，并通过统一的接口进行交互和通信。交互服务的主要作用包括促进系统集成和数据共享、提供标准化的接口和协议、确保数据传输的安全性和可靠性</w:t>
      </w:r>
      <w:r>
        <w:rPr>
          <w:rFonts w:hint="eastAsia"/>
          <w:color w:val="auto"/>
          <w:lang w:eastAsia="zh-CN"/>
        </w:rPr>
        <w:t>。</w:t>
      </w:r>
    </w:p>
    <w:p w14:paraId="205E393C">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ascii="Arial" w:hAnsi="Arial" w:eastAsia="Arial" w:cs="Arial"/>
          <w:i w:val="0"/>
          <w:iCs w:val="0"/>
          <w:caps w:val="0"/>
          <w:color w:val="auto"/>
          <w:spacing w:val="0"/>
          <w:sz w:val="19"/>
          <w:szCs w:val="19"/>
          <w:shd w:val="clear" w:fill="FFFFFF"/>
        </w:rPr>
        <w:t>‌</w:t>
      </w:r>
    </w:p>
    <w:p w14:paraId="7CA6E27E">
      <w:pPr>
        <w:bidi w:val="0"/>
        <w:rPr>
          <w:rFonts w:hint="eastAsia" w:ascii="宋体" w:hAnsi="宋体" w:eastAsia="宋体" w:cs="Times New Roman"/>
          <w:b/>
          <w:bCs/>
          <w:color w:val="auto"/>
        </w:rPr>
      </w:pPr>
      <w:bookmarkStart w:id="97" w:name="_Toc153617958"/>
      <w:r>
        <w:rPr>
          <w:rFonts w:hint="eastAsia" w:ascii="宋体" w:hAnsi="宋体" w:eastAsia="宋体" w:cs="Times New Roman"/>
          <w:b/>
          <w:bCs/>
          <w:color w:val="auto"/>
        </w:rPr>
        <w:t>交互服务配置管理</w:t>
      </w:r>
      <w:bookmarkEnd w:id="97"/>
    </w:p>
    <w:p w14:paraId="6FBD7EA5">
      <w:pPr>
        <w:ind w:firstLine="480"/>
        <w:rPr>
          <w:color w:val="auto"/>
        </w:rPr>
      </w:pPr>
      <w:r>
        <w:rPr>
          <w:rFonts w:hint="eastAsia"/>
          <w:color w:val="auto"/>
        </w:rPr>
        <w:t>清晰展示医院集成平台建设情况和工作模式，从以往各系统之间一对一的接口模式改为按总线型统一接入平台模式，降低了全院业务系统的复杂度，从而减轻业务系统的维护成本，系统接口开发难度和工作量，同时打破各业务系统之间的壁垒，构建全院高度统一的信息系统。</w:t>
      </w:r>
    </w:p>
    <w:p w14:paraId="5FED1056">
      <w:pPr>
        <w:ind w:firstLine="480"/>
        <w:rPr>
          <w:color w:val="auto"/>
        </w:rPr>
      </w:pPr>
      <w:r>
        <w:rPr>
          <w:rFonts w:hint="eastAsia"/>
          <w:color w:val="auto"/>
        </w:rPr>
        <w:t>提供平台服务订阅方登记设置，为平台服务分发奠基。</w:t>
      </w:r>
    </w:p>
    <w:p w14:paraId="2CED955C">
      <w:pPr>
        <w:ind w:firstLine="480"/>
        <w:rPr>
          <w:color w:val="auto"/>
        </w:rPr>
      </w:pPr>
      <w:r>
        <w:rPr>
          <w:rFonts w:hint="eastAsia"/>
          <w:color w:val="auto"/>
        </w:rPr>
        <w:t>提供平台交互服务清单功能，服务消息的接受和推送通过启用状态参数来控制服务的启用和关闭，且支持自定义新增交互服务。</w:t>
      </w:r>
    </w:p>
    <w:p w14:paraId="4590C2B1">
      <w:pPr>
        <w:bidi w:val="0"/>
        <w:rPr>
          <w:rFonts w:hint="eastAsia" w:ascii="宋体" w:hAnsi="宋体" w:eastAsia="宋体" w:cs="Times New Roman"/>
          <w:b/>
          <w:bCs/>
          <w:color w:val="auto"/>
        </w:rPr>
      </w:pPr>
      <w:bookmarkStart w:id="98" w:name="_Toc153617959"/>
      <w:r>
        <w:rPr>
          <w:rFonts w:hint="eastAsia" w:ascii="宋体" w:hAnsi="宋体" w:eastAsia="宋体" w:cs="Times New Roman"/>
          <w:b/>
          <w:bCs/>
          <w:color w:val="auto"/>
        </w:rPr>
        <w:t>交互服务订阅管理</w:t>
      </w:r>
      <w:bookmarkEnd w:id="98"/>
    </w:p>
    <w:p w14:paraId="3B20C912">
      <w:pPr>
        <w:ind w:firstLine="480"/>
        <w:rPr>
          <w:color w:val="auto"/>
        </w:rPr>
      </w:pPr>
      <w:r>
        <w:rPr>
          <w:rFonts w:hint="eastAsia"/>
          <w:color w:val="auto"/>
        </w:rPr>
        <w:t>支持平台消息日志设置，通过截取解析消息体内患者相关信息和订阅方相关信息来获取消息流转日志。</w:t>
      </w:r>
    </w:p>
    <w:p w14:paraId="2D167DDF">
      <w:pPr>
        <w:ind w:firstLine="480"/>
        <w:rPr>
          <w:color w:val="auto"/>
        </w:rPr>
      </w:pPr>
      <w:r>
        <w:rPr>
          <w:rFonts w:hint="eastAsia"/>
          <w:color w:val="auto"/>
        </w:rPr>
        <w:t>提供集成平台服务订阅方消息流转日志监控，清晰展示消息唯一号，服务订阅方，服务名称，响应时间等重要信息。方便日志查找，错误排查。</w:t>
      </w:r>
    </w:p>
    <w:p w14:paraId="6EC1E45C">
      <w:pPr>
        <w:pStyle w:val="14"/>
        <w:bidi w:val="0"/>
        <w:rPr>
          <w:color w:val="auto"/>
        </w:rPr>
      </w:pPr>
      <w:r>
        <w:rPr>
          <w:rFonts w:hint="eastAsia"/>
          <w:color w:val="auto"/>
          <w:lang w:val="en-US" w:eastAsia="zh-CN"/>
        </w:rPr>
        <w:t xml:space="preserve"> </w:t>
      </w:r>
      <w:r>
        <w:rPr>
          <w:rFonts w:hint="eastAsia"/>
          <w:color w:val="auto"/>
        </w:rPr>
        <w:t>数据集管理</w:t>
      </w:r>
    </w:p>
    <w:p w14:paraId="19859346">
      <w:pPr>
        <w:ind w:firstLine="480"/>
        <w:rPr>
          <w:color w:val="auto"/>
        </w:rPr>
      </w:pPr>
      <w:r>
        <w:rPr>
          <w:rFonts w:hint="eastAsia"/>
          <w:color w:val="auto"/>
        </w:rPr>
        <w:t>支持数据集标准管理，可根据《电子病历数据集数据元》标准定义数据类型，也可根据院内需要自行增加或修改数据集标准，并支持加密数据集内容。支持数据集值域范围按照国标值域范围进行存储。</w:t>
      </w:r>
    </w:p>
    <w:p w14:paraId="11651747">
      <w:pPr>
        <w:pStyle w:val="14"/>
        <w:bidi w:val="0"/>
        <w:rPr>
          <w:color w:val="auto"/>
        </w:rPr>
      </w:pPr>
      <w:r>
        <w:rPr>
          <w:rFonts w:hint="eastAsia"/>
          <w:color w:val="auto"/>
          <w:lang w:val="en-US" w:eastAsia="zh-CN"/>
        </w:rPr>
        <w:t xml:space="preserve"> </w:t>
      </w:r>
      <w:r>
        <w:rPr>
          <w:rFonts w:hint="eastAsia"/>
          <w:color w:val="auto"/>
        </w:rPr>
        <w:t>共享文档管理</w:t>
      </w:r>
    </w:p>
    <w:p w14:paraId="60BB05C7">
      <w:pPr>
        <w:ind w:firstLine="480"/>
        <w:rPr>
          <w:rFonts w:hint="eastAsia"/>
          <w:color w:val="auto"/>
          <w:lang w:eastAsia="zh-CN"/>
        </w:rPr>
      </w:pPr>
      <w:r>
        <w:rPr>
          <w:rFonts w:hint="default"/>
          <w:color w:val="auto"/>
        </w:rPr>
        <w:t>共享文档管理‌是指通过数据平台技术，实现文档的集中存储、高效管理和安全共享</w:t>
      </w:r>
      <w:r>
        <w:rPr>
          <w:rFonts w:hint="eastAsia"/>
          <w:color w:val="auto"/>
          <w:lang w:eastAsia="zh-CN"/>
        </w:rPr>
        <w:t>。</w:t>
      </w:r>
    </w:p>
    <w:p w14:paraId="690B7A47">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lang w:eastAsia="zh-CN"/>
        </w:rPr>
      </w:pPr>
      <w:r>
        <w:rPr>
          <w:rFonts w:hint="eastAsia" w:ascii="宋体" w:hAnsi="宋体" w:eastAsia="宋体" w:cs="宋体"/>
          <w:color w:val="auto"/>
          <w:kern w:val="2"/>
          <w:sz w:val="24"/>
          <w:szCs w:val="24"/>
          <w:highlight w:val="none"/>
          <w:lang w:val="en-US" w:eastAsia="zh-CN" w:bidi="ar"/>
        </w:rPr>
        <w:t>具体功能包括但不限于以下：</w:t>
      </w:r>
    </w:p>
    <w:p w14:paraId="12CD2321">
      <w:pPr>
        <w:ind w:firstLine="480"/>
        <w:rPr>
          <w:color w:val="auto"/>
        </w:rPr>
      </w:pPr>
      <w:r>
        <w:rPr>
          <w:rFonts w:hint="eastAsia"/>
          <w:color w:val="auto"/>
        </w:rPr>
        <w:t>提供共享文档生成功能，用于生成患者的数据集、C</w:t>
      </w:r>
      <w:r>
        <w:rPr>
          <w:color w:val="auto"/>
        </w:rPr>
        <w:t>DA</w:t>
      </w:r>
      <w:r>
        <w:rPr>
          <w:rFonts w:hint="eastAsia"/>
          <w:color w:val="auto"/>
        </w:rPr>
        <w:t>。</w:t>
      </w:r>
    </w:p>
    <w:p w14:paraId="133FAF42">
      <w:pPr>
        <w:ind w:firstLine="480"/>
        <w:rPr>
          <w:color w:val="auto"/>
        </w:rPr>
      </w:pPr>
      <w:r>
        <w:rPr>
          <w:rFonts w:hint="eastAsia"/>
          <w:color w:val="auto"/>
        </w:rPr>
        <w:t>提供共享文档概览功能，用于查看5</w:t>
      </w:r>
      <w:r>
        <w:rPr>
          <w:color w:val="auto"/>
        </w:rPr>
        <w:t>3</w:t>
      </w:r>
      <w:r>
        <w:rPr>
          <w:rFonts w:hint="eastAsia"/>
          <w:color w:val="auto"/>
        </w:rPr>
        <w:t>个数据集。</w:t>
      </w:r>
    </w:p>
    <w:p w14:paraId="0863A6BB">
      <w:pPr>
        <w:ind w:firstLine="480"/>
        <w:rPr>
          <w:color w:val="auto"/>
        </w:rPr>
      </w:pPr>
      <w:r>
        <w:rPr>
          <w:rFonts w:hint="eastAsia"/>
          <w:color w:val="auto"/>
        </w:rPr>
        <w:t>提供共享文档检索功能，用于查询、查看、下载、生成患者共享文档。</w:t>
      </w:r>
    </w:p>
    <w:p w14:paraId="20ADEE52">
      <w:pPr>
        <w:ind w:firstLine="480"/>
        <w:rPr>
          <w:color w:val="auto"/>
        </w:rPr>
      </w:pPr>
      <w:r>
        <w:rPr>
          <w:color w:val="auto"/>
        </w:rPr>
        <w:t>能够按照HL7、V3标准生成共享文档</w:t>
      </w:r>
      <w:r>
        <w:rPr>
          <w:rFonts w:hint="eastAsia"/>
          <w:color w:val="auto"/>
        </w:rPr>
        <w:t>。</w:t>
      </w:r>
    </w:p>
    <w:p w14:paraId="46936423">
      <w:pPr>
        <w:pStyle w:val="14"/>
        <w:bidi w:val="0"/>
        <w:rPr>
          <w:color w:val="auto"/>
        </w:rPr>
      </w:pPr>
      <w:r>
        <w:rPr>
          <w:rFonts w:hint="eastAsia"/>
          <w:color w:val="auto"/>
          <w:lang w:val="en-US" w:eastAsia="zh-CN"/>
        </w:rPr>
        <w:t xml:space="preserve"> </w:t>
      </w:r>
      <w:r>
        <w:rPr>
          <w:rFonts w:hint="eastAsia"/>
          <w:color w:val="auto"/>
        </w:rPr>
        <w:t>患者全息视图</w:t>
      </w:r>
    </w:p>
    <w:p w14:paraId="3F2E602B">
      <w:pPr>
        <w:ind w:firstLine="480"/>
        <w:rPr>
          <w:color w:val="auto"/>
        </w:rPr>
      </w:pPr>
      <w:r>
        <w:rPr>
          <w:rFonts w:hint="eastAsia"/>
          <w:color w:val="auto"/>
        </w:rPr>
        <w:t>患者全息视图</w:t>
      </w:r>
      <w:r>
        <w:rPr>
          <w:rFonts w:hint="eastAsia"/>
          <w:color w:val="auto"/>
          <w:lang w:val="en-US" w:eastAsia="zh-CN"/>
        </w:rPr>
        <w:t>可</w:t>
      </w:r>
      <w:r>
        <w:rPr>
          <w:color w:val="auto"/>
        </w:rPr>
        <w:t>将患者当前和既往的全部门急诊就诊记录、住院病史、影像检查、检验结果、心电图及扫描文档等信息整合在一个界面里面。</w:t>
      </w:r>
    </w:p>
    <w:p w14:paraId="010670B1">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2133E19">
      <w:pPr>
        <w:ind w:firstLine="480"/>
        <w:rPr>
          <w:color w:val="auto"/>
        </w:rPr>
      </w:pPr>
      <w:r>
        <w:rPr>
          <w:rFonts w:hint="eastAsia"/>
          <w:color w:val="auto"/>
        </w:rPr>
        <w:t>提供查阅历次就诊医疗记录的功能，包含门诊、住院、体检。</w:t>
      </w:r>
    </w:p>
    <w:p w14:paraId="398E479B">
      <w:pPr>
        <w:ind w:firstLine="480"/>
        <w:rPr>
          <w:color w:val="auto"/>
        </w:rPr>
      </w:pPr>
      <w:r>
        <w:rPr>
          <w:color w:val="auto"/>
        </w:rPr>
        <w:t>集中显示患者既往疾病诊断、既往手术室史、药物过敏史、不良反应史</w:t>
      </w:r>
      <w:r>
        <w:rPr>
          <w:rFonts w:hint="eastAsia"/>
          <w:color w:val="auto"/>
        </w:rPr>
        <w:t>。</w:t>
      </w:r>
    </w:p>
    <w:p w14:paraId="6B6B92D1">
      <w:pPr>
        <w:ind w:firstLine="480"/>
        <w:rPr>
          <w:color w:val="auto"/>
        </w:rPr>
      </w:pPr>
      <w:r>
        <w:rPr>
          <w:color w:val="auto"/>
        </w:rPr>
        <w:t>提供查阅各类检查、检验报告，检验项目提供参考值，突出显示超出范围值的结果；有同类历史检验项目的，提供图形化比较展现；</w:t>
      </w:r>
    </w:p>
    <w:p w14:paraId="3FEE9784">
      <w:pPr>
        <w:ind w:firstLine="480"/>
        <w:rPr>
          <w:color w:val="auto"/>
        </w:rPr>
      </w:pPr>
      <w:r>
        <w:rPr>
          <w:color w:val="auto"/>
        </w:rPr>
        <w:t>集成影像展现功能；</w:t>
      </w:r>
    </w:p>
    <w:p w14:paraId="0F95CE45">
      <w:pPr>
        <w:ind w:firstLine="480"/>
        <w:rPr>
          <w:color w:val="auto"/>
        </w:rPr>
      </w:pPr>
      <w:r>
        <w:rPr>
          <w:color w:val="auto"/>
        </w:rPr>
        <w:t>提供查阅各类检查、检验执行状态的查询；</w:t>
      </w:r>
    </w:p>
    <w:p w14:paraId="69CD4A96">
      <w:pPr>
        <w:ind w:firstLine="480"/>
        <w:rPr>
          <w:color w:val="auto"/>
        </w:rPr>
      </w:pPr>
      <w:r>
        <w:rPr>
          <w:color w:val="auto"/>
        </w:rPr>
        <w:t>图表化展示生命体征和监护数据；</w:t>
      </w:r>
    </w:p>
    <w:p w14:paraId="3142EE84">
      <w:pPr>
        <w:ind w:firstLine="480"/>
        <w:rPr>
          <w:color w:val="auto"/>
        </w:rPr>
      </w:pPr>
      <w:r>
        <w:rPr>
          <w:color w:val="auto"/>
        </w:rPr>
        <w:t>集成视图提供完善、丰富的调用接口，供业务系统集成使用；</w:t>
      </w:r>
    </w:p>
    <w:p w14:paraId="0CA1257D">
      <w:pPr>
        <w:ind w:firstLine="480"/>
        <w:rPr>
          <w:color w:val="auto"/>
        </w:rPr>
      </w:pPr>
      <w:r>
        <w:rPr>
          <w:color w:val="auto"/>
        </w:rPr>
        <w:t>提供所有病历文档的浏览；</w:t>
      </w:r>
    </w:p>
    <w:p w14:paraId="40A478E6">
      <w:pPr>
        <w:ind w:firstLine="480"/>
        <w:rPr>
          <w:color w:val="auto"/>
        </w:rPr>
      </w:pPr>
      <w:r>
        <w:rPr>
          <w:color w:val="auto"/>
        </w:rPr>
        <w:t>提供各类闭环展示；</w:t>
      </w:r>
    </w:p>
    <w:p w14:paraId="1C6BDB41">
      <w:pPr>
        <w:ind w:firstLine="480"/>
        <w:rPr>
          <w:color w:val="auto"/>
        </w:rPr>
      </w:pPr>
      <w:r>
        <w:rPr>
          <w:color w:val="auto"/>
        </w:rPr>
        <w:t>根据用户角色类型自定义隐私权限配置，对360视图浏览时做隐私控制，防止患者敏感数据外泄</w:t>
      </w:r>
      <w:r>
        <w:rPr>
          <w:rFonts w:hint="eastAsia"/>
          <w:color w:val="auto"/>
        </w:rPr>
        <w:t>。</w:t>
      </w:r>
    </w:p>
    <w:p w14:paraId="248D03AF">
      <w:pPr>
        <w:ind w:firstLine="480"/>
        <w:rPr>
          <w:color w:val="auto"/>
        </w:rPr>
      </w:pPr>
      <w:r>
        <w:rPr>
          <w:rFonts w:hint="eastAsia"/>
          <w:color w:val="auto"/>
        </w:rPr>
        <w:t>提供能够使用信息平台中的患者注册服务来检索患者信息的功能。</w:t>
      </w:r>
    </w:p>
    <w:p w14:paraId="5ED66A98">
      <w:pPr>
        <w:ind w:firstLine="480"/>
        <w:rPr>
          <w:color w:val="auto"/>
        </w:rPr>
      </w:pPr>
      <w:r>
        <w:rPr>
          <w:rFonts w:hint="eastAsia"/>
          <w:color w:val="auto"/>
        </w:rPr>
        <w:t>提供不同方式的视图，如按日期、按服务提供者、按服务地点排序的按事件访问患者电子病历，或者按视图中展现的特定域来访问电子病历。</w:t>
      </w:r>
    </w:p>
    <w:p w14:paraId="7EEF0B1B">
      <w:pPr>
        <w:ind w:firstLine="480"/>
        <w:rPr>
          <w:color w:val="auto"/>
        </w:rPr>
      </w:pPr>
      <w:r>
        <w:rPr>
          <w:rFonts w:hint="eastAsia"/>
          <w:color w:val="auto"/>
        </w:rPr>
        <w:t>提供医师在患者就诊期间或在就诊的上下文环境中获得对患者健康记录的访问。</w:t>
      </w:r>
    </w:p>
    <w:p w14:paraId="1C09909F">
      <w:pPr>
        <w:ind w:firstLine="480"/>
        <w:rPr>
          <w:color w:val="auto"/>
        </w:rPr>
      </w:pPr>
      <w:r>
        <w:rPr>
          <w:rFonts w:hint="eastAsia"/>
          <w:color w:val="auto"/>
        </w:rPr>
        <w:t>可查阅检查报告：患者的RIS/PACS检查的文字报告、影像报告。</w:t>
      </w:r>
    </w:p>
    <w:p w14:paraId="54C12778">
      <w:pPr>
        <w:ind w:firstLine="480"/>
        <w:rPr>
          <w:rFonts w:hint="eastAsia" w:eastAsia="宋体"/>
          <w:color w:val="auto"/>
          <w:lang w:eastAsia="zh-CN"/>
        </w:rPr>
      </w:pPr>
      <w:r>
        <w:rPr>
          <w:rFonts w:hint="eastAsia"/>
          <w:color w:val="auto"/>
        </w:rPr>
        <w:t>可查看检查影像图：除影像报告以外，患者的原始影像图也可以查看</w:t>
      </w:r>
      <w:r>
        <w:rPr>
          <w:rFonts w:hint="eastAsia"/>
          <w:color w:val="auto"/>
          <w:lang w:eastAsia="zh-CN"/>
        </w:rPr>
        <w:t>。</w:t>
      </w:r>
    </w:p>
    <w:p w14:paraId="7C401804">
      <w:pPr>
        <w:ind w:firstLine="480"/>
        <w:rPr>
          <w:color w:val="auto"/>
        </w:rPr>
      </w:pPr>
      <w:r>
        <w:rPr>
          <w:rFonts w:hint="eastAsia"/>
          <w:color w:val="auto"/>
        </w:rPr>
        <w:t>支持查看患者的LIS报告记录，支持多次检验报告的对比等功能。</w:t>
      </w:r>
    </w:p>
    <w:p w14:paraId="0B205661">
      <w:pPr>
        <w:ind w:firstLine="480"/>
        <w:rPr>
          <w:color w:val="auto"/>
        </w:rPr>
      </w:pPr>
      <w:r>
        <w:rPr>
          <w:rFonts w:hint="eastAsia"/>
          <w:color w:val="auto"/>
        </w:rPr>
        <w:t>支持查看患者在院的所有的体检报告记录。</w:t>
      </w:r>
    </w:p>
    <w:p w14:paraId="70A5BF10">
      <w:pPr>
        <w:ind w:firstLine="480"/>
        <w:rPr>
          <w:color w:val="auto"/>
        </w:rPr>
      </w:pPr>
      <w:r>
        <w:rPr>
          <w:rFonts w:hint="eastAsia"/>
          <w:color w:val="auto"/>
        </w:rPr>
        <w:t>支持查看患者历次在院的住院长期医嘱记录。</w:t>
      </w:r>
    </w:p>
    <w:p w14:paraId="625E885A">
      <w:pPr>
        <w:ind w:firstLine="480"/>
        <w:rPr>
          <w:color w:val="auto"/>
        </w:rPr>
      </w:pPr>
      <w:r>
        <w:rPr>
          <w:rFonts w:hint="eastAsia"/>
          <w:color w:val="auto"/>
        </w:rPr>
        <w:t>支持查看患者历次在院的住院临时医嘱记录。</w:t>
      </w:r>
    </w:p>
    <w:p w14:paraId="5119AB14">
      <w:pPr>
        <w:ind w:firstLine="480"/>
        <w:rPr>
          <w:color w:val="auto"/>
        </w:rPr>
      </w:pPr>
      <w:r>
        <w:rPr>
          <w:rFonts w:hint="eastAsia"/>
          <w:color w:val="auto"/>
        </w:rPr>
        <w:t>支持查看患者在院的门诊处方记录，用药、治疗、检查化验等。</w:t>
      </w:r>
    </w:p>
    <w:p w14:paraId="7C411D44">
      <w:pPr>
        <w:ind w:firstLine="480"/>
        <w:rPr>
          <w:color w:val="auto"/>
        </w:rPr>
      </w:pPr>
      <w:r>
        <w:rPr>
          <w:rFonts w:hint="eastAsia"/>
          <w:color w:val="auto"/>
        </w:rPr>
        <w:t>支持查看患者历次在院的手术记录，手术时间、名称等。</w:t>
      </w:r>
    </w:p>
    <w:p w14:paraId="360E465C">
      <w:pPr>
        <w:ind w:firstLine="480"/>
        <w:rPr>
          <w:color w:val="auto"/>
        </w:rPr>
      </w:pPr>
      <w:r>
        <w:rPr>
          <w:rFonts w:hint="eastAsia"/>
          <w:color w:val="auto"/>
        </w:rPr>
        <w:t>支持查看患者历次在院的过敏记录。</w:t>
      </w:r>
    </w:p>
    <w:p w14:paraId="7C7C341D">
      <w:pPr>
        <w:ind w:firstLine="480"/>
        <w:rPr>
          <w:color w:val="auto"/>
        </w:rPr>
      </w:pPr>
      <w:r>
        <w:rPr>
          <w:rFonts w:hint="eastAsia"/>
          <w:color w:val="auto"/>
        </w:rPr>
        <w:t>支持查看患者在院的门诊住院诊断记录，诊断名称、时间。</w:t>
      </w:r>
    </w:p>
    <w:p w14:paraId="398ADE97">
      <w:pPr>
        <w:ind w:firstLine="480"/>
        <w:rPr>
          <w:color w:val="auto"/>
        </w:rPr>
      </w:pPr>
      <w:r>
        <w:rPr>
          <w:rFonts w:hint="eastAsia"/>
          <w:color w:val="auto"/>
        </w:rPr>
        <w:t>支持按照时间的表格，将患者的不同的就诊业务呈现出来。</w:t>
      </w:r>
    </w:p>
    <w:p w14:paraId="45522E72">
      <w:pPr>
        <w:pStyle w:val="14"/>
        <w:bidi w:val="0"/>
        <w:rPr>
          <w:color w:val="auto"/>
        </w:rPr>
      </w:pPr>
      <w:r>
        <w:rPr>
          <w:rFonts w:hint="eastAsia"/>
          <w:color w:val="auto"/>
          <w:lang w:val="en-US" w:eastAsia="zh-CN"/>
        </w:rPr>
        <w:t xml:space="preserve"> </w:t>
      </w:r>
      <w:r>
        <w:rPr>
          <w:rFonts w:hint="eastAsia"/>
          <w:color w:val="auto"/>
        </w:rPr>
        <w:t>数据挖掘分析BI</w:t>
      </w:r>
    </w:p>
    <w:p w14:paraId="6998EEC6">
      <w:pPr>
        <w:bidi w:val="0"/>
        <w:rPr>
          <w:rFonts w:hint="eastAsia"/>
          <w:color w:val="auto"/>
          <w:lang w:eastAsia="zh-CN"/>
        </w:rPr>
      </w:pPr>
      <w:r>
        <w:rPr>
          <w:color w:val="auto"/>
        </w:rPr>
        <w:t>通过数据挖掘技术和商业智能（BI）工具，从大量数据中提取有价值的信息和见解，以支持企业决策、提高运营效率、预测未来趋势的过程</w:t>
      </w:r>
      <w:r>
        <w:rPr>
          <w:rFonts w:hint="eastAsia"/>
          <w:color w:val="auto"/>
          <w:lang w:eastAsia="zh-CN"/>
        </w:rPr>
        <w:t>。</w:t>
      </w:r>
    </w:p>
    <w:p w14:paraId="35C45168">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lang w:eastAsia="zh-CN"/>
        </w:rPr>
      </w:pPr>
      <w:r>
        <w:rPr>
          <w:rFonts w:hint="eastAsia" w:ascii="宋体" w:hAnsi="宋体" w:eastAsia="宋体" w:cs="宋体"/>
          <w:color w:val="auto"/>
          <w:kern w:val="2"/>
          <w:sz w:val="24"/>
          <w:szCs w:val="24"/>
          <w:highlight w:val="none"/>
          <w:lang w:val="en-US" w:eastAsia="zh-CN" w:bidi="ar"/>
        </w:rPr>
        <w:t>具体功能包括但不限于以下：</w:t>
      </w:r>
    </w:p>
    <w:p w14:paraId="0B8E1399">
      <w:pPr>
        <w:bidi w:val="0"/>
        <w:rPr>
          <w:b/>
          <w:bCs/>
          <w:color w:val="auto"/>
        </w:rPr>
      </w:pPr>
      <w:bookmarkStart w:id="99" w:name="_Toc153618534"/>
      <w:r>
        <w:rPr>
          <w:rFonts w:hint="eastAsia"/>
          <w:b/>
          <w:bCs/>
          <w:color w:val="auto"/>
        </w:rPr>
        <w:t>图表设计</w:t>
      </w:r>
      <w:bookmarkEnd w:id="99"/>
    </w:p>
    <w:p w14:paraId="75B73F50">
      <w:pPr>
        <w:pStyle w:val="94"/>
        <w:numPr>
          <w:ilvl w:val="0"/>
          <w:numId w:val="15"/>
        </w:numPr>
        <w:ind w:left="0" w:firstLine="480"/>
        <w:rPr>
          <w:color w:val="auto"/>
          <w:sz w:val="24"/>
          <w:szCs w:val="24"/>
        </w:rPr>
      </w:pPr>
      <w:r>
        <w:rPr>
          <w:rFonts w:hint="eastAsia"/>
          <w:color w:val="auto"/>
          <w:sz w:val="24"/>
          <w:szCs w:val="24"/>
        </w:rPr>
        <w:t>支持图表模板导出、导入。</w:t>
      </w:r>
    </w:p>
    <w:p w14:paraId="6BD9FD55">
      <w:pPr>
        <w:pStyle w:val="94"/>
        <w:numPr>
          <w:ilvl w:val="0"/>
          <w:numId w:val="15"/>
        </w:numPr>
        <w:ind w:left="0" w:firstLine="480"/>
        <w:rPr>
          <w:color w:val="auto"/>
          <w:sz w:val="24"/>
          <w:szCs w:val="24"/>
        </w:rPr>
      </w:pPr>
      <w:r>
        <w:rPr>
          <w:rFonts w:hint="eastAsia"/>
          <w:color w:val="auto"/>
          <w:sz w:val="24"/>
          <w:szCs w:val="24"/>
        </w:rPr>
        <w:t>支持标签、矩形、线条、图表、表格、选项卡、下拉框、按钮、日期、实时时间、进度条、页面等多种控件库内容。</w:t>
      </w:r>
    </w:p>
    <w:p w14:paraId="141D17BE">
      <w:pPr>
        <w:pStyle w:val="94"/>
        <w:numPr>
          <w:ilvl w:val="0"/>
          <w:numId w:val="15"/>
        </w:numPr>
        <w:ind w:left="0" w:firstLine="480"/>
        <w:rPr>
          <w:color w:val="auto"/>
          <w:sz w:val="24"/>
          <w:szCs w:val="24"/>
        </w:rPr>
      </w:pPr>
      <w:r>
        <w:rPr>
          <w:rFonts w:hint="eastAsia"/>
          <w:color w:val="auto"/>
          <w:sz w:val="24"/>
          <w:szCs w:val="24"/>
        </w:rPr>
        <w:t>支持通过拖拽式的方式将控件库内容添加到图表中。</w:t>
      </w:r>
    </w:p>
    <w:p w14:paraId="001B76C8">
      <w:pPr>
        <w:pStyle w:val="94"/>
        <w:numPr>
          <w:ilvl w:val="0"/>
          <w:numId w:val="15"/>
        </w:numPr>
        <w:ind w:left="0" w:firstLine="480"/>
        <w:rPr>
          <w:color w:val="auto"/>
          <w:sz w:val="24"/>
          <w:szCs w:val="24"/>
        </w:rPr>
      </w:pPr>
      <w:r>
        <w:rPr>
          <w:rFonts w:hint="eastAsia"/>
          <w:color w:val="auto"/>
          <w:sz w:val="24"/>
          <w:szCs w:val="24"/>
        </w:rPr>
        <w:t>支持展开、折叠、隐藏控件内容。</w:t>
      </w:r>
    </w:p>
    <w:p w14:paraId="12092ED3">
      <w:pPr>
        <w:pStyle w:val="94"/>
        <w:numPr>
          <w:ilvl w:val="0"/>
          <w:numId w:val="15"/>
        </w:numPr>
        <w:ind w:left="0" w:firstLine="480"/>
        <w:rPr>
          <w:color w:val="auto"/>
          <w:sz w:val="24"/>
          <w:szCs w:val="24"/>
        </w:rPr>
      </w:pPr>
      <w:r>
        <w:rPr>
          <w:color w:val="auto"/>
          <w:sz w:val="24"/>
          <w:szCs w:val="24"/>
        </w:rPr>
        <w:t>支持对图表文字颜色、大小进行设置。</w:t>
      </w:r>
    </w:p>
    <w:p w14:paraId="13378DCC">
      <w:pPr>
        <w:pStyle w:val="94"/>
        <w:numPr>
          <w:ilvl w:val="0"/>
          <w:numId w:val="15"/>
        </w:numPr>
        <w:ind w:left="0" w:firstLine="480"/>
        <w:rPr>
          <w:color w:val="auto"/>
          <w:sz w:val="24"/>
          <w:szCs w:val="24"/>
        </w:rPr>
      </w:pPr>
      <w:r>
        <w:rPr>
          <w:rFonts w:hint="eastAsia"/>
          <w:color w:val="auto"/>
          <w:sz w:val="24"/>
          <w:szCs w:val="24"/>
        </w:rPr>
        <w:t>支持对控件对齐、等宽、等高、等距进行设置。</w:t>
      </w:r>
    </w:p>
    <w:p w14:paraId="1FF191FE">
      <w:pPr>
        <w:pStyle w:val="94"/>
        <w:numPr>
          <w:ilvl w:val="0"/>
          <w:numId w:val="15"/>
        </w:numPr>
        <w:ind w:left="0" w:firstLine="480"/>
        <w:rPr>
          <w:color w:val="auto"/>
          <w:sz w:val="24"/>
          <w:szCs w:val="24"/>
        </w:rPr>
      </w:pPr>
      <w:r>
        <w:rPr>
          <w:rFonts w:hint="eastAsia"/>
          <w:color w:val="auto"/>
          <w:sz w:val="24"/>
          <w:szCs w:val="24"/>
        </w:rPr>
        <w:t>支持显示画布标尺、参考线。</w:t>
      </w:r>
    </w:p>
    <w:p w14:paraId="2020FDA0">
      <w:pPr>
        <w:pStyle w:val="94"/>
        <w:numPr>
          <w:ilvl w:val="0"/>
          <w:numId w:val="15"/>
        </w:numPr>
        <w:ind w:left="0" w:firstLine="480"/>
        <w:rPr>
          <w:color w:val="auto"/>
          <w:sz w:val="24"/>
          <w:szCs w:val="24"/>
        </w:rPr>
      </w:pPr>
      <w:r>
        <w:rPr>
          <w:rFonts w:hint="eastAsia"/>
          <w:color w:val="auto"/>
          <w:sz w:val="24"/>
          <w:szCs w:val="24"/>
        </w:rPr>
        <w:t>支持对画布尺寸的宽、高进行设置，可选择固定尺寸、自适应宽度并保持长宽比。</w:t>
      </w:r>
    </w:p>
    <w:p w14:paraId="3EE0A439">
      <w:pPr>
        <w:pStyle w:val="94"/>
        <w:numPr>
          <w:ilvl w:val="0"/>
          <w:numId w:val="15"/>
        </w:numPr>
        <w:ind w:left="0" w:firstLine="480"/>
        <w:rPr>
          <w:color w:val="auto"/>
          <w:sz w:val="24"/>
          <w:szCs w:val="24"/>
        </w:rPr>
      </w:pPr>
      <w:r>
        <w:rPr>
          <w:rFonts w:hint="eastAsia"/>
          <w:color w:val="auto"/>
          <w:sz w:val="24"/>
          <w:szCs w:val="24"/>
        </w:rPr>
        <w:t>支持对画布背景色进行设置，可选择跟随系统主题色，主题填充可选择颜色、图片、渐变色。</w:t>
      </w:r>
    </w:p>
    <w:p w14:paraId="17CC30A5">
      <w:pPr>
        <w:pStyle w:val="94"/>
        <w:numPr>
          <w:ilvl w:val="0"/>
          <w:numId w:val="15"/>
        </w:numPr>
        <w:ind w:left="0" w:firstLine="480"/>
        <w:rPr>
          <w:color w:val="auto"/>
          <w:sz w:val="24"/>
          <w:szCs w:val="24"/>
        </w:rPr>
      </w:pPr>
      <w:r>
        <w:rPr>
          <w:rFonts w:hint="eastAsia"/>
          <w:color w:val="auto"/>
          <w:sz w:val="24"/>
          <w:szCs w:val="24"/>
        </w:rPr>
        <w:t>支持对系统主题进行设置，可选择默认主题模板以及自定义主题模板。</w:t>
      </w:r>
    </w:p>
    <w:p w14:paraId="491BE084">
      <w:pPr>
        <w:pStyle w:val="94"/>
        <w:numPr>
          <w:ilvl w:val="0"/>
          <w:numId w:val="15"/>
        </w:numPr>
        <w:ind w:left="0" w:firstLine="480"/>
        <w:rPr>
          <w:color w:val="auto"/>
          <w:sz w:val="24"/>
          <w:szCs w:val="24"/>
        </w:rPr>
      </w:pPr>
      <w:r>
        <w:rPr>
          <w:color w:val="auto"/>
          <w:sz w:val="24"/>
          <w:szCs w:val="24"/>
        </w:rPr>
        <w:t>支持对全局参数进行设置</w:t>
      </w:r>
      <w:r>
        <w:rPr>
          <w:rFonts w:hint="eastAsia"/>
          <w:color w:val="auto"/>
          <w:sz w:val="24"/>
          <w:szCs w:val="24"/>
        </w:rPr>
        <w:t>，可查看固定参数名和参数说明</w:t>
      </w:r>
      <w:r>
        <w:rPr>
          <w:color w:val="auto"/>
          <w:sz w:val="24"/>
          <w:szCs w:val="24"/>
        </w:rPr>
        <w:t>。</w:t>
      </w:r>
    </w:p>
    <w:p w14:paraId="3846A84F">
      <w:pPr>
        <w:pStyle w:val="94"/>
        <w:numPr>
          <w:ilvl w:val="0"/>
          <w:numId w:val="15"/>
        </w:numPr>
        <w:ind w:left="0" w:firstLine="480"/>
        <w:rPr>
          <w:color w:val="auto"/>
          <w:sz w:val="24"/>
          <w:szCs w:val="24"/>
        </w:rPr>
      </w:pPr>
      <w:r>
        <w:rPr>
          <w:rFonts w:hint="eastAsia"/>
          <w:color w:val="auto"/>
          <w:sz w:val="24"/>
          <w:szCs w:val="24"/>
        </w:rPr>
        <w:t>支持自定义全局参数，可进行代码编辑以及填写说明，可支持内容格式化。</w:t>
      </w:r>
    </w:p>
    <w:p w14:paraId="17225D78">
      <w:pPr>
        <w:pStyle w:val="94"/>
        <w:numPr>
          <w:ilvl w:val="0"/>
          <w:numId w:val="15"/>
        </w:numPr>
        <w:ind w:left="0" w:firstLine="480"/>
        <w:rPr>
          <w:color w:val="auto"/>
          <w:sz w:val="24"/>
          <w:szCs w:val="24"/>
        </w:rPr>
      </w:pPr>
      <w:r>
        <w:rPr>
          <w:rFonts w:hint="eastAsia"/>
          <w:color w:val="auto"/>
          <w:sz w:val="24"/>
          <w:szCs w:val="24"/>
        </w:rPr>
        <w:t>支持对文本控件的容器属性进行设置，可查看层级、组件I</w:t>
      </w:r>
      <w:r>
        <w:rPr>
          <w:color w:val="auto"/>
          <w:sz w:val="24"/>
          <w:szCs w:val="24"/>
        </w:rPr>
        <w:t>D</w:t>
      </w:r>
      <w:r>
        <w:rPr>
          <w:rFonts w:hint="eastAsia"/>
          <w:color w:val="auto"/>
          <w:sz w:val="24"/>
          <w:szCs w:val="24"/>
        </w:rPr>
        <w:t>、组件名称。</w:t>
      </w:r>
    </w:p>
    <w:p w14:paraId="7C201060">
      <w:pPr>
        <w:pStyle w:val="94"/>
        <w:numPr>
          <w:ilvl w:val="0"/>
          <w:numId w:val="15"/>
        </w:numPr>
        <w:ind w:left="0" w:firstLine="480"/>
        <w:rPr>
          <w:color w:val="auto"/>
          <w:sz w:val="24"/>
          <w:szCs w:val="24"/>
        </w:rPr>
      </w:pPr>
      <w:r>
        <w:rPr>
          <w:rFonts w:hint="eastAsia"/>
          <w:color w:val="auto"/>
          <w:sz w:val="24"/>
          <w:szCs w:val="24"/>
        </w:rPr>
        <w:t>支持对文本控件的容器属性的位置、大小进行设置，可自定义位置的左、上数值，大小的宽、高数值。</w:t>
      </w:r>
    </w:p>
    <w:p w14:paraId="2A1F4069">
      <w:pPr>
        <w:pStyle w:val="94"/>
        <w:numPr>
          <w:ilvl w:val="0"/>
          <w:numId w:val="15"/>
        </w:numPr>
        <w:ind w:left="0" w:firstLine="480"/>
        <w:rPr>
          <w:color w:val="auto"/>
          <w:sz w:val="24"/>
          <w:szCs w:val="24"/>
        </w:rPr>
      </w:pPr>
      <w:r>
        <w:rPr>
          <w:rFonts w:hint="eastAsia"/>
          <w:color w:val="auto"/>
          <w:sz w:val="24"/>
          <w:szCs w:val="24"/>
        </w:rPr>
        <w:t>支持对文本控件的容器属性上边框、下边框、左边框、右边框的颜色、数值进行设置，可选择实线、虚线、点线。</w:t>
      </w:r>
    </w:p>
    <w:p w14:paraId="275AC861">
      <w:pPr>
        <w:pStyle w:val="94"/>
        <w:numPr>
          <w:ilvl w:val="0"/>
          <w:numId w:val="15"/>
        </w:numPr>
        <w:ind w:left="0" w:firstLine="480"/>
        <w:rPr>
          <w:color w:val="auto"/>
          <w:sz w:val="24"/>
          <w:szCs w:val="24"/>
        </w:rPr>
      </w:pPr>
      <w:r>
        <w:rPr>
          <w:rFonts w:hint="eastAsia"/>
          <w:color w:val="auto"/>
          <w:sz w:val="24"/>
          <w:szCs w:val="24"/>
        </w:rPr>
        <w:t>支持对文本控件的容器属性圆角弧度设置整体数值，可对上、下、左、右自定义不同圆角弧度数值。</w:t>
      </w:r>
    </w:p>
    <w:p w14:paraId="05536B60">
      <w:pPr>
        <w:pStyle w:val="94"/>
        <w:numPr>
          <w:ilvl w:val="0"/>
          <w:numId w:val="15"/>
        </w:numPr>
        <w:ind w:left="0" w:firstLine="480"/>
        <w:rPr>
          <w:color w:val="auto"/>
          <w:sz w:val="24"/>
          <w:szCs w:val="24"/>
        </w:rPr>
      </w:pPr>
      <w:r>
        <w:rPr>
          <w:rFonts w:hint="eastAsia"/>
          <w:color w:val="auto"/>
          <w:sz w:val="24"/>
          <w:szCs w:val="24"/>
        </w:rPr>
        <w:t>支持对文本控件的容器属性阴影进行设置，可自定义X偏移数值、Y偏移数值、阴影颜色、模糊数值、扩展数值，可选择内部应用。</w:t>
      </w:r>
    </w:p>
    <w:p w14:paraId="2F7471C0">
      <w:pPr>
        <w:pStyle w:val="94"/>
        <w:numPr>
          <w:ilvl w:val="0"/>
          <w:numId w:val="15"/>
        </w:numPr>
        <w:ind w:left="0" w:firstLine="480"/>
        <w:rPr>
          <w:color w:val="auto"/>
          <w:sz w:val="24"/>
          <w:szCs w:val="24"/>
        </w:rPr>
      </w:pPr>
      <w:r>
        <w:rPr>
          <w:rFonts w:hint="eastAsia"/>
          <w:color w:val="auto"/>
          <w:sz w:val="24"/>
          <w:szCs w:val="24"/>
        </w:rPr>
        <w:t>支持对文本控件的容器属性背景进行设置，主题填充可选择颜色、图片、渐变色。</w:t>
      </w:r>
    </w:p>
    <w:p w14:paraId="75E22AF8">
      <w:pPr>
        <w:pStyle w:val="94"/>
        <w:numPr>
          <w:ilvl w:val="0"/>
          <w:numId w:val="15"/>
        </w:numPr>
        <w:ind w:left="0" w:firstLine="480"/>
        <w:rPr>
          <w:color w:val="auto"/>
          <w:sz w:val="24"/>
          <w:szCs w:val="24"/>
        </w:rPr>
      </w:pPr>
      <w:r>
        <w:rPr>
          <w:rFonts w:hint="eastAsia"/>
          <w:color w:val="auto"/>
          <w:sz w:val="24"/>
          <w:szCs w:val="24"/>
        </w:rPr>
        <w:t>支持对文本控件的容器属性文本内容进行自定义设置，可选择字体、字号、字体加粗、斜体、下划线、删除线。</w:t>
      </w:r>
    </w:p>
    <w:p w14:paraId="1F8AD82F">
      <w:pPr>
        <w:pStyle w:val="94"/>
        <w:numPr>
          <w:ilvl w:val="0"/>
          <w:numId w:val="15"/>
        </w:numPr>
        <w:ind w:left="0" w:firstLine="480"/>
        <w:rPr>
          <w:color w:val="auto"/>
          <w:sz w:val="24"/>
          <w:szCs w:val="24"/>
        </w:rPr>
      </w:pPr>
      <w:r>
        <w:rPr>
          <w:rFonts w:hint="eastAsia"/>
          <w:color w:val="auto"/>
          <w:sz w:val="24"/>
          <w:szCs w:val="24"/>
        </w:rPr>
        <w:t>支持对文本控件的容器属性文字行高进行设置，可自定义行高数值。</w:t>
      </w:r>
    </w:p>
    <w:p w14:paraId="207230F6">
      <w:pPr>
        <w:pStyle w:val="94"/>
        <w:numPr>
          <w:ilvl w:val="0"/>
          <w:numId w:val="15"/>
        </w:numPr>
        <w:ind w:left="0" w:firstLine="480"/>
        <w:rPr>
          <w:color w:val="auto"/>
          <w:sz w:val="24"/>
          <w:szCs w:val="24"/>
        </w:rPr>
      </w:pPr>
      <w:r>
        <w:rPr>
          <w:rFonts w:hint="eastAsia"/>
          <w:color w:val="auto"/>
          <w:sz w:val="24"/>
          <w:szCs w:val="24"/>
        </w:rPr>
        <w:t>支持对文本控件的容器属性文字对齐进行设置，可选择左对齐、右对齐、左右居中、上对齐、下对齐、上下居中。</w:t>
      </w:r>
    </w:p>
    <w:p w14:paraId="5D327D3C">
      <w:pPr>
        <w:pStyle w:val="94"/>
        <w:numPr>
          <w:ilvl w:val="0"/>
          <w:numId w:val="15"/>
        </w:numPr>
        <w:ind w:left="0" w:firstLine="480"/>
        <w:rPr>
          <w:color w:val="auto"/>
          <w:sz w:val="24"/>
          <w:szCs w:val="24"/>
        </w:rPr>
      </w:pPr>
      <w:r>
        <w:rPr>
          <w:rFonts w:hint="eastAsia"/>
          <w:color w:val="auto"/>
          <w:sz w:val="24"/>
          <w:szCs w:val="24"/>
        </w:rPr>
        <w:t>支持对文本控件的容器属性书写方向进行设置，可选择横向从左至右、从右至左，竖向从左至右、从右至左。</w:t>
      </w:r>
    </w:p>
    <w:p w14:paraId="4BFB41E7">
      <w:pPr>
        <w:pStyle w:val="94"/>
        <w:numPr>
          <w:ilvl w:val="0"/>
          <w:numId w:val="15"/>
        </w:numPr>
        <w:ind w:left="0" w:firstLine="480"/>
        <w:rPr>
          <w:color w:val="auto"/>
          <w:sz w:val="24"/>
          <w:szCs w:val="24"/>
        </w:rPr>
      </w:pPr>
      <w:r>
        <w:rPr>
          <w:rFonts w:hint="eastAsia"/>
          <w:color w:val="auto"/>
          <w:sz w:val="24"/>
          <w:szCs w:val="24"/>
        </w:rPr>
        <w:t>支持对文本控件的容器属性跳转详情进行配置，可添加字段，设置字段名、列标题、宽度、对齐、上下操作。</w:t>
      </w:r>
    </w:p>
    <w:p w14:paraId="415FFD64">
      <w:pPr>
        <w:pStyle w:val="94"/>
        <w:numPr>
          <w:ilvl w:val="0"/>
          <w:numId w:val="15"/>
        </w:numPr>
        <w:ind w:left="0" w:firstLine="480"/>
        <w:rPr>
          <w:color w:val="auto"/>
          <w:sz w:val="24"/>
          <w:szCs w:val="24"/>
        </w:rPr>
      </w:pPr>
      <w:r>
        <w:rPr>
          <w:rFonts w:hint="eastAsia"/>
          <w:color w:val="auto"/>
          <w:sz w:val="24"/>
          <w:szCs w:val="24"/>
        </w:rPr>
        <w:t>支持对文本控件进行事件绑定，事件类型可选择鼠标点击、鼠标悬停。</w:t>
      </w:r>
    </w:p>
    <w:p w14:paraId="3B306790">
      <w:pPr>
        <w:pStyle w:val="94"/>
        <w:numPr>
          <w:ilvl w:val="0"/>
          <w:numId w:val="15"/>
        </w:numPr>
        <w:ind w:left="0" w:firstLine="480"/>
        <w:rPr>
          <w:color w:val="auto"/>
          <w:sz w:val="24"/>
          <w:szCs w:val="24"/>
        </w:rPr>
      </w:pPr>
      <w:r>
        <w:rPr>
          <w:rFonts w:hint="eastAsia"/>
          <w:color w:val="auto"/>
          <w:sz w:val="24"/>
          <w:szCs w:val="24"/>
        </w:rPr>
        <w:t>支持对文本控件数据源进行设置，可选择数据源内容</w:t>
      </w:r>
      <w:r>
        <w:rPr>
          <w:color w:val="auto"/>
          <w:sz w:val="24"/>
          <w:szCs w:val="24"/>
        </w:rPr>
        <w:t>,</w:t>
      </w:r>
      <w:r>
        <w:rPr>
          <w:rFonts w:hint="eastAsia"/>
          <w:color w:val="auto"/>
          <w:sz w:val="24"/>
          <w:szCs w:val="24"/>
        </w:rPr>
        <w:t>自定义筛选规则、字段。</w:t>
      </w:r>
    </w:p>
    <w:p w14:paraId="3DAA83CD">
      <w:pPr>
        <w:pStyle w:val="94"/>
        <w:numPr>
          <w:ilvl w:val="0"/>
          <w:numId w:val="15"/>
        </w:numPr>
        <w:ind w:left="0" w:firstLine="480"/>
        <w:rPr>
          <w:color w:val="auto"/>
          <w:sz w:val="24"/>
          <w:szCs w:val="24"/>
        </w:rPr>
      </w:pPr>
      <w:r>
        <w:rPr>
          <w:rFonts w:hint="eastAsia"/>
          <w:color w:val="auto"/>
          <w:sz w:val="24"/>
          <w:szCs w:val="24"/>
        </w:rPr>
        <w:t>支持对表格控件的表格属性进行设置，可查看层级、组件I</w:t>
      </w:r>
      <w:r>
        <w:rPr>
          <w:color w:val="auto"/>
          <w:sz w:val="24"/>
          <w:szCs w:val="24"/>
        </w:rPr>
        <w:t>D</w:t>
      </w:r>
      <w:r>
        <w:rPr>
          <w:rFonts w:hint="eastAsia"/>
          <w:color w:val="auto"/>
          <w:sz w:val="24"/>
          <w:szCs w:val="24"/>
        </w:rPr>
        <w:t>、组件名称。</w:t>
      </w:r>
    </w:p>
    <w:p w14:paraId="34F35B3B">
      <w:pPr>
        <w:pStyle w:val="94"/>
        <w:numPr>
          <w:ilvl w:val="0"/>
          <w:numId w:val="15"/>
        </w:numPr>
        <w:ind w:left="0" w:firstLine="480"/>
        <w:rPr>
          <w:color w:val="auto"/>
          <w:sz w:val="24"/>
          <w:szCs w:val="24"/>
        </w:rPr>
      </w:pPr>
      <w:r>
        <w:rPr>
          <w:rFonts w:hint="eastAsia"/>
          <w:color w:val="auto"/>
          <w:sz w:val="24"/>
          <w:szCs w:val="24"/>
        </w:rPr>
        <w:t>支持对表格控件的表格属性的位置、大小进行设置，可自定义位置的左、上数值，大小的宽、高数值。</w:t>
      </w:r>
    </w:p>
    <w:p w14:paraId="0BC02CC5">
      <w:pPr>
        <w:pStyle w:val="94"/>
        <w:numPr>
          <w:ilvl w:val="0"/>
          <w:numId w:val="15"/>
        </w:numPr>
        <w:ind w:left="0" w:firstLine="480"/>
        <w:rPr>
          <w:color w:val="auto"/>
          <w:sz w:val="24"/>
          <w:szCs w:val="24"/>
        </w:rPr>
      </w:pPr>
      <w:r>
        <w:rPr>
          <w:rFonts w:hint="eastAsia"/>
          <w:color w:val="auto"/>
          <w:sz w:val="24"/>
          <w:szCs w:val="24"/>
        </w:rPr>
        <w:t>支持对表格控件的表格属性上边框、下边框、左边框、右边框的颜色、数值进行设置，可选择实线、虚线、点线。</w:t>
      </w:r>
    </w:p>
    <w:p w14:paraId="4FB3654B">
      <w:pPr>
        <w:pStyle w:val="94"/>
        <w:numPr>
          <w:ilvl w:val="0"/>
          <w:numId w:val="15"/>
        </w:numPr>
        <w:ind w:left="0" w:firstLine="480"/>
        <w:rPr>
          <w:color w:val="auto"/>
          <w:sz w:val="24"/>
          <w:szCs w:val="24"/>
        </w:rPr>
      </w:pPr>
      <w:r>
        <w:rPr>
          <w:rFonts w:hint="eastAsia"/>
          <w:color w:val="auto"/>
          <w:sz w:val="24"/>
          <w:szCs w:val="24"/>
        </w:rPr>
        <w:t>支持对表格控件的表格属性圆角弧度设置整体数值，可对上、下、左、右自定义不同圆角弧度数值。</w:t>
      </w:r>
    </w:p>
    <w:p w14:paraId="47ABD472">
      <w:pPr>
        <w:pStyle w:val="94"/>
        <w:numPr>
          <w:ilvl w:val="0"/>
          <w:numId w:val="15"/>
        </w:numPr>
        <w:ind w:left="0" w:firstLine="480"/>
        <w:rPr>
          <w:color w:val="auto"/>
          <w:sz w:val="24"/>
          <w:szCs w:val="24"/>
        </w:rPr>
      </w:pPr>
      <w:r>
        <w:rPr>
          <w:rFonts w:hint="eastAsia"/>
          <w:color w:val="auto"/>
          <w:sz w:val="24"/>
          <w:szCs w:val="24"/>
        </w:rPr>
        <w:t>支持对表格控件的表格属性阴影进行设置，可自定义X偏移数值、Y偏移数值、阴影颜色、模糊数值、扩展数值，可选择内部应用。</w:t>
      </w:r>
    </w:p>
    <w:p w14:paraId="48475A8C">
      <w:pPr>
        <w:pStyle w:val="94"/>
        <w:numPr>
          <w:ilvl w:val="0"/>
          <w:numId w:val="15"/>
        </w:numPr>
        <w:ind w:left="0" w:firstLine="480"/>
        <w:rPr>
          <w:color w:val="auto"/>
          <w:sz w:val="24"/>
          <w:szCs w:val="24"/>
        </w:rPr>
      </w:pPr>
      <w:r>
        <w:rPr>
          <w:rFonts w:hint="eastAsia"/>
          <w:color w:val="auto"/>
          <w:sz w:val="24"/>
          <w:szCs w:val="24"/>
        </w:rPr>
        <w:t>支持对表格控件的表格属性背景进行设置，主题填充可选择颜色、图片、渐变色。</w:t>
      </w:r>
    </w:p>
    <w:p w14:paraId="6B6AF231">
      <w:pPr>
        <w:pStyle w:val="94"/>
        <w:numPr>
          <w:ilvl w:val="0"/>
          <w:numId w:val="15"/>
        </w:numPr>
        <w:ind w:left="0" w:firstLine="480"/>
        <w:rPr>
          <w:color w:val="auto"/>
          <w:sz w:val="24"/>
          <w:szCs w:val="24"/>
        </w:rPr>
      </w:pPr>
      <w:r>
        <w:rPr>
          <w:rFonts w:hint="eastAsia"/>
          <w:color w:val="auto"/>
          <w:sz w:val="24"/>
          <w:szCs w:val="24"/>
        </w:rPr>
        <w:t>支持对表格控件的表头、表体高度自定义数值。</w:t>
      </w:r>
    </w:p>
    <w:p w14:paraId="37EF39AE">
      <w:pPr>
        <w:pStyle w:val="94"/>
        <w:numPr>
          <w:ilvl w:val="0"/>
          <w:numId w:val="15"/>
        </w:numPr>
        <w:ind w:left="0" w:firstLine="480"/>
        <w:rPr>
          <w:color w:val="auto"/>
          <w:sz w:val="24"/>
          <w:szCs w:val="24"/>
        </w:rPr>
      </w:pPr>
      <w:r>
        <w:rPr>
          <w:rFonts w:hint="eastAsia"/>
          <w:color w:val="auto"/>
          <w:sz w:val="24"/>
          <w:szCs w:val="24"/>
        </w:rPr>
        <w:t>支持对表格控件的表头文字行高进行设置，可自定义行高数值。</w:t>
      </w:r>
    </w:p>
    <w:p w14:paraId="79602F09">
      <w:pPr>
        <w:pStyle w:val="94"/>
        <w:numPr>
          <w:ilvl w:val="0"/>
          <w:numId w:val="15"/>
        </w:numPr>
        <w:ind w:left="0" w:firstLine="480"/>
        <w:rPr>
          <w:color w:val="auto"/>
          <w:sz w:val="24"/>
          <w:szCs w:val="24"/>
        </w:rPr>
      </w:pPr>
      <w:r>
        <w:rPr>
          <w:rFonts w:hint="eastAsia"/>
          <w:color w:val="auto"/>
          <w:sz w:val="24"/>
          <w:szCs w:val="24"/>
        </w:rPr>
        <w:t>支持对表格控件的表头、表体内边距设置左、右数值。</w:t>
      </w:r>
    </w:p>
    <w:p w14:paraId="1700A55E">
      <w:pPr>
        <w:pStyle w:val="94"/>
        <w:numPr>
          <w:ilvl w:val="0"/>
          <w:numId w:val="15"/>
        </w:numPr>
        <w:ind w:left="0" w:firstLine="480"/>
        <w:rPr>
          <w:color w:val="auto"/>
          <w:sz w:val="24"/>
          <w:szCs w:val="24"/>
        </w:rPr>
      </w:pPr>
      <w:r>
        <w:rPr>
          <w:rFonts w:hint="eastAsia"/>
          <w:color w:val="auto"/>
          <w:sz w:val="24"/>
          <w:szCs w:val="24"/>
        </w:rPr>
        <w:t>支持对表格控件的表头对齐进行设置，可选择左对齐、居中、右对齐。</w:t>
      </w:r>
    </w:p>
    <w:p w14:paraId="6CE758B0">
      <w:pPr>
        <w:pStyle w:val="94"/>
        <w:numPr>
          <w:ilvl w:val="0"/>
          <w:numId w:val="15"/>
        </w:numPr>
        <w:ind w:left="0" w:firstLine="480"/>
        <w:rPr>
          <w:color w:val="auto"/>
          <w:sz w:val="24"/>
          <w:szCs w:val="24"/>
        </w:rPr>
      </w:pPr>
      <w:r>
        <w:rPr>
          <w:rFonts w:hint="eastAsia"/>
          <w:color w:val="auto"/>
          <w:sz w:val="24"/>
          <w:szCs w:val="24"/>
        </w:rPr>
        <w:t>支持对表格控件的表头、表体字体进行设置，可选择字体、字号、字体加粗、斜体、下划线、删除线。</w:t>
      </w:r>
    </w:p>
    <w:p w14:paraId="094563B7">
      <w:pPr>
        <w:pStyle w:val="94"/>
        <w:numPr>
          <w:ilvl w:val="0"/>
          <w:numId w:val="15"/>
        </w:numPr>
        <w:ind w:left="0" w:firstLine="480"/>
        <w:rPr>
          <w:color w:val="auto"/>
          <w:sz w:val="24"/>
          <w:szCs w:val="24"/>
        </w:rPr>
      </w:pPr>
      <w:r>
        <w:rPr>
          <w:rFonts w:hint="eastAsia"/>
          <w:color w:val="auto"/>
          <w:sz w:val="24"/>
          <w:szCs w:val="24"/>
        </w:rPr>
        <w:t>支持对表格控件的表头、表体下边框、右边框的颜色、数值进行设置，可选择实线、虚线、点线。</w:t>
      </w:r>
    </w:p>
    <w:p w14:paraId="0457E2D2">
      <w:pPr>
        <w:pStyle w:val="94"/>
        <w:numPr>
          <w:ilvl w:val="0"/>
          <w:numId w:val="15"/>
        </w:numPr>
        <w:ind w:left="0" w:firstLine="480"/>
        <w:rPr>
          <w:color w:val="auto"/>
          <w:sz w:val="24"/>
          <w:szCs w:val="24"/>
        </w:rPr>
      </w:pPr>
      <w:r>
        <w:rPr>
          <w:rFonts w:hint="eastAsia"/>
          <w:color w:val="auto"/>
          <w:sz w:val="24"/>
          <w:szCs w:val="24"/>
        </w:rPr>
        <w:t>支持对表格控件的表体设置开启行间隔色，可自定义行样式规则。</w:t>
      </w:r>
    </w:p>
    <w:p w14:paraId="60E1364D">
      <w:pPr>
        <w:pStyle w:val="94"/>
        <w:numPr>
          <w:ilvl w:val="0"/>
          <w:numId w:val="15"/>
        </w:numPr>
        <w:ind w:left="0" w:firstLine="480"/>
        <w:rPr>
          <w:color w:val="auto"/>
          <w:sz w:val="24"/>
          <w:szCs w:val="24"/>
        </w:rPr>
      </w:pPr>
      <w:r>
        <w:rPr>
          <w:rFonts w:hint="eastAsia"/>
          <w:color w:val="auto"/>
          <w:sz w:val="24"/>
          <w:szCs w:val="24"/>
        </w:rPr>
        <w:t>支持对表格控件的滚动条进行设置，可设置自动滚动、滚动速度。</w:t>
      </w:r>
    </w:p>
    <w:p w14:paraId="53D53F67">
      <w:pPr>
        <w:pStyle w:val="94"/>
        <w:numPr>
          <w:ilvl w:val="0"/>
          <w:numId w:val="15"/>
        </w:numPr>
        <w:ind w:left="0" w:firstLine="480"/>
        <w:rPr>
          <w:color w:val="auto"/>
          <w:sz w:val="24"/>
          <w:szCs w:val="24"/>
        </w:rPr>
      </w:pPr>
      <w:r>
        <w:rPr>
          <w:rFonts w:hint="eastAsia"/>
          <w:color w:val="auto"/>
          <w:sz w:val="24"/>
          <w:szCs w:val="24"/>
        </w:rPr>
        <w:t>支持对表格控件的滚动条进行设置，可设置轨道宽度、轨道背景颜色、轨道边框颜色、轨道边框宽度、边框可选择实线、虚线、点线。</w:t>
      </w:r>
    </w:p>
    <w:p w14:paraId="088204FB">
      <w:pPr>
        <w:pStyle w:val="94"/>
        <w:numPr>
          <w:ilvl w:val="0"/>
          <w:numId w:val="15"/>
        </w:numPr>
        <w:ind w:left="0" w:firstLine="480"/>
        <w:rPr>
          <w:color w:val="auto"/>
          <w:sz w:val="24"/>
          <w:szCs w:val="24"/>
        </w:rPr>
      </w:pPr>
      <w:r>
        <w:rPr>
          <w:rFonts w:hint="eastAsia"/>
          <w:color w:val="auto"/>
          <w:sz w:val="24"/>
          <w:szCs w:val="24"/>
        </w:rPr>
        <w:t>支持对表格控件的滚动条的圆角弧度设置数值。</w:t>
      </w:r>
    </w:p>
    <w:p w14:paraId="027A4E13">
      <w:pPr>
        <w:pStyle w:val="94"/>
        <w:numPr>
          <w:ilvl w:val="0"/>
          <w:numId w:val="15"/>
        </w:numPr>
        <w:ind w:left="0" w:firstLine="480"/>
        <w:rPr>
          <w:color w:val="auto"/>
          <w:sz w:val="24"/>
          <w:szCs w:val="24"/>
        </w:rPr>
      </w:pPr>
      <w:r>
        <w:rPr>
          <w:rFonts w:hint="eastAsia"/>
          <w:color w:val="auto"/>
          <w:sz w:val="24"/>
          <w:szCs w:val="24"/>
        </w:rPr>
        <w:t>支持对表格控件的滚动条的滑块背景颜色、滑块边框颜色、滑块边框宽度、边框可选择实线、虚线、点线。</w:t>
      </w:r>
    </w:p>
    <w:p w14:paraId="09A479AF">
      <w:pPr>
        <w:pStyle w:val="94"/>
        <w:numPr>
          <w:ilvl w:val="0"/>
          <w:numId w:val="15"/>
        </w:numPr>
        <w:ind w:left="0" w:firstLine="480"/>
        <w:rPr>
          <w:color w:val="auto"/>
          <w:sz w:val="24"/>
          <w:szCs w:val="24"/>
        </w:rPr>
      </w:pPr>
      <w:r>
        <w:rPr>
          <w:rFonts w:hint="eastAsia"/>
          <w:color w:val="auto"/>
          <w:sz w:val="24"/>
          <w:szCs w:val="24"/>
        </w:rPr>
        <w:t>支持对表格控件的预设样式进行选择，样式包括浅色、中等色、深色三大类样式。</w:t>
      </w:r>
    </w:p>
    <w:p w14:paraId="09521994">
      <w:pPr>
        <w:pStyle w:val="94"/>
        <w:numPr>
          <w:ilvl w:val="0"/>
          <w:numId w:val="15"/>
        </w:numPr>
        <w:ind w:left="0" w:firstLine="480"/>
        <w:rPr>
          <w:color w:val="auto"/>
          <w:sz w:val="24"/>
          <w:szCs w:val="24"/>
        </w:rPr>
      </w:pPr>
      <w:r>
        <w:rPr>
          <w:rFonts w:hint="eastAsia"/>
          <w:color w:val="auto"/>
          <w:sz w:val="24"/>
          <w:szCs w:val="24"/>
        </w:rPr>
        <w:t>支持对图表控件的容器属性进行设置，可查看层级、组件I</w:t>
      </w:r>
      <w:r>
        <w:rPr>
          <w:color w:val="auto"/>
          <w:sz w:val="24"/>
          <w:szCs w:val="24"/>
        </w:rPr>
        <w:t>D</w:t>
      </w:r>
      <w:r>
        <w:rPr>
          <w:rFonts w:hint="eastAsia"/>
          <w:color w:val="auto"/>
          <w:sz w:val="24"/>
          <w:szCs w:val="24"/>
        </w:rPr>
        <w:t>、组件名称。</w:t>
      </w:r>
    </w:p>
    <w:p w14:paraId="358F5486">
      <w:pPr>
        <w:pStyle w:val="94"/>
        <w:numPr>
          <w:ilvl w:val="0"/>
          <w:numId w:val="15"/>
        </w:numPr>
        <w:ind w:left="0" w:firstLine="480"/>
        <w:rPr>
          <w:color w:val="auto"/>
          <w:sz w:val="24"/>
          <w:szCs w:val="24"/>
        </w:rPr>
      </w:pPr>
      <w:r>
        <w:rPr>
          <w:rFonts w:hint="eastAsia"/>
          <w:color w:val="auto"/>
          <w:sz w:val="24"/>
          <w:szCs w:val="24"/>
        </w:rPr>
        <w:t>支持对图表控件的容器属性的位置、大小进行设置，可自定义位置的左、上数值，大小的宽、高数值。</w:t>
      </w:r>
    </w:p>
    <w:p w14:paraId="47D3F915">
      <w:pPr>
        <w:pStyle w:val="94"/>
        <w:numPr>
          <w:ilvl w:val="0"/>
          <w:numId w:val="15"/>
        </w:numPr>
        <w:ind w:left="0" w:firstLine="480"/>
        <w:rPr>
          <w:color w:val="auto"/>
          <w:sz w:val="24"/>
          <w:szCs w:val="24"/>
        </w:rPr>
      </w:pPr>
      <w:r>
        <w:rPr>
          <w:rFonts w:hint="eastAsia"/>
          <w:color w:val="auto"/>
          <w:sz w:val="24"/>
          <w:szCs w:val="24"/>
        </w:rPr>
        <w:t>支持对图表控件的容器属性上边框、下边框、左边框、右边框的颜色、数值进行设置，可选择实线、虚线、点线。</w:t>
      </w:r>
    </w:p>
    <w:p w14:paraId="4345110B">
      <w:pPr>
        <w:pStyle w:val="94"/>
        <w:numPr>
          <w:ilvl w:val="0"/>
          <w:numId w:val="15"/>
        </w:numPr>
        <w:ind w:left="0" w:firstLine="480"/>
        <w:rPr>
          <w:color w:val="auto"/>
          <w:sz w:val="24"/>
          <w:szCs w:val="24"/>
        </w:rPr>
      </w:pPr>
      <w:r>
        <w:rPr>
          <w:rFonts w:hint="eastAsia"/>
          <w:color w:val="auto"/>
          <w:sz w:val="24"/>
          <w:szCs w:val="24"/>
        </w:rPr>
        <w:t>支持对图表控件的容器属性圆角弧度设置整体数值，可对上、下、左、右自定义不同圆角弧度数值。</w:t>
      </w:r>
    </w:p>
    <w:p w14:paraId="6EAEA6CE">
      <w:pPr>
        <w:pStyle w:val="94"/>
        <w:numPr>
          <w:ilvl w:val="0"/>
          <w:numId w:val="15"/>
        </w:numPr>
        <w:ind w:left="0" w:firstLine="480"/>
        <w:rPr>
          <w:color w:val="auto"/>
          <w:sz w:val="24"/>
          <w:szCs w:val="24"/>
        </w:rPr>
      </w:pPr>
      <w:r>
        <w:rPr>
          <w:rFonts w:hint="eastAsia"/>
          <w:color w:val="auto"/>
          <w:sz w:val="24"/>
          <w:szCs w:val="24"/>
        </w:rPr>
        <w:t>支持对图表控件的容器属性阴影进行设置，可自定义X偏移数值、Y偏移数值、阴影颜色、模糊数值、扩展数值，可选择内部应用。</w:t>
      </w:r>
    </w:p>
    <w:p w14:paraId="1A0DA550">
      <w:pPr>
        <w:pStyle w:val="94"/>
        <w:numPr>
          <w:ilvl w:val="0"/>
          <w:numId w:val="15"/>
        </w:numPr>
        <w:ind w:left="0" w:firstLine="480"/>
        <w:rPr>
          <w:color w:val="auto"/>
          <w:sz w:val="24"/>
          <w:szCs w:val="24"/>
        </w:rPr>
      </w:pPr>
      <w:r>
        <w:rPr>
          <w:rFonts w:hint="eastAsia"/>
          <w:color w:val="auto"/>
          <w:sz w:val="24"/>
          <w:szCs w:val="24"/>
        </w:rPr>
        <w:t>支持对图表控件的容器属性背景进行设置，主题填充可选择颜色、图片、渐变色。</w:t>
      </w:r>
    </w:p>
    <w:p w14:paraId="6CE0134E">
      <w:pPr>
        <w:pStyle w:val="94"/>
        <w:numPr>
          <w:ilvl w:val="0"/>
          <w:numId w:val="15"/>
        </w:numPr>
        <w:ind w:left="0" w:firstLine="480"/>
        <w:rPr>
          <w:color w:val="auto"/>
          <w:sz w:val="24"/>
          <w:szCs w:val="24"/>
        </w:rPr>
      </w:pPr>
      <w:r>
        <w:rPr>
          <w:rFonts w:hint="eastAsia"/>
          <w:color w:val="auto"/>
          <w:sz w:val="24"/>
          <w:szCs w:val="24"/>
        </w:rPr>
        <w:t>支持对图表控件的图表属性进行配置，可关联数据源、编辑字段、定义筛选规则，可编辑图表配置项。</w:t>
      </w:r>
    </w:p>
    <w:p w14:paraId="4B54DC72">
      <w:pPr>
        <w:pStyle w:val="94"/>
        <w:numPr>
          <w:ilvl w:val="0"/>
          <w:numId w:val="15"/>
        </w:numPr>
        <w:ind w:left="0" w:firstLine="480"/>
        <w:rPr>
          <w:color w:val="auto"/>
          <w:sz w:val="24"/>
          <w:szCs w:val="24"/>
        </w:rPr>
      </w:pPr>
      <w:r>
        <w:rPr>
          <w:rFonts w:hint="eastAsia"/>
          <w:color w:val="auto"/>
          <w:sz w:val="24"/>
          <w:szCs w:val="24"/>
        </w:rPr>
        <w:t>支持对时间控件的容器属性进行设置，可查看层级、组件I</w:t>
      </w:r>
      <w:r>
        <w:rPr>
          <w:color w:val="auto"/>
          <w:sz w:val="24"/>
          <w:szCs w:val="24"/>
        </w:rPr>
        <w:t>D</w:t>
      </w:r>
      <w:r>
        <w:rPr>
          <w:rFonts w:hint="eastAsia"/>
          <w:color w:val="auto"/>
          <w:sz w:val="24"/>
          <w:szCs w:val="24"/>
        </w:rPr>
        <w:t>、组件名称。</w:t>
      </w:r>
    </w:p>
    <w:p w14:paraId="0B01E474">
      <w:pPr>
        <w:pStyle w:val="94"/>
        <w:numPr>
          <w:ilvl w:val="0"/>
          <w:numId w:val="15"/>
        </w:numPr>
        <w:ind w:left="0" w:firstLine="480"/>
        <w:rPr>
          <w:color w:val="auto"/>
          <w:sz w:val="24"/>
          <w:szCs w:val="24"/>
        </w:rPr>
      </w:pPr>
      <w:r>
        <w:rPr>
          <w:rFonts w:hint="eastAsia"/>
          <w:color w:val="auto"/>
          <w:sz w:val="24"/>
          <w:szCs w:val="24"/>
        </w:rPr>
        <w:t>支持对时间控件的容器属性的位置、大小进行设置，可自定义位置的左、上数值，大小的宽、高数值。</w:t>
      </w:r>
    </w:p>
    <w:p w14:paraId="6CC0365A">
      <w:pPr>
        <w:pStyle w:val="94"/>
        <w:numPr>
          <w:ilvl w:val="0"/>
          <w:numId w:val="15"/>
        </w:numPr>
        <w:ind w:left="0" w:firstLine="480"/>
        <w:rPr>
          <w:color w:val="auto"/>
          <w:sz w:val="24"/>
          <w:szCs w:val="24"/>
        </w:rPr>
      </w:pPr>
      <w:r>
        <w:rPr>
          <w:rFonts w:hint="eastAsia"/>
          <w:color w:val="auto"/>
          <w:sz w:val="24"/>
          <w:szCs w:val="24"/>
        </w:rPr>
        <w:t>支持对时间控件的容器属性上边框、下边框、左边框、右边框的颜色、数值进行设置，可选择实线、虚线、点线。</w:t>
      </w:r>
    </w:p>
    <w:p w14:paraId="12B468A3">
      <w:pPr>
        <w:pStyle w:val="94"/>
        <w:numPr>
          <w:ilvl w:val="0"/>
          <w:numId w:val="15"/>
        </w:numPr>
        <w:ind w:left="0" w:firstLine="480"/>
        <w:rPr>
          <w:color w:val="auto"/>
          <w:sz w:val="24"/>
          <w:szCs w:val="24"/>
        </w:rPr>
      </w:pPr>
      <w:r>
        <w:rPr>
          <w:rFonts w:hint="eastAsia"/>
          <w:color w:val="auto"/>
          <w:sz w:val="24"/>
          <w:szCs w:val="24"/>
        </w:rPr>
        <w:t>支持对时间控件的容器属性圆角弧度设置整体数值，可对上、下、左、右自定义不同圆角弧度数值。</w:t>
      </w:r>
    </w:p>
    <w:p w14:paraId="01B60458">
      <w:pPr>
        <w:pStyle w:val="94"/>
        <w:numPr>
          <w:ilvl w:val="0"/>
          <w:numId w:val="15"/>
        </w:numPr>
        <w:ind w:left="0" w:firstLine="480"/>
        <w:rPr>
          <w:color w:val="auto"/>
          <w:sz w:val="24"/>
          <w:szCs w:val="24"/>
        </w:rPr>
      </w:pPr>
      <w:r>
        <w:rPr>
          <w:rFonts w:hint="eastAsia"/>
          <w:color w:val="auto"/>
          <w:sz w:val="24"/>
          <w:szCs w:val="24"/>
        </w:rPr>
        <w:t>支持对时间控件的容器属性阴影进行设置，可自定义X偏移数值、Y偏移数值、阴影颜色、模糊数值、扩展数值，可选择内部应用。</w:t>
      </w:r>
    </w:p>
    <w:p w14:paraId="37A62FF0">
      <w:pPr>
        <w:pStyle w:val="94"/>
        <w:numPr>
          <w:ilvl w:val="0"/>
          <w:numId w:val="15"/>
        </w:numPr>
        <w:ind w:left="0" w:firstLine="480"/>
        <w:rPr>
          <w:color w:val="auto"/>
          <w:sz w:val="24"/>
          <w:szCs w:val="24"/>
        </w:rPr>
      </w:pPr>
      <w:r>
        <w:rPr>
          <w:rFonts w:hint="eastAsia"/>
          <w:color w:val="auto"/>
          <w:sz w:val="24"/>
          <w:szCs w:val="24"/>
        </w:rPr>
        <w:t>支持对时间控件的容器属性字体进行设置，可选择字体、字号、字体加粗、斜体、下划线、删除线。</w:t>
      </w:r>
    </w:p>
    <w:p w14:paraId="7CCDC48F">
      <w:pPr>
        <w:pStyle w:val="94"/>
        <w:numPr>
          <w:ilvl w:val="0"/>
          <w:numId w:val="15"/>
        </w:numPr>
        <w:ind w:left="0" w:firstLine="480"/>
        <w:rPr>
          <w:color w:val="auto"/>
          <w:sz w:val="24"/>
          <w:szCs w:val="24"/>
        </w:rPr>
      </w:pPr>
      <w:r>
        <w:rPr>
          <w:rFonts w:hint="eastAsia"/>
          <w:color w:val="auto"/>
          <w:sz w:val="24"/>
          <w:szCs w:val="24"/>
        </w:rPr>
        <w:t>支持对时间控件的容器属性背景进行设置，主题填充可选择颜色、图片、渐变色。</w:t>
      </w:r>
    </w:p>
    <w:p w14:paraId="55065B6C">
      <w:pPr>
        <w:pStyle w:val="94"/>
        <w:numPr>
          <w:ilvl w:val="0"/>
          <w:numId w:val="15"/>
        </w:numPr>
        <w:ind w:left="0" w:firstLine="480"/>
        <w:rPr>
          <w:color w:val="auto"/>
          <w:sz w:val="24"/>
          <w:szCs w:val="24"/>
        </w:rPr>
      </w:pPr>
      <w:r>
        <w:rPr>
          <w:rFonts w:hint="eastAsia"/>
          <w:color w:val="auto"/>
          <w:sz w:val="24"/>
          <w:szCs w:val="24"/>
        </w:rPr>
        <w:t>支持对时间控件的容器属性内边距设置整体数值，可单独设置上、下、左、右数值。</w:t>
      </w:r>
    </w:p>
    <w:p w14:paraId="0B107381">
      <w:pPr>
        <w:pStyle w:val="94"/>
        <w:numPr>
          <w:ilvl w:val="0"/>
          <w:numId w:val="15"/>
        </w:numPr>
        <w:ind w:left="0" w:firstLine="480"/>
        <w:rPr>
          <w:color w:val="auto"/>
          <w:sz w:val="24"/>
          <w:szCs w:val="24"/>
        </w:rPr>
      </w:pPr>
      <w:r>
        <w:rPr>
          <w:rFonts w:hint="eastAsia"/>
          <w:color w:val="auto"/>
          <w:sz w:val="24"/>
          <w:szCs w:val="24"/>
        </w:rPr>
        <w:t>支持对时间控件的选项配置进行设置，组件视图可选择日期范围、年、月、周、天。</w:t>
      </w:r>
    </w:p>
    <w:p w14:paraId="4D34551D">
      <w:pPr>
        <w:pStyle w:val="94"/>
        <w:numPr>
          <w:ilvl w:val="0"/>
          <w:numId w:val="15"/>
        </w:numPr>
        <w:ind w:left="0" w:firstLine="480"/>
        <w:rPr>
          <w:color w:val="auto"/>
          <w:sz w:val="24"/>
          <w:szCs w:val="24"/>
        </w:rPr>
      </w:pPr>
      <w:r>
        <w:rPr>
          <w:rFonts w:hint="eastAsia"/>
          <w:color w:val="auto"/>
          <w:sz w:val="24"/>
          <w:szCs w:val="24"/>
        </w:rPr>
        <w:t>支持对时间控件的选项配置选择是否只读、是否可输。</w:t>
      </w:r>
    </w:p>
    <w:p w14:paraId="17DEB6E0">
      <w:pPr>
        <w:pStyle w:val="94"/>
        <w:numPr>
          <w:ilvl w:val="0"/>
          <w:numId w:val="15"/>
        </w:numPr>
        <w:ind w:left="0" w:firstLine="480"/>
        <w:rPr>
          <w:color w:val="auto"/>
          <w:sz w:val="24"/>
          <w:szCs w:val="24"/>
        </w:rPr>
      </w:pPr>
      <w:r>
        <w:rPr>
          <w:rFonts w:hint="eastAsia"/>
          <w:color w:val="auto"/>
          <w:sz w:val="24"/>
          <w:szCs w:val="24"/>
        </w:rPr>
        <w:t>支持对时间控件的选项配置中日期格式化、占位内容、选择范围时的分隔符、返回值格式、默认值、绑定数据源参数进行自定义设置。</w:t>
      </w:r>
    </w:p>
    <w:p w14:paraId="752AE933">
      <w:pPr>
        <w:bidi w:val="0"/>
        <w:rPr>
          <w:b/>
          <w:bCs/>
          <w:color w:val="auto"/>
        </w:rPr>
      </w:pPr>
      <w:bookmarkStart w:id="100" w:name="_Toc153618535"/>
      <w:r>
        <w:rPr>
          <w:rFonts w:hint="eastAsia"/>
          <w:b/>
          <w:bCs/>
          <w:color w:val="auto"/>
        </w:rPr>
        <w:t>界面设计</w:t>
      </w:r>
      <w:bookmarkEnd w:id="100"/>
    </w:p>
    <w:p w14:paraId="37022165">
      <w:pPr>
        <w:pStyle w:val="94"/>
        <w:numPr>
          <w:ilvl w:val="0"/>
          <w:numId w:val="16"/>
        </w:numPr>
        <w:ind w:left="0" w:firstLine="480"/>
        <w:rPr>
          <w:color w:val="auto"/>
          <w:sz w:val="24"/>
          <w:szCs w:val="24"/>
        </w:rPr>
      </w:pPr>
      <w:r>
        <w:rPr>
          <w:rFonts w:hint="eastAsia"/>
          <w:color w:val="auto"/>
          <w:sz w:val="24"/>
          <w:szCs w:val="24"/>
        </w:rPr>
        <w:t>支持条件面板展示时隐藏，可对条件面板位置进行设置。</w:t>
      </w:r>
    </w:p>
    <w:p w14:paraId="51B35DB7">
      <w:pPr>
        <w:pStyle w:val="94"/>
        <w:numPr>
          <w:ilvl w:val="0"/>
          <w:numId w:val="16"/>
        </w:numPr>
        <w:ind w:left="0" w:firstLine="480"/>
        <w:rPr>
          <w:color w:val="auto"/>
          <w:sz w:val="24"/>
          <w:szCs w:val="24"/>
        </w:rPr>
      </w:pPr>
      <w:r>
        <w:rPr>
          <w:rFonts w:hint="eastAsia"/>
          <w:color w:val="auto"/>
          <w:sz w:val="24"/>
          <w:szCs w:val="24"/>
        </w:rPr>
        <w:t>支持对界面控件的属性面板进行设置，可设置标题名称、参数名称。</w:t>
      </w:r>
    </w:p>
    <w:p w14:paraId="7F79AAA7">
      <w:pPr>
        <w:pStyle w:val="94"/>
        <w:numPr>
          <w:ilvl w:val="0"/>
          <w:numId w:val="16"/>
        </w:numPr>
        <w:ind w:left="0" w:firstLine="480"/>
        <w:rPr>
          <w:color w:val="auto"/>
          <w:sz w:val="24"/>
          <w:szCs w:val="24"/>
        </w:rPr>
      </w:pPr>
      <w:r>
        <w:rPr>
          <w:rFonts w:hint="eastAsia"/>
          <w:color w:val="auto"/>
          <w:sz w:val="24"/>
          <w:szCs w:val="24"/>
        </w:rPr>
        <w:t>支持对界面控件的属性面板的标题字体进行设置，可选择字体、字号、字体加粗、斜体、下划线、删除线。</w:t>
      </w:r>
    </w:p>
    <w:p w14:paraId="0CA601AF">
      <w:pPr>
        <w:pStyle w:val="94"/>
        <w:numPr>
          <w:ilvl w:val="0"/>
          <w:numId w:val="16"/>
        </w:numPr>
        <w:ind w:left="0" w:firstLine="480"/>
        <w:rPr>
          <w:color w:val="auto"/>
          <w:sz w:val="24"/>
          <w:szCs w:val="24"/>
        </w:rPr>
      </w:pPr>
      <w:r>
        <w:rPr>
          <w:rFonts w:hint="eastAsia"/>
          <w:color w:val="auto"/>
          <w:sz w:val="24"/>
          <w:szCs w:val="24"/>
        </w:rPr>
        <w:t>支持对界面控件的属性面板标题背景颜色设置成透明。</w:t>
      </w:r>
    </w:p>
    <w:p w14:paraId="7457B277">
      <w:pPr>
        <w:pStyle w:val="94"/>
        <w:numPr>
          <w:ilvl w:val="0"/>
          <w:numId w:val="16"/>
        </w:numPr>
        <w:ind w:left="0" w:firstLine="480"/>
        <w:rPr>
          <w:color w:val="auto"/>
          <w:sz w:val="24"/>
          <w:szCs w:val="24"/>
        </w:rPr>
      </w:pPr>
      <w:r>
        <w:rPr>
          <w:rFonts w:hint="eastAsia"/>
          <w:color w:val="auto"/>
          <w:sz w:val="24"/>
          <w:szCs w:val="24"/>
        </w:rPr>
        <w:t>支持对界面控件的属性面板标题位置可选择左侧、上侧，可设置对应位置数值。</w:t>
      </w:r>
    </w:p>
    <w:p w14:paraId="3A2472CB">
      <w:pPr>
        <w:pStyle w:val="94"/>
        <w:numPr>
          <w:ilvl w:val="0"/>
          <w:numId w:val="16"/>
        </w:numPr>
        <w:ind w:left="0" w:firstLine="480"/>
        <w:rPr>
          <w:color w:val="auto"/>
          <w:sz w:val="24"/>
          <w:szCs w:val="24"/>
        </w:rPr>
      </w:pPr>
      <w:r>
        <w:rPr>
          <w:rFonts w:hint="eastAsia"/>
          <w:color w:val="auto"/>
          <w:sz w:val="24"/>
          <w:szCs w:val="24"/>
        </w:rPr>
        <w:t>支持对界面控件的属性面板标题间隔数值进行设置。</w:t>
      </w:r>
    </w:p>
    <w:p w14:paraId="7E936916">
      <w:pPr>
        <w:pStyle w:val="94"/>
        <w:numPr>
          <w:ilvl w:val="0"/>
          <w:numId w:val="16"/>
        </w:numPr>
        <w:ind w:left="0" w:firstLine="480"/>
        <w:rPr>
          <w:color w:val="auto"/>
          <w:sz w:val="24"/>
          <w:szCs w:val="24"/>
        </w:rPr>
      </w:pPr>
      <w:r>
        <w:rPr>
          <w:rFonts w:hint="eastAsia"/>
          <w:color w:val="auto"/>
          <w:sz w:val="24"/>
          <w:szCs w:val="24"/>
        </w:rPr>
        <w:t>支持对界面控件的属性面板上边框、下边框、左边框、右边框的颜色、数值进行设置，可选择实线、虚线、点线。</w:t>
      </w:r>
    </w:p>
    <w:p w14:paraId="13DCDF7E">
      <w:pPr>
        <w:pStyle w:val="94"/>
        <w:numPr>
          <w:ilvl w:val="0"/>
          <w:numId w:val="16"/>
        </w:numPr>
        <w:ind w:left="0" w:firstLine="480"/>
        <w:rPr>
          <w:color w:val="auto"/>
          <w:sz w:val="24"/>
          <w:szCs w:val="24"/>
        </w:rPr>
      </w:pPr>
      <w:r>
        <w:rPr>
          <w:rFonts w:hint="eastAsia"/>
          <w:color w:val="auto"/>
          <w:sz w:val="24"/>
          <w:szCs w:val="24"/>
        </w:rPr>
        <w:t>支持对界面控件的属性面板回车经过进行勾选。</w:t>
      </w:r>
    </w:p>
    <w:p w14:paraId="4B67189E">
      <w:pPr>
        <w:pStyle w:val="94"/>
        <w:numPr>
          <w:ilvl w:val="0"/>
          <w:numId w:val="16"/>
        </w:numPr>
        <w:ind w:left="0" w:firstLine="480"/>
        <w:rPr>
          <w:color w:val="auto"/>
          <w:sz w:val="24"/>
          <w:szCs w:val="24"/>
        </w:rPr>
      </w:pPr>
      <w:r>
        <w:rPr>
          <w:rFonts w:hint="eastAsia"/>
          <w:color w:val="auto"/>
          <w:sz w:val="24"/>
          <w:szCs w:val="24"/>
        </w:rPr>
        <w:t>支持对界面控件的属性面板返回值大写进行勾选，返回值数据类型可选择字符、数字。</w:t>
      </w:r>
    </w:p>
    <w:p w14:paraId="1646CB06">
      <w:pPr>
        <w:pStyle w:val="94"/>
        <w:numPr>
          <w:ilvl w:val="0"/>
          <w:numId w:val="16"/>
        </w:numPr>
        <w:ind w:left="0" w:firstLine="480"/>
        <w:rPr>
          <w:color w:val="auto"/>
          <w:sz w:val="24"/>
          <w:szCs w:val="24"/>
        </w:rPr>
      </w:pPr>
      <w:r>
        <w:rPr>
          <w:rFonts w:hint="eastAsia"/>
          <w:color w:val="auto"/>
          <w:sz w:val="24"/>
          <w:szCs w:val="24"/>
        </w:rPr>
        <w:t>支持对界面控件的属性面板默认值类型进行选择，可选择当前医院、当前用户、当前工作站。</w:t>
      </w:r>
    </w:p>
    <w:p w14:paraId="755949A1">
      <w:pPr>
        <w:pStyle w:val="94"/>
        <w:numPr>
          <w:ilvl w:val="0"/>
          <w:numId w:val="16"/>
        </w:numPr>
        <w:ind w:left="0" w:firstLine="480"/>
        <w:rPr>
          <w:color w:val="auto"/>
          <w:sz w:val="24"/>
          <w:szCs w:val="24"/>
        </w:rPr>
      </w:pPr>
      <w:r>
        <w:rPr>
          <w:rFonts w:hint="eastAsia"/>
          <w:color w:val="auto"/>
          <w:sz w:val="24"/>
          <w:szCs w:val="24"/>
        </w:rPr>
        <w:t>支持对界面控件的属性面板是否必填进行勾选。</w:t>
      </w:r>
    </w:p>
    <w:p w14:paraId="0A627238">
      <w:pPr>
        <w:pStyle w:val="94"/>
        <w:numPr>
          <w:ilvl w:val="0"/>
          <w:numId w:val="16"/>
        </w:numPr>
        <w:ind w:left="0" w:firstLine="480"/>
        <w:rPr>
          <w:color w:val="auto"/>
          <w:sz w:val="24"/>
          <w:szCs w:val="24"/>
        </w:rPr>
      </w:pPr>
      <w:r>
        <w:rPr>
          <w:rFonts w:hint="eastAsia"/>
          <w:color w:val="auto"/>
          <w:sz w:val="24"/>
          <w:szCs w:val="24"/>
        </w:rPr>
        <w:t>支持对界面控件属性面板中权限名称、字典类型、脚本参数、附加参数进行设置。</w:t>
      </w:r>
    </w:p>
    <w:p w14:paraId="465778CD">
      <w:pPr>
        <w:pStyle w:val="94"/>
        <w:numPr>
          <w:ilvl w:val="0"/>
          <w:numId w:val="16"/>
        </w:numPr>
        <w:ind w:left="0" w:firstLine="480"/>
        <w:rPr>
          <w:color w:val="auto"/>
          <w:sz w:val="24"/>
          <w:szCs w:val="24"/>
        </w:rPr>
      </w:pPr>
      <w:r>
        <w:rPr>
          <w:rFonts w:hint="eastAsia"/>
          <w:color w:val="auto"/>
          <w:sz w:val="24"/>
          <w:szCs w:val="24"/>
        </w:rPr>
        <w:t>支对界面控件的属性面板在展示时隐藏。</w:t>
      </w:r>
    </w:p>
    <w:p w14:paraId="4B18375A">
      <w:pPr>
        <w:bidi w:val="0"/>
        <w:rPr>
          <w:rFonts w:hint="eastAsia"/>
          <w:b/>
          <w:bCs/>
          <w:color w:val="auto"/>
        </w:rPr>
      </w:pPr>
      <w:bookmarkStart w:id="101" w:name="_Toc153618536"/>
      <w:r>
        <w:rPr>
          <w:rFonts w:hint="eastAsia"/>
          <w:b/>
          <w:bCs/>
          <w:color w:val="auto"/>
        </w:rPr>
        <w:t>BI展示大屏</w:t>
      </w:r>
      <w:bookmarkEnd w:id="101"/>
    </w:p>
    <w:p w14:paraId="10821BFE">
      <w:pPr>
        <w:pStyle w:val="94"/>
        <w:numPr>
          <w:ilvl w:val="0"/>
          <w:numId w:val="17"/>
        </w:numPr>
        <w:ind w:left="0" w:firstLine="480"/>
        <w:rPr>
          <w:color w:val="auto"/>
          <w:sz w:val="24"/>
          <w:szCs w:val="24"/>
        </w:rPr>
      </w:pPr>
      <w:r>
        <w:rPr>
          <w:rFonts w:hint="eastAsia"/>
          <w:color w:val="auto"/>
          <w:sz w:val="24"/>
          <w:szCs w:val="24"/>
        </w:rPr>
        <w:t>支持医务大屏中的医务管理平台进行展示。</w:t>
      </w:r>
    </w:p>
    <w:p w14:paraId="4137F1DC">
      <w:pPr>
        <w:pStyle w:val="94"/>
        <w:numPr>
          <w:ilvl w:val="0"/>
          <w:numId w:val="17"/>
        </w:numPr>
        <w:ind w:left="0" w:firstLine="480"/>
        <w:rPr>
          <w:color w:val="auto"/>
          <w:sz w:val="24"/>
          <w:szCs w:val="24"/>
        </w:rPr>
      </w:pPr>
      <w:r>
        <w:rPr>
          <w:rFonts w:hint="eastAsia"/>
          <w:color w:val="auto"/>
          <w:sz w:val="24"/>
          <w:szCs w:val="24"/>
        </w:rPr>
        <w:t>支持医务大屏中的医务管理平台</w:t>
      </w:r>
      <w:r>
        <w:rPr>
          <w:color w:val="auto"/>
          <w:sz w:val="24"/>
          <w:szCs w:val="24"/>
        </w:rPr>
        <w:t>-手术</w:t>
      </w:r>
      <w:r>
        <w:rPr>
          <w:rFonts w:hint="eastAsia"/>
          <w:color w:val="auto"/>
          <w:sz w:val="24"/>
          <w:szCs w:val="24"/>
        </w:rPr>
        <w:t>进行展示。</w:t>
      </w:r>
    </w:p>
    <w:p w14:paraId="0C3C194D">
      <w:pPr>
        <w:pStyle w:val="94"/>
        <w:numPr>
          <w:ilvl w:val="0"/>
          <w:numId w:val="17"/>
        </w:numPr>
        <w:ind w:left="0" w:firstLine="480"/>
        <w:rPr>
          <w:color w:val="auto"/>
          <w:sz w:val="24"/>
          <w:szCs w:val="24"/>
        </w:rPr>
      </w:pPr>
      <w:r>
        <w:rPr>
          <w:rFonts w:hint="eastAsia"/>
          <w:color w:val="auto"/>
          <w:sz w:val="24"/>
          <w:szCs w:val="24"/>
        </w:rPr>
        <w:t>支持医务大屏中的医务管理平台</w:t>
      </w:r>
      <w:r>
        <w:rPr>
          <w:color w:val="auto"/>
          <w:sz w:val="24"/>
          <w:szCs w:val="24"/>
        </w:rPr>
        <w:t>-医技</w:t>
      </w:r>
      <w:r>
        <w:rPr>
          <w:rFonts w:hint="eastAsia"/>
          <w:color w:val="auto"/>
          <w:sz w:val="24"/>
          <w:szCs w:val="24"/>
        </w:rPr>
        <w:t>进行展示。</w:t>
      </w:r>
    </w:p>
    <w:p w14:paraId="6DF3CA57">
      <w:pPr>
        <w:pStyle w:val="94"/>
        <w:numPr>
          <w:ilvl w:val="0"/>
          <w:numId w:val="17"/>
        </w:numPr>
        <w:ind w:left="0" w:firstLine="480"/>
        <w:rPr>
          <w:color w:val="auto"/>
          <w:sz w:val="24"/>
          <w:szCs w:val="24"/>
        </w:rPr>
      </w:pPr>
      <w:r>
        <w:rPr>
          <w:rFonts w:hint="eastAsia"/>
          <w:color w:val="auto"/>
          <w:sz w:val="24"/>
          <w:szCs w:val="24"/>
        </w:rPr>
        <w:t>支持医务大屏中的医务管理平台</w:t>
      </w:r>
      <w:r>
        <w:rPr>
          <w:color w:val="auto"/>
          <w:sz w:val="24"/>
          <w:szCs w:val="24"/>
        </w:rPr>
        <w:t>-临床路径</w:t>
      </w:r>
      <w:r>
        <w:rPr>
          <w:rFonts w:hint="eastAsia"/>
          <w:color w:val="auto"/>
          <w:sz w:val="24"/>
          <w:szCs w:val="24"/>
        </w:rPr>
        <w:t>进行展示。</w:t>
      </w:r>
    </w:p>
    <w:p w14:paraId="216840B9">
      <w:pPr>
        <w:pStyle w:val="94"/>
        <w:numPr>
          <w:ilvl w:val="0"/>
          <w:numId w:val="17"/>
        </w:numPr>
        <w:ind w:left="0" w:firstLine="480"/>
        <w:rPr>
          <w:color w:val="auto"/>
          <w:sz w:val="24"/>
          <w:szCs w:val="24"/>
        </w:rPr>
      </w:pPr>
      <w:r>
        <w:rPr>
          <w:rFonts w:hint="eastAsia"/>
          <w:color w:val="auto"/>
          <w:sz w:val="24"/>
          <w:szCs w:val="24"/>
        </w:rPr>
        <w:t>支持医务大屏中的医务管理平台</w:t>
      </w:r>
      <w:r>
        <w:rPr>
          <w:color w:val="auto"/>
          <w:sz w:val="24"/>
          <w:szCs w:val="24"/>
        </w:rPr>
        <w:t>-单病种</w:t>
      </w:r>
      <w:r>
        <w:rPr>
          <w:rFonts w:hint="eastAsia"/>
          <w:color w:val="auto"/>
          <w:sz w:val="24"/>
          <w:szCs w:val="24"/>
        </w:rPr>
        <w:t>进行展示。</w:t>
      </w:r>
    </w:p>
    <w:p w14:paraId="14C29B0B">
      <w:pPr>
        <w:pStyle w:val="94"/>
        <w:numPr>
          <w:ilvl w:val="0"/>
          <w:numId w:val="17"/>
        </w:numPr>
        <w:ind w:left="0" w:firstLine="480"/>
        <w:rPr>
          <w:color w:val="auto"/>
          <w:sz w:val="24"/>
          <w:szCs w:val="24"/>
        </w:rPr>
      </w:pPr>
      <w:r>
        <w:rPr>
          <w:rFonts w:hint="eastAsia"/>
          <w:color w:val="auto"/>
          <w:sz w:val="24"/>
          <w:szCs w:val="24"/>
        </w:rPr>
        <w:t>支持医务大屏中的医务管理平台</w:t>
      </w:r>
      <w:r>
        <w:rPr>
          <w:color w:val="auto"/>
          <w:sz w:val="24"/>
          <w:szCs w:val="24"/>
        </w:rPr>
        <w:t>-不良事件</w:t>
      </w:r>
      <w:r>
        <w:rPr>
          <w:rFonts w:hint="eastAsia"/>
          <w:color w:val="auto"/>
          <w:sz w:val="24"/>
          <w:szCs w:val="24"/>
        </w:rPr>
        <w:t>进行展示。</w:t>
      </w:r>
    </w:p>
    <w:p w14:paraId="197B9DD8">
      <w:pPr>
        <w:pStyle w:val="94"/>
        <w:numPr>
          <w:ilvl w:val="0"/>
          <w:numId w:val="17"/>
        </w:numPr>
        <w:ind w:left="0" w:firstLine="480"/>
        <w:rPr>
          <w:color w:val="auto"/>
          <w:sz w:val="24"/>
          <w:szCs w:val="24"/>
        </w:rPr>
      </w:pPr>
      <w:r>
        <w:rPr>
          <w:rFonts w:hint="eastAsia"/>
          <w:color w:val="auto"/>
          <w:sz w:val="24"/>
          <w:szCs w:val="24"/>
        </w:rPr>
        <w:t>支持医务大屏中的医务管理平台</w:t>
      </w:r>
      <w:r>
        <w:rPr>
          <w:color w:val="auto"/>
          <w:sz w:val="24"/>
          <w:szCs w:val="24"/>
        </w:rPr>
        <w:t>-医师人力资源</w:t>
      </w:r>
      <w:r>
        <w:rPr>
          <w:rFonts w:hint="eastAsia"/>
          <w:color w:val="auto"/>
          <w:sz w:val="24"/>
          <w:szCs w:val="24"/>
        </w:rPr>
        <w:t>进行展示。</w:t>
      </w:r>
    </w:p>
    <w:p w14:paraId="39A3E325">
      <w:pPr>
        <w:pStyle w:val="94"/>
        <w:numPr>
          <w:ilvl w:val="0"/>
          <w:numId w:val="17"/>
        </w:numPr>
        <w:ind w:left="0" w:firstLine="480"/>
        <w:rPr>
          <w:color w:val="auto"/>
          <w:sz w:val="24"/>
          <w:szCs w:val="24"/>
        </w:rPr>
      </w:pPr>
      <w:r>
        <w:rPr>
          <w:rFonts w:hint="eastAsia"/>
          <w:color w:val="auto"/>
          <w:sz w:val="24"/>
          <w:szCs w:val="24"/>
        </w:rPr>
        <w:t>支持临床诊疗大屏中的护理概况进行展示。</w:t>
      </w:r>
    </w:p>
    <w:p w14:paraId="11E92209">
      <w:pPr>
        <w:pStyle w:val="94"/>
        <w:numPr>
          <w:ilvl w:val="0"/>
          <w:numId w:val="17"/>
        </w:numPr>
        <w:ind w:left="0" w:firstLine="480"/>
        <w:rPr>
          <w:color w:val="auto"/>
          <w:sz w:val="24"/>
          <w:szCs w:val="24"/>
        </w:rPr>
      </w:pPr>
      <w:r>
        <w:rPr>
          <w:rFonts w:hint="eastAsia"/>
          <w:color w:val="auto"/>
          <w:sz w:val="24"/>
          <w:szCs w:val="24"/>
        </w:rPr>
        <w:t>支持临床诊疗大屏中的护理概况进行展示。</w:t>
      </w:r>
    </w:p>
    <w:p w14:paraId="5D8F3101">
      <w:pPr>
        <w:pStyle w:val="94"/>
        <w:numPr>
          <w:ilvl w:val="0"/>
          <w:numId w:val="17"/>
        </w:numPr>
        <w:ind w:left="0" w:firstLine="480"/>
        <w:rPr>
          <w:color w:val="auto"/>
          <w:sz w:val="24"/>
          <w:szCs w:val="24"/>
        </w:rPr>
      </w:pPr>
      <w:r>
        <w:rPr>
          <w:rFonts w:hint="eastAsia"/>
          <w:color w:val="auto"/>
          <w:sz w:val="24"/>
          <w:szCs w:val="24"/>
        </w:rPr>
        <w:t>支持临床诊疗大屏中的门诊诊疗进行展示。</w:t>
      </w:r>
    </w:p>
    <w:p w14:paraId="5B201E37">
      <w:pPr>
        <w:pStyle w:val="94"/>
        <w:numPr>
          <w:ilvl w:val="0"/>
          <w:numId w:val="17"/>
        </w:numPr>
        <w:ind w:left="0" w:firstLine="480"/>
        <w:rPr>
          <w:color w:val="auto"/>
          <w:sz w:val="24"/>
          <w:szCs w:val="24"/>
        </w:rPr>
      </w:pPr>
      <w:r>
        <w:rPr>
          <w:rFonts w:hint="eastAsia"/>
          <w:color w:val="auto"/>
          <w:sz w:val="24"/>
          <w:szCs w:val="24"/>
        </w:rPr>
        <w:t>支持临床诊疗大屏中的手术麻醉进行展示。</w:t>
      </w:r>
    </w:p>
    <w:p w14:paraId="74F65307">
      <w:pPr>
        <w:pStyle w:val="94"/>
        <w:numPr>
          <w:ilvl w:val="0"/>
          <w:numId w:val="17"/>
        </w:numPr>
        <w:ind w:left="0" w:firstLine="480"/>
        <w:rPr>
          <w:color w:val="auto"/>
          <w:sz w:val="24"/>
          <w:szCs w:val="24"/>
        </w:rPr>
      </w:pPr>
      <w:r>
        <w:rPr>
          <w:rFonts w:hint="eastAsia"/>
          <w:color w:val="auto"/>
          <w:sz w:val="24"/>
          <w:szCs w:val="24"/>
        </w:rPr>
        <w:t>支持临床诊疗大屏中的住院死亡整体情况门诊实时监控进行展示。</w:t>
      </w:r>
    </w:p>
    <w:p w14:paraId="5198EFD4">
      <w:pPr>
        <w:pStyle w:val="94"/>
        <w:numPr>
          <w:ilvl w:val="0"/>
          <w:numId w:val="17"/>
        </w:numPr>
        <w:ind w:left="0" w:firstLine="480"/>
        <w:rPr>
          <w:color w:val="auto"/>
          <w:sz w:val="24"/>
          <w:szCs w:val="24"/>
        </w:rPr>
      </w:pPr>
      <w:r>
        <w:rPr>
          <w:rFonts w:hint="eastAsia"/>
          <w:color w:val="auto"/>
          <w:sz w:val="24"/>
          <w:szCs w:val="24"/>
        </w:rPr>
        <w:t>支持临床诊疗大屏中的住院实时监控进行展示。</w:t>
      </w:r>
    </w:p>
    <w:p w14:paraId="02911EC1">
      <w:pPr>
        <w:pStyle w:val="94"/>
        <w:numPr>
          <w:ilvl w:val="0"/>
          <w:numId w:val="17"/>
        </w:numPr>
        <w:ind w:left="0" w:firstLine="480"/>
        <w:rPr>
          <w:color w:val="auto"/>
          <w:sz w:val="24"/>
          <w:szCs w:val="24"/>
        </w:rPr>
      </w:pPr>
      <w:r>
        <w:rPr>
          <w:rFonts w:hint="eastAsia"/>
          <w:color w:val="auto"/>
          <w:sz w:val="24"/>
          <w:szCs w:val="24"/>
        </w:rPr>
        <w:t>支持综合分析大屏中的院长驾驶舱进行展示。</w:t>
      </w:r>
    </w:p>
    <w:p w14:paraId="45E0A90E">
      <w:pPr>
        <w:pStyle w:val="94"/>
        <w:numPr>
          <w:ilvl w:val="0"/>
          <w:numId w:val="17"/>
        </w:numPr>
        <w:ind w:left="0" w:firstLine="480"/>
        <w:rPr>
          <w:color w:val="auto"/>
          <w:sz w:val="24"/>
          <w:szCs w:val="24"/>
        </w:rPr>
      </w:pPr>
      <w:r>
        <w:rPr>
          <w:rFonts w:hint="eastAsia"/>
          <w:color w:val="auto"/>
          <w:sz w:val="24"/>
          <w:szCs w:val="24"/>
        </w:rPr>
        <w:t>支持综合分析大屏中的科主任驾驶舱进行展示。</w:t>
      </w:r>
    </w:p>
    <w:p w14:paraId="2EC49DF2">
      <w:pPr>
        <w:pStyle w:val="94"/>
        <w:numPr>
          <w:ilvl w:val="0"/>
          <w:numId w:val="17"/>
        </w:numPr>
        <w:ind w:left="0" w:firstLine="480"/>
        <w:rPr>
          <w:color w:val="auto"/>
          <w:sz w:val="24"/>
          <w:szCs w:val="24"/>
        </w:rPr>
      </w:pPr>
      <w:r>
        <w:rPr>
          <w:rFonts w:hint="eastAsia"/>
          <w:color w:val="auto"/>
          <w:sz w:val="24"/>
          <w:szCs w:val="24"/>
        </w:rPr>
        <w:t>支持综合分析大屏中的科室人均费用进行展示。</w:t>
      </w:r>
    </w:p>
    <w:p w14:paraId="74A933F6">
      <w:pPr>
        <w:pStyle w:val="94"/>
        <w:numPr>
          <w:ilvl w:val="0"/>
          <w:numId w:val="17"/>
        </w:numPr>
        <w:ind w:left="0" w:firstLine="480"/>
        <w:rPr>
          <w:color w:val="auto"/>
          <w:sz w:val="24"/>
          <w:szCs w:val="24"/>
        </w:rPr>
      </w:pPr>
      <w:r>
        <w:rPr>
          <w:rFonts w:hint="eastAsia"/>
          <w:color w:val="auto"/>
          <w:sz w:val="24"/>
          <w:szCs w:val="24"/>
        </w:rPr>
        <w:t>支持综合分析大屏中的科室医保数据进行展示。</w:t>
      </w:r>
    </w:p>
    <w:p w14:paraId="21DE4ED2">
      <w:pPr>
        <w:pStyle w:val="94"/>
        <w:numPr>
          <w:ilvl w:val="0"/>
          <w:numId w:val="17"/>
        </w:numPr>
        <w:ind w:left="0" w:firstLine="480"/>
        <w:rPr>
          <w:color w:val="auto"/>
          <w:sz w:val="24"/>
          <w:szCs w:val="24"/>
        </w:rPr>
      </w:pPr>
      <w:r>
        <w:rPr>
          <w:rFonts w:hint="eastAsia"/>
          <w:color w:val="auto"/>
          <w:sz w:val="24"/>
          <w:szCs w:val="24"/>
        </w:rPr>
        <w:t>支持综合分析大屏中的科室人员进行展示。</w:t>
      </w:r>
    </w:p>
    <w:p w14:paraId="7F351F0B">
      <w:pPr>
        <w:pStyle w:val="94"/>
        <w:numPr>
          <w:ilvl w:val="0"/>
          <w:numId w:val="17"/>
        </w:numPr>
        <w:ind w:left="0" w:firstLine="480"/>
        <w:rPr>
          <w:color w:val="auto"/>
          <w:sz w:val="24"/>
          <w:szCs w:val="24"/>
        </w:rPr>
      </w:pPr>
      <w:r>
        <w:rPr>
          <w:rFonts w:hint="eastAsia"/>
          <w:color w:val="auto"/>
          <w:sz w:val="24"/>
          <w:szCs w:val="24"/>
        </w:rPr>
        <w:t>支持综合分析大屏中的科室收支结构进行展示。</w:t>
      </w:r>
    </w:p>
    <w:p w14:paraId="620CF90C">
      <w:pPr>
        <w:pStyle w:val="94"/>
        <w:numPr>
          <w:ilvl w:val="0"/>
          <w:numId w:val="17"/>
        </w:numPr>
        <w:ind w:left="0" w:firstLine="480"/>
        <w:rPr>
          <w:color w:val="auto"/>
          <w:sz w:val="24"/>
          <w:szCs w:val="24"/>
        </w:rPr>
      </w:pPr>
      <w:r>
        <w:rPr>
          <w:rFonts w:hint="eastAsia"/>
          <w:color w:val="auto"/>
          <w:sz w:val="24"/>
          <w:szCs w:val="24"/>
        </w:rPr>
        <w:t>支持综合分析大屏中的科室患者费用进行展示。</w:t>
      </w:r>
    </w:p>
    <w:p w14:paraId="66E55278">
      <w:pPr>
        <w:pStyle w:val="94"/>
        <w:numPr>
          <w:ilvl w:val="0"/>
          <w:numId w:val="17"/>
        </w:numPr>
        <w:ind w:left="0" w:firstLine="480"/>
        <w:rPr>
          <w:color w:val="auto"/>
          <w:sz w:val="24"/>
          <w:szCs w:val="24"/>
        </w:rPr>
      </w:pPr>
      <w:r>
        <w:rPr>
          <w:rFonts w:hint="eastAsia"/>
          <w:color w:val="auto"/>
          <w:sz w:val="24"/>
          <w:szCs w:val="24"/>
        </w:rPr>
        <w:t>支持综合分析大屏中的影像驾驶舱进行展示。</w:t>
      </w:r>
    </w:p>
    <w:p w14:paraId="15DF8902">
      <w:pPr>
        <w:pStyle w:val="94"/>
        <w:numPr>
          <w:ilvl w:val="0"/>
          <w:numId w:val="17"/>
        </w:numPr>
        <w:ind w:left="0" w:firstLine="480"/>
        <w:rPr>
          <w:color w:val="auto"/>
          <w:sz w:val="24"/>
          <w:szCs w:val="24"/>
        </w:rPr>
      </w:pPr>
      <w:r>
        <w:rPr>
          <w:rFonts w:hint="eastAsia"/>
          <w:color w:val="auto"/>
          <w:sz w:val="24"/>
          <w:szCs w:val="24"/>
        </w:rPr>
        <w:t>支持运营管理大屏中的人力资源进行展示。</w:t>
      </w:r>
    </w:p>
    <w:p w14:paraId="7AD46AC1">
      <w:pPr>
        <w:pStyle w:val="94"/>
        <w:numPr>
          <w:ilvl w:val="0"/>
          <w:numId w:val="17"/>
        </w:numPr>
        <w:ind w:left="0" w:firstLine="480"/>
        <w:rPr>
          <w:color w:val="auto"/>
          <w:sz w:val="24"/>
          <w:szCs w:val="24"/>
        </w:rPr>
      </w:pPr>
      <w:r>
        <w:rPr>
          <w:rFonts w:hint="eastAsia"/>
          <w:color w:val="auto"/>
          <w:sz w:val="24"/>
          <w:szCs w:val="24"/>
        </w:rPr>
        <w:t>支持运营管理大屏中的工作效率进行展示。</w:t>
      </w:r>
    </w:p>
    <w:p w14:paraId="4837265F">
      <w:pPr>
        <w:pStyle w:val="94"/>
        <w:numPr>
          <w:ilvl w:val="0"/>
          <w:numId w:val="17"/>
        </w:numPr>
        <w:ind w:left="0" w:firstLine="480"/>
        <w:rPr>
          <w:color w:val="auto"/>
          <w:sz w:val="24"/>
          <w:szCs w:val="24"/>
        </w:rPr>
      </w:pPr>
      <w:r>
        <w:rPr>
          <w:rFonts w:hint="eastAsia"/>
          <w:color w:val="auto"/>
          <w:sz w:val="24"/>
          <w:szCs w:val="24"/>
        </w:rPr>
        <w:t>支持医疗质量大屏进行展示。</w:t>
      </w:r>
    </w:p>
    <w:p w14:paraId="6524AB16">
      <w:pPr>
        <w:pStyle w:val="94"/>
        <w:numPr>
          <w:ilvl w:val="0"/>
          <w:numId w:val="17"/>
        </w:numPr>
        <w:ind w:left="0" w:firstLine="480"/>
        <w:rPr>
          <w:color w:val="auto"/>
          <w:sz w:val="24"/>
          <w:szCs w:val="24"/>
        </w:rPr>
      </w:pPr>
      <w:r>
        <w:rPr>
          <w:rFonts w:hint="eastAsia"/>
          <w:color w:val="auto"/>
          <w:sz w:val="24"/>
          <w:szCs w:val="24"/>
        </w:rPr>
        <w:t>支持辅助诊疗大屏中的药品金额排名进行展示。</w:t>
      </w:r>
    </w:p>
    <w:p w14:paraId="0CE788EE">
      <w:pPr>
        <w:pStyle w:val="94"/>
        <w:numPr>
          <w:ilvl w:val="0"/>
          <w:numId w:val="17"/>
        </w:numPr>
        <w:ind w:left="0" w:firstLine="480"/>
        <w:rPr>
          <w:color w:val="auto"/>
          <w:sz w:val="24"/>
          <w:szCs w:val="24"/>
        </w:rPr>
      </w:pPr>
      <w:r>
        <w:rPr>
          <w:rFonts w:hint="eastAsia"/>
          <w:color w:val="auto"/>
          <w:sz w:val="24"/>
          <w:szCs w:val="24"/>
        </w:rPr>
        <w:t>支持辅助诊疗大屏中的医疗安全进行展示。</w:t>
      </w:r>
    </w:p>
    <w:p w14:paraId="242D8254">
      <w:pPr>
        <w:pStyle w:val="94"/>
        <w:numPr>
          <w:ilvl w:val="0"/>
          <w:numId w:val="17"/>
        </w:numPr>
        <w:ind w:left="0" w:firstLine="480"/>
        <w:rPr>
          <w:color w:val="auto"/>
          <w:sz w:val="24"/>
          <w:szCs w:val="24"/>
        </w:rPr>
      </w:pPr>
      <w:r>
        <w:rPr>
          <w:rFonts w:hint="eastAsia"/>
          <w:color w:val="auto"/>
          <w:sz w:val="24"/>
          <w:szCs w:val="24"/>
        </w:rPr>
        <w:t>支持药品耗材大屏中的住院药品费进行展示。</w:t>
      </w:r>
    </w:p>
    <w:p w14:paraId="4A80B89F">
      <w:pPr>
        <w:pStyle w:val="94"/>
        <w:numPr>
          <w:ilvl w:val="0"/>
          <w:numId w:val="17"/>
        </w:numPr>
        <w:ind w:left="0" w:firstLine="480"/>
        <w:rPr>
          <w:color w:val="auto"/>
          <w:sz w:val="24"/>
          <w:szCs w:val="24"/>
        </w:rPr>
      </w:pPr>
      <w:r>
        <w:rPr>
          <w:rFonts w:hint="eastAsia"/>
          <w:color w:val="auto"/>
          <w:sz w:val="24"/>
          <w:szCs w:val="24"/>
        </w:rPr>
        <w:t>支持药品耗材大屏中的门诊耗材费进行展示。</w:t>
      </w:r>
    </w:p>
    <w:p w14:paraId="3CB1D65A">
      <w:pPr>
        <w:pStyle w:val="94"/>
        <w:numPr>
          <w:ilvl w:val="0"/>
          <w:numId w:val="17"/>
        </w:numPr>
        <w:ind w:left="0" w:firstLine="480"/>
        <w:rPr>
          <w:color w:val="auto"/>
          <w:sz w:val="24"/>
          <w:szCs w:val="24"/>
        </w:rPr>
      </w:pPr>
      <w:r>
        <w:rPr>
          <w:rFonts w:hint="eastAsia"/>
          <w:color w:val="auto"/>
          <w:sz w:val="24"/>
          <w:szCs w:val="24"/>
        </w:rPr>
        <w:t>支持药品耗材大屏中的住院耗材费进行展示。</w:t>
      </w:r>
    </w:p>
    <w:p w14:paraId="4AE58876">
      <w:pPr>
        <w:bidi w:val="0"/>
        <w:ind w:left="0" w:leftChars="0" w:firstLine="0" w:firstLineChars="0"/>
        <w:rPr>
          <w:rFonts w:hint="eastAsia" w:ascii="宋体" w:hAnsi="宋体" w:eastAsia="宋体" w:cs="Times New Roman"/>
          <w:b/>
          <w:bCs/>
          <w:color w:val="auto"/>
        </w:rPr>
      </w:pPr>
      <w:r>
        <w:rPr>
          <w:rFonts w:hint="eastAsia" w:ascii="宋体" w:hAnsi="宋体" w:eastAsia="宋体" w:cs="Times New Roman"/>
          <w:b/>
          <w:bCs/>
          <w:color w:val="auto"/>
        </w:rPr>
        <w:t>支持药品耗材大屏中的门诊药品费进行展示。</w:t>
      </w:r>
    </w:p>
    <w:p w14:paraId="16B8257A">
      <w:pPr>
        <w:pStyle w:val="13"/>
        <w:rPr>
          <w:color w:val="auto"/>
          <w:szCs w:val="28"/>
        </w:rPr>
      </w:pPr>
      <w:r>
        <w:rPr>
          <w:rFonts w:hint="eastAsia"/>
          <w:color w:val="auto"/>
          <w:szCs w:val="28"/>
          <w:lang w:val="en-US" w:eastAsia="zh-CN"/>
        </w:rPr>
        <w:t xml:space="preserve"> </w:t>
      </w:r>
      <w:r>
        <w:rPr>
          <w:rFonts w:hint="eastAsia"/>
          <w:color w:val="auto"/>
          <w:szCs w:val="28"/>
        </w:rPr>
        <w:t>基础系统</w:t>
      </w:r>
      <w:r>
        <w:rPr>
          <w:rFonts w:hint="eastAsia"/>
          <w:color w:val="auto"/>
          <w:szCs w:val="28"/>
        </w:rPr>
        <w:tab/>
      </w:r>
    </w:p>
    <w:p w14:paraId="40CAF207">
      <w:pPr>
        <w:pStyle w:val="14"/>
        <w:bidi w:val="0"/>
        <w:rPr>
          <w:color w:val="auto"/>
        </w:rPr>
      </w:pPr>
      <w:r>
        <w:rPr>
          <w:rFonts w:hint="eastAsia"/>
          <w:color w:val="auto"/>
          <w:lang w:val="en-US" w:eastAsia="zh-CN"/>
        </w:rPr>
        <w:t xml:space="preserve"> </w:t>
      </w:r>
      <w:r>
        <w:rPr>
          <w:rFonts w:hint="eastAsia"/>
          <w:color w:val="auto"/>
        </w:rPr>
        <w:t>统计信息系统</w:t>
      </w:r>
    </w:p>
    <w:p w14:paraId="6DA8DBF1">
      <w:pPr>
        <w:rPr>
          <w:rFonts w:hint="eastAsia"/>
          <w:color w:val="auto"/>
          <w:lang w:eastAsia="zh-CN"/>
        </w:rPr>
      </w:pPr>
      <w:r>
        <w:rPr>
          <w:color w:val="auto"/>
        </w:rPr>
        <w:t>从多个数据源获取信息，包括企业内部的各个部门数据和外部的市场调研数据等。通过自动化和系统化的处理，统计信息系统能够提高统计工作的效率和准确性，减少人为错误</w:t>
      </w:r>
      <w:r>
        <w:rPr>
          <w:rFonts w:hint="eastAsia"/>
          <w:color w:val="auto"/>
          <w:lang w:eastAsia="zh-CN"/>
        </w:rPr>
        <w:t>。</w:t>
      </w:r>
    </w:p>
    <w:p w14:paraId="7FC03F5A">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ascii="Arial" w:hAnsi="Arial" w:eastAsia="Arial" w:cs="Arial"/>
          <w:i w:val="0"/>
          <w:iCs w:val="0"/>
          <w:caps w:val="0"/>
          <w:color w:val="auto"/>
          <w:spacing w:val="0"/>
          <w:sz w:val="19"/>
          <w:szCs w:val="19"/>
          <w:shd w:val="clear" w:fill="FFFFFF"/>
        </w:rPr>
        <w:t>‌</w:t>
      </w:r>
    </w:p>
    <w:p w14:paraId="75194C04">
      <w:pPr>
        <w:pStyle w:val="94"/>
        <w:numPr>
          <w:ilvl w:val="0"/>
          <w:numId w:val="18"/>
        </w:numPr>
        <w:ind w:left="0" w:firstLine="480"/>
        <w:rPr>
          <w:color w:val="auto"/>
          <w:sz w:val="24"/>
          <w:szCs w:val="24"/>
        </w:rPr>
      </w:pPr>
      <w:r>
        <w:rPr>
          <w:color w:val="auto"/>
          <w:sz w:val="24"/>
          <w:szCs w:val="24"/>
        </w:rPr>
        <w:t>支持以向导方式或可视化编辑方式自动生成报表，实现所见即所得的效果</w:t>
      </w:r>
      <w:r>
        <w:rPr>
          <w:rFonts w:hint="eastAsia"/>
          <w:color w:val="auto"/>
          <w:sz w:val="24"/>
          <w:szCs w:val="24"/>
        </w:rPr>
        <w:t>。</w:t>
      </w:r>
    </w:p>
    <w:p w14:paraId="21882C66">
      <w:pPr>
        <w:pStyle w:val="94"/>
        <w:numPr>
          <w:ilvl w:val="0"/>
          <w:numId w:val="18"/>
        </w:numPr>
        <w:ind w:left="0" w:firstLine="480"/>
        <w:rPr>
          <w:color w:val="auto"/>
          <w:sz w:val="24"/>
          <w:szCs w:val="24"/>
        </w:rPr>
      </w:pPr>
      <w:r>
        <w:rPr>
          <w:color w:val="auto"/>
          <w:sz w:val="24"/>
          <w:szCs w:val="24"/>
        </w:rPr>
        <w:t>支持对报表进行授权控制</w:t>
      </w:r>
      <w:r>
        <w:rPr>
          <w:rFonts w:hint="eastAsia"/>
          <w:color w:val="auto"/>
          <w:sz w:val="24"/>
          <w:szCs w:val="24"/>
        </w:rPr>
        <w:t>。</w:t>
      </w:r>
    </w:p>
    <w:p w14:paraId="0D758B44">
      <w:pPr>
        <w:pStyle w:val="94"/>
        <w:numPr>
          <w:ilvl w:val="0"/>
          <w:numId w:val="18"/>
        </w:numPr>
        <w:ind w:left="0" w:firstLine="480"/>
        <w:rPr>
          <w:color w:val="auto"/>
          <w:sz w:val="24"/>
          <w:szCs w:val="24"/>
        </w:rPr>
      </w:pPr>
      <w:r>
        <w:rPr>
          <w:color w:val="auto"/>
          <w:sz w:val="24"/>
          <w:szCs w:val="24"/>
        </w:rPr>
        <w:t>支持报表多格式，一个报表可以有多张格式，使用</w:t>
      </w:r>
      <w:r>
        <w:rPr>
          <w:rFonts w:hint="eastAsia"/>
          <w:color w:val="auto"/>
          <w:sz w:val="24"/>
          <w:szCs w:val="24"/>
        </w:rPr>
        <w:t>相同数</w:t>
      </w:r>
      <w:r>
        <w:rPr>
          <w:color w:val="auto"/>
          <w:sz w:val="24"/>
          <w:szCs w:val="24"/>
        </w:rPr>
        <w:t>据源</w:t>
      </w:r>
      <w:r>
        <w:rPr>
          <w:rFonts w:hint="eastAsia"/>
          <w:color w:val="auto"/>
          <w:sz w:val="24"/>
          <w:szCs w:val="24"/>
        </w:rPr>
        <w:t>。</w:t>
      </w:r>
    </w:p>
    <w:p w14:paraId="643CA248">
      <w:pPr>
        <w:pStyle w:val="94"/>
        <w:numPr>
          <w:ilvl w:val="0"/>
          <w:numId w:val="18"/>
        </w:numPr>
        <w:ind w:left="0" w:firstLine="480"/>
        <w:rPr>
          <w:color w:val="auto"/>
          <w:sz w:val="24"/>
          <w:szCs w:val="24"/>
        </w:rPr>
      </w:pPr>
      <w:r>
        <w:rPr>
          <w:rFonts w:hint="eastAsia"/>
          <w:color w:val="auto"/>
          <w:sz w:val="24"/>
          <w:szCs w:val="24"/>
        </w:rPr>
        <w:t>提供按照医院需求个性化定制统计报表格式。</w:t>
      </w:r>
    </w:p>
    <w:p w14:paraId="3590E6C8">
      <w:pPr>
        <w:pStyle w:val="94"/>
        <w:numPr>
          <w:ilvl w:val="0"/>
          <w:numId w:val="18"/>
        </w:numPr>
        <w:ind w:left="0" w:firstLine="480"/>
        <w:rPr>
          <w:color w:val="auto"/>
          <w:sz w:val="24"/>
          <w:szCs w:val="24"/>
        </w:rPr>
      </w:pPr>
      <w:r>
        <w:rPr>
          <w:rFonts w:hint="eastAsia"/>
          <w:color w:val="auto"/>
          <w:sz w:val="24"/>
          <w:szCs w:val="24"/>
        </w:rPr>
        <w:t>提供医院资源方面的统计报表如收费项目、科室资源等。</w:t>
      </w:r>
    </w:p>
    <w:p w14:paraId="49BC7D77">
      <w:pPr>
        <w:pStyle w:val="94"/>
        <w:numPr>
          <w:ilvl w:val="0"/>
          <w:numId w:val="18"/>
        </w:numPr>
        <w:ind w:left="0" w:firstLine="480"/>
        <w:rPr>
          <w:color w:val="auto"/>
          <w:sz w:val="24"/>
          <w:szCs w:val="24"/>
        </w:rPr>
      </w:pPr>
      <w:r>
        <w:rPr>
          <w:rFonts w:hint="eastAsia"/>
          <w:color w:val="auto"/>
          <w:sz w:val="24"/>
          <w:szCs w:val="24"/>
        </w:rPr>
        <w:t>提供医院业务数据的统计报表如全院收入、分科收入、未结费用等。</w:t>
      </w:r>
    </w:p>
    <w:p w14:paraId="23AFB694">
      <w:pPr>
        <w:pStyle w:val="94"/>
        <w:numPr>
          <w:ilvl w:val="0"/>
          <w:numId w:val="18"/>
        </w:numPr>
        <w:ind w:left="0" w:firstLine="480"/>
        <w:rPr>
          <w:color w:val="auto"/>
          <w:sz w:val="24"/>
          <w:szCs w:val="24"/>
        </w:rPr>
      </w:pPr>
      <w:r>
        <w:rPr>
          <w:rFonts w:hint="eastAsia"/>
          <w:color w:val="auto"/>
          <w:sz w:val="24"/>
          <w:szCs w:val="24"/>
        </w:rPr>
        <w:t>提供医院运营方面的统计报表如门急诊人次、在院病人分布等。</w:t>
      </w:r>
    </w:p>
    <w:p w14:paraId="1E3DFAB6">
      <w:pPr>
        <w:pStyle w:val="94"/>
        <w:numPr>
          <w:ilvl w:val="0"/>
          <w:numId w:val="18"/>
        </w:numPr>
        <w:ind w:left="0" w:firstLine="480"/>
        <w:rPr>
          <w:color w:val="auto"/>
          <w:sz w:val="24"/>
          <w:szCs w:val="24"/>
        </w:rPr>
      </w:pPr>
      <w:r>
        <w:rPr>
          <w:rFonts w:hint="eastAsia"/>
          <w:color w:val="auto"/>
          <w:sz w:val="24"/>
          <w:szCs w:val="24"/>
        </w:rPr>
        <w:t>提供医疗质量方面的统计报表如质量、工作量分析、费用分析等。</w:t>
      </w:r>
    </w:p>
    <w:p w14:paraId="087193D9">
      <w:pPr>
        <w:pStyle w:val="94"/>
        <w:numPr>
          <w:ilvl w:val="0"/>
          <w:numId w:val="18"/>
        </w:numPr>
        <w:ind w:left="0" w:firstLine="480"/>
        <w:rPr>
          <w:color w:val="auto"/>
          <w:sz w:val="24"/>
          <w:szCs w:val="24"/>
        </w:rPr>
      </w:pPr>
      <w:r>
        <w:rPr>
          <w:rFonts w:hint="eastAsia"/>
          <w:color w:val="auto"/>
          <w:sz w:val="24"/>
          <w:szCs w:val="24"/>
        </w:rPr>
        <w:t>提供药品、卫材方面的统计报表如用药分析、流向跟踪等。</w:t>
      </w:r>
    </w:p>
    <w:p w14:paraId="066FB6FB">
      <w:pPr>
        <w:pStyle w:val="14"/>
        <w:bidi w:val="0"/>
        <w:rPr>
          <w:color w:val="auto"/>
        </w:rPr>
      </w:pPr>
      <w:r>
        <w:rPr>
          <w:rFonts w:hint="eastAsia"/>
          <w:color w:val="auto"/>
          <w:lang w:val="en-US" w:eastAsia="zh-CN"/>
        </w:rPr>
        <w:t xml:space="preserve"> </w:t>
      </w:r>
      <w:r>
        <w:rPr>
          <w:rFonts w:hint="eastAsia"/>
          <w:color w:val="auto"/>
        </w:rPr>
        <w:t>医院信息综合查询</w:t>
      </w:r>
    </w:p>
    <w:p w14:paraId="504ACAD1">
      <w:pPr>
        <w:ind w:firstLine="480"/>
        <w:rPr>
          <w:color w:val="auto"/>
        </w:rPr>
      </w:pPr>
      <w:r>
        <w:rPr>
          <w:rFonts w:hint="eastAsia"/>
          <w:color w:val="auto"/>
        </w:rPr>
        <w:t>(1）医院综合查询</w:t>
      </w:r>
    </w:p>
    <w:p w14:paraId="36B79233">
      <w:pPr>
        <w:ind w:firstLine="480"/>
        <w:rPr>
          <w:color w:val="auto"/>
        </w:rPr>
      </w:pPr>
      <w:r>
        <w:rPr>
          <w:rFonts w:hint="eastAsia"/>
          <w:color w:val="auto"/>
        </w:rPr>
        <w:t>实现医院人力资源、物资、财务、临床诊疗、医技医辅等数据的集成，为医院管理者按照不同主题、不同维度、不同时间段提供统计分析查询功能，支持以表格或图表等展示方式，实现数据的挖掘和追溯。</w:t>
      </w:r>
    </w:p>
    <w:p w14:paraId="602F254C">
      <w:pPr>
        <w:ind w:firstLine="480"/>
        <w:rPr>
          <w:color w:val="auto"/>
        </w:rPr>
      </w:pPr>
      <w:r>
        <w:rPr>
          <w:rFonts w:hint="eastAsia"/>
          <w:color w:val="auto"/>
        </w:rPr>
        <w:t>(2)目标决策管理</w:t>
      </w:r>
    </w:p>
    <w:p w14:paraId="489A5254">
      <w:pPr>
        <w:ind w:firstLine="480"/>
        <w:rPr>
          <w:color w:val="auto"/>
        </w:rPr>
      </w:pPr>
      <w:r>
        <w:rPr>
          <w:rFonts w:hint="eastAsia"/>
          <w:color w:val="auto"/>
        </w:rPr>
        <w:t>通过对医院HIS、LIS、EMR、 HRP等系统数据进行整合，对整合的数据进行全面分析，做出评判和决策，为医院在各方面的流程和工作提供决策依据。</w:t>
      </w:r>
    </w:p>
    <w:p w14:paraId="2FF07EB5">
      <w:pPr>
        <w:ind w:firstLine="480"/>
        <w:rPr>
          <w:color w:val="auto"/>
        </w:rPr>
      </w:pPr>
      <w:r>
        <w:rPr>
          <w:rFonts w:hint="eastAsia"/>
          <w:color w:val="auto"/>
        </w:rPr>
        <w:t>(3)KPI指标考核</w:t>
      </w:r>
    </w:p>
    <w:p w14:paraId="01FD0F9B">
      <w:pPr>
        <w:ind w:firstLine="480"/>
        <w:rPr>
          <w:color w:val="auto"/>
        </w:rPr>
      </w:pPr>
      <w:r>
        <w:rPr>
          <w:rFonts w:hint="eastAsia"/>
          <w:color w:val="auto"/>
        </w:rPr>
        <w:t>对医院科室或人员制定评价和激励考核制度,支持医院内部分级的梯度考核，如科室、医疗组、医生等。</w:t>
      </w:r>
    </w:p>
    <w:p w14:paraId="3DEA5705">
      <w:pPr>
        <w:pStyle w:val="14"/>
        <w:bidi w:val="0"/>
        <w:rPr>
          <w:color w:val="auto"/>
        </w:rPr>
      </w:pPr>
      <w:r>
        <w:rPr>
          <w:rFonts w:hint="eastAsia"/>
          <w:color w:val="auto"/>
          <w:lang w:val="en-US" w:eastAsia="zh-CN"/>
        </w:rPr>
        <w:t xml:space="preserve"> </w:t>
      </w:r>
      <w:r>
        <w:rPr>
          <w:rFonts w:hint="eastAsia"/>
          <w:color w:val="auto"/>
        </w:rPr>
        <w:t>字典参数配置</w:t>
      </w:r>
    </w:p>
    <w:p w14:paraId="76668235">
      <w:pPr>
        <w:rPr>
          <w:rFonts w:hint="eastAsia" w:ascii="宋体" w:hAnsi="宋体" w:eastAsia="宋体" w:cs="Times New Roman"/>
          <w:color w:val="auto"/>
          <w:lang w:eastAsia="zh-CN"/>
        </w:rPr>
      </w:pPr>
      <w:r>
        <w:rPr>
          <w:rFonts w:hint="eastAsia"/>
          <w:color w:val="auto"/>
        </w:rPr>
        <w:t>字典参数配</w:t>
      </w:r>
      <w:r>
        <w:rPr>
          <w:rFonts w:hint="eastAsia" w:ascii="宋体" w:hAnsi="宋体" w:eastAsia="宋体" w:cs="Times New Roman"/>
          <w:color w:val="auto"/>
        </w:rPr>
        <w:t>置将一些常量或者静态数据存储在一个配置文件中</w:t>
      </w:r>
      <w:r>
        <w:rPr>
          <w:rFonts w:hint="eastAsia" w:ascii="宋体" w:hAnsi="宋体" w:eastAsia="宋体" w:cs="Times New Roman"/>
          <w:color w:val="auto"/>
          <w:lang w:eastAsia="zh-CN"/>
        </w:rPr>
        <w:t>。</w:t>
      </w:r>
    </w:p>
    <w:p w14:paraId="4740D271">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lang w:eastAsia="zh-CN"/>
        </w:rPr>
      </w:pPr>
      <w:r>
        <w:rPr>
          <w:rFonts w:hint="eastAsia" w:ascii="宋体" w:hAnsi="宋体" w:eastAsia="宋体" w:cs="宋体"/>
          <w:color w:val="auto"/>
          <w:kern w:val="2"/>
          <w:sz w:val="24"/>
          <w:szCs w:val="24"/>
          <w:highlight w:val="none"/>
          <w:lang w:val="en-US" w:eastAsia="zh-CN" w:bidi="ar"/>
        </w:rPr>
        <w:t>具体功能包括但不限于以下：</w:t>
      </w:r>
    </w:p>
    <w:p w14:paraId="73D4126D">
      <w:pPr>
        <w:ind w:firstLine="480"/>
        <w:rPr>
          <w:color w:val="auto"/>
        </w:rPr>
      </w:pPr>
      <w:r>
        <w:rPr>
          <w:rFonts w:hint="eastAsia"/>
          <w:color w:val="auto"/>
        </w:rPr>
        <w:t>1</w:t>
      </w:r>
      <w:r>
        <w:rPr>
          <w:color w:val="auto"/>
        </w:rPr>
        <w:t>.支持多级参数设置（医联体级、人民医院级、乡镇卫生院级等）。</w:t>
      </w:r>
    </w:p>
    <w:p w14:paraId="05F52117">
      <w:pPr>
        <w:ind w:firstLine="480"/>
        <w:rPr>
          <w:color w:val="auto"/>
        </w:rPr>
      </w:pPr>
      <w:r>
        <w:rPr>
          <w:color w:val="auto"/>
        </w:rPr>
        <w:t>2.支持根据参数优先级判断是否生效。</w:t>
      </w:r>
    </w:p>
    <w:p w14:paraId="7E23B66B">
      <w:pPr>
        <w:ind w:firstLine="480"/>
        <w:rPr>
          <w:color w:val="auto"/>
        </w:rPr>
      </w:pPr>
      <w:r>
        <w:rPr>
          <w:color w:val="auto"/>
        </w:rPr>
        <w:t>3.支持根据拼音码、五笔码、汉字检索参数。</w:t>
      </w:r>
    </w:p>
    <w:p w14:paraId="24A48C3B">
      <w:pPr>
        <w:ind w:firstLine="480"/>
        <w:rPr>
          <w:color w:val="auto"/>
        </w:rPr>
      </w:pPr>
      <w:r>
        <w:rPr>
          <w:rFonts w:hint="eastAsia"/>
          <w:color w:val="auto"/>
        </w:rPr>
        <w:t>4</w:t>
      </w:r>
      <w:r>
        <w:rPr>
          <w:color w:val="auto"/>
        </w:rPr>
        <w:t>.支持修改参数排序。</w:t>
      </w:r>
    </w:p>
    <w:p w14:paraId="33FB2EDB">
      <w:pPr>
        <w:ind w:firstLine="480"/>
        <w:rPr>
          <w:color w:val="auto"/>
        </w:rPr>
      </w:pPr>
      <w:r>
        <w:rPr>
          <w:rFonts w:hint="eastAsia"/>
          <w:color w:val="auto"/>
        </w:rPr>
        <w:t>5</w:t>
      </w:r>
      <w:r>
        <w:rPr>
          <w:color w:val="auto"/>
        </w:rPr>
        <w:t>.支持参数导入导出。</w:t>
      </w:r>
    </w:p>
    <w:p w14:paraId="051BF8FA">
      <w:pPr>
        <w:pStyle w:val="14"/>
        <w:bidi w:val="0"/>
        <w:rPr>
          <w:color w:val="auto"/>
        </w:rPr>
      </w:pPr>
      <w:r>
        <w:rPr>
          <w:rFonts w:hint="eastAsia"/>
          <w:color w:val="auto"/>
          <w:lang w:val="en-US" w:eastAsia="zh-CN"/>
        </w:rPr>
        <w:t xml:space="preserve"> </w:t>
      </w:r>
      <w:r>
        <w:rPr>
          <w:rFonts w:hint="eastAsia"/>
          <w:color w:val="auto"/>
        </w:rPr>
        <w:t>系统菜单管理</w:t>
      </w:r>
    </w:p>
    <w:p w14:paraId="7986846F">
      <w:pPr>
        <w:rPr>
          <w:rFonts w:hint="eastAsia"/>
          <w:color w:val="auto"/>
          <w:lang w:eastAsia="zh-CN"/>
        </w:rPr>
      </w:pPr>
      <w:r>
        <w:rPr>
          <w:color w:val="auto"/>
        </w:rPr>
        <w:t>通过菜单管理，可以根据用户的身份和权限设置不同的菜单展示和操作功能，以满足不同用户的需求</w:t>
      </w:r>
      <w:r>
        <w:rPr>
          <w:rFonts w:hint="eastAsia"/>
          <w:color w:val="auto"/>
          <w:lang w:eastAsia="zh-CN"/>
        </w:rPr>
        <w:t>。</w:t>
      </w:r>
    </w:p>
    <w:p w14:paraId="47F39FB4">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ascii="Arial" w:hAnsi="Arial" w:eastAsia="Arial" w:cs="Arial"/>
          <w:i w:val="0"/>
          <w:iCs w:val="0"/>
          <w:caps w:val="0"/>
          <w:color w:val="auto"/>
          <w:spacing w:val="0"/>
          <w:sz w:val="19"/>
          <w:szCs w:val="19"/>
          <w:shd w:val="clear" w:fill="FFFFFF"/>
        </w:rPr>
        <w:t>‌</w:t>
      </w:r>
    </w:p>
    <w:p w14:paraId="1C1CF3B2">
      <w:pPr>
        <w:ind w:firstLine="482"/>
        <w:rPr>
          <w:rFonts w:cs="仿宋"/>
          <w:b/>
          <w:color w:val="auto"/>
        </w:rPr>
      </w:pPr>
      <w:r>
        <w:rPr>
          <w:rFonts w:hint="eastAsia" w:cs="仿宋"/>
          <w:b/>
          <w:color w:val="auto"/>
        </w:rPr>
        <w:t>（一）模板菜单定义</w:t>
      </w:r>
    </w:p>
    <w:p w14:paraId="44102752">
      <w:pPr>
        <w:numPr>
          <w:ilvl w:val="0"/>
          <w:numId w:val="19"/>
        </w:numPr>
        <w:ind w:left="5" w:leftChars="0" w:firstLine="475" w:firstLineChars="0"/>
        <w:rPr>
          <w:color w:val="auto"/>
        </w:rPr>
      </w:pPr>
      <w:r>
        <w:rPr>
          <w:b w:val="0"/>
          <w:bCs w:val="0"/>
          <w:color w:val="auto"/>
        </w:rPr>
        <w:t>支</w:t>
      </w:r>
      <w:r>
        <w:rPr>
          <w:color w:val="auto"/>
        </w:rPr>
        <w:t>持系统标准菜单模板定义</w:t>
      </w:r>
      <w:r>
        <w:rPr>
          <w:rFonts w:hint="eastAsia"/>
          <w:color w:val="auto"/>
        </w:rPr>
        <w:t>。</w:t>
      </w:r>
    </w:p>
    <w:p w14:paraId="0F9546C9">
      <w:pPr>
        <w:numPr>
          <w:ilvl w:val="0"/>
          <w:numId w:val="19"/>
        </w:numPr>
        <w:ind w:left="5" w:leftChars="0" w:firstLine="475" w:firstLineChars="0"/>
        <w:rPr>
          <w:color w:val="auto"/>
        </w:rPr>
      </w:pPr>
      <w:r>
        <w:rPr>
          <w:color w:val="auto"/>
        </w:rPr>
        <w:t>支持标准菜单模板导入导出</w:t>
      </w:r>
      <w:r>
        <w:rPr>
          <w:rFonts w:hint="eastAsia"/>
          <w:color w:val="auto"/>
        </w:rPr>
        <w:t>。</w:t>
      </w:r>
    </w:p>
    <w:p w14:paraId="718B00DE">
      <w:pPr>
        <w:numPr>
          <w:ilvl w:val="0"/>
          <w:numId w:val="19"/>
        </w:numPr>
        <w:ind w:left="5" w:leftChars="0" w:firstLine="475" w:firstLineChars="0"/>
        <w:rPr>
          <w:color w:val="auto"/>
        </w:rPr>
      </w:pPr>
      <w:r>
        <w:rPr>
          <w:color w:val="auto"/>
        </w:rPr>
        <w:t>支持标准菜单模板添加</w:t>
      </w:r>
      <w:r>
        <w:rPr>
          <w:rFonts w:hint="eastAsia"/>
          <w:color w:val="auto"/>
        </w:rPr>
        <w:t>、</w:t>
      </w:r>
      <w:r>
        <w:rPr>
          <w:color w:val="auto"/>
        </w:rPr>
        <w:t>删除</w:t>
      </w:r>
      <w:r>
        <w:rPr>
          <w:rFonts w:hint="eastAsia"/>
          <w:color w:val="auto"/>
        </w:rPr>
        <w:t>、</w:t>
      </w:r>
      <w:r>
        <w:rPr>
          <w:color w:val="auto"/>
        </w:rPr>
        <w:t>修改</w:t>
      </w:r>
      <w:r>
        <w:rPr>
          <w:rFonts w:hint="eastAsia"/>
          <w:color w:val="auto"/>
        </w:rPr>
        <w:t>。</w:t>
      </w:r>
    </w:p>
    <w:p w14:paraId="4ACE7F71">
      <w:pPr>
        <w:numPr>
          <w:ilvl w:val="0"/>
          <w:numId w:val="19"/>
        </w:numPr>
        <w:ind w:left="5" w:leftChars="0" w:firstLine="475" w:firstLineChars="0"/>
        <w:rPr>
          <w:color w:val="auto"/>
        </w:rPr>
      </w:pPr>
      <w:r>
        <w:rPr>
          <w:color w:val="auto"/>
        </w:rPr>
        <w:t>支持标准菜单模板复制模板</w:t>
      </w:r>
      <w:r>
        <w:rPr>
          <w:rFonts w:hint="eastAsia"/>
          <w:color w:val="auto"/>
        </w:rPr>
        <w:t>。</w:t>
      </w:r>
    </w:p>
    <w:p w14:paraId="5AB36432">
      <w:pPr>
        <w:ind w:firstLine="482"/>
        <w:rPr>
          <w:rFonts w:cs="仿宋"/>
          <w:b/>
          <w:color w:val="auto"/>
        </w:rPr>
      </w:pPr>
      <w:r>
        <w:rPr>
          <w:rFonts w:hint="eastAsia" w:cs="仿宋"/>
          <w:b/>
          <w:color w:val="auto"/>
        </w:rPr>
        <w:t>（二）医疗单位选择模板</w:t>
      </w:r>
    </w:p>
    <w:p w14:paraId="309E2547">
      <w:pPr>
        <w:numPr>
          <w:ilvl w:val="0"/>
          <w:numId w:val="20"/>
        </w:numPr>
        <w:ind w:left="5" w:leftChars="0" w:firstLine="475" w:firstLineChars="0"/>
        <w:rPr>
          <w:color w:val="auto"/>
        </w:rPr>
      </w:pPr>
      <w:r>
        <w:rPr>
          <w:color w:val="auto"/>
        </w:rPr>
        <w:t>支持根据医院级别</w:t>
      </w:r>
      <w:r>
        <w:rPr>
          <w:rFonts w:hint="eastAsia"/>
          <w:color w:val="auto"/>
        </w:rPr>
        <w:t>（人民医院级、乡镇卫生院级、村卫生室级等）定义医院使用的菜单模板。</w:t>
      </w:r>
    </w:p>
    <w:p w14:paraId="3A10E833">
      <w:pPr>
        <w:numPr>
          <w:ilvl w:val="0"/>
          <w:numId w:val="20"/>
        </w:numPr>
        <w:ind w:left="5" w:leftChars="0" w:firstLine="475" w:firstLineChars="0"/>
        <w:rPr>
          <w:color w:val="auto"/>
        </w:rPr>
      </w:pPr>
      <w:r>
        <w:rPr>
          <w:color w:val="auto"/>
        </w:rPr>
        <w:t>支持选中医疗单位模板锁定</w:t>
      </w:r>
      <w:r>
        <w:rPr>
          <w:rFonts w:hint="eastAsia"/>
          <w:color w:val="auto"/>
        </w:rPr>
        <w:t>。</w:t>
      </w:r>
    </w:p>
    <w:p w14:paraId="081A2322">
      <w:pPr>
        <w:numPr>
          <w:ilvl w:val="0"/>
          <w:numId w:val="20"/>
        </w:numPr>
        <w:ind w:left="5" w:leftChars="0" w:firstLine="475" w:firstLineChars="0"/>
        <w:rPr>
          <w:color w:val="auto"/>
        </w:rPr>
      </w:pPr>
      <w:r>
        <w:rPr>
          <w:color w:val="auto"/>
        </w:rPr>
        <w:t>支持清除选中医疗单位使用的菜单模板</w:t>
      </w:r>
      <w:r>
        <w:rPr>
          <w:rFonts w:hint="eastAsia"/>
          <w:color w:val="auto"/>
        </w:rPr>
        <w:t>。</w:t>
      </w:r>
    </w:p>
    <w:p w14:paraId="03143CF8">
      <w:pPr>
        <w:numPr>
          <w:ilvl w:val="0"/>
          <w:numId w:val="20"/>
        </w:numPr>
        <w:ind w:left="5" w:leftChars="0" w:firstLine="475" w:firstLineChars="0"/>
        <w:rPr>
          <w:color w:val="auto"/>
        </w:rPr>
      </w:pPr>
      <w:r>
        <w:rPr>
          <w:color w:val="auto"/>
        </w:rPr>
        <w:t>支持选中医疗单位菜单屏蔽</w:t>
      </w:r>
      <w:r>
        <w:rPr>
          <w:rFonts w:hint="eastAsia"/>
          <w:color w:val="auto"/>
        </w:rPr>
        <w:t>。</w:t>
      </w:r>
    </w:p>
    <w:p w14:paraId="7A0AA74F">
      <w:pPr>
        <w:numPr>
          <w:ilvl w:val="0"/>
          <w:numId w:val="20"/>
        </w:numPr>
        <w:ind w:left="5" w:leftChars="0" w:firstLine="475" w:firstLineChars="0"/>
        <w:rPr>
          <w:color w:val="auto"/>
        </w:rPr>
      </w:pPr>
      <w:r>
        <w:rPr>
          <w:color w:val="auto"/>
        </w:rPr>
        <w:t>支持批量设置医院菜单模板</w:t>
      </w:r>
      <w:r>
        <w:rPr>
          <w:rFonts w:hint="eastAsia"/>
          <w:color w:val="auto"/>
        </w:rPr>
        <w:t>。</w:t>
      </w:r>
    </w:p>
    <w:p w14:paraId="4FA383B5">
      <w:pPr>
        <w:pStyle w:val="14"/>
        <w:bidi w:val="0"/>
        <w:rPr>
          <w:color w:val="auto"/>
        </w:rPr>
      </w:pPr>
      <w:r>
        <w:rPr>
          <w:rFonts w:hint="eastAsia"/>
          <w:color w:val="auto"/>
          <w:lang w:val="en-US" w:eastAsia="zh-CN"/>
        </w:rPr>
        <w:t xml:space="preserve"> </w:t>
      </w:r>
      <w:r>
        <w:rPr>
          <w:rFonts w:hint="eastAsia"/>
          <w:color w:val="auto"/>
        </w:rPr>
        <w:t>物价管理系统</w:t>
      </w:r>
    </w:p>
    <w:p w14:paraId="16D779F5">
      <w:pPr>
        <w:rPr>
          <w:rFonts w:hint="eastAsia"/>
          <w:color w:val="auto"/>
        </w:rPr>
      </w:pPr>
      <w:r>
        <w:rPr>
          <w:rFonts w:hint="eastAsia"/>
          <w:color w:val="auto"/>
        </w:rPr>
        <w:t>按卫健委和物价局规定的项目和价格进行编辑，对收费项目分类编码，代码唯一。定义项目的属性，如手术、材料、治疗等。定义项目的类别，如医保、公费、自费等，项目扩展属性，增加收费编码、医保编码、数据生成日期、收费项目数量、加注执行科室、备注的内容等的项目属性，后台划价功能。</w:t>
      </w:r>
    </w:p>
    <w:p w14:paraId="665C33F4">
      <w:pPr>
        <w:rPr>
          <w:rFonts w:hint="eastAsia"/>
          <w:color w:val="auto"/>
        </w:rPr>
      </w:pPr>
      <w:r>
        <w:rPr>
          <w:rFonts w:hint="eastAsia"/>
          <w:color w:val="auto"/>
        </w:rPr>
        <w:t>为医院的各项医疗收费提供集中统一的价格控制工具，保证及时准确地完成收费项目的新增、修改和价格调整。</w:t>
      </w:r>
    </w:p>
    <w:p w14:paraId="73C9656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3B5F4EF3">
      <w:pPr>
        <w:ind w:firstLine="482"/>
        <w:rPr>
          <w:rFonts w:hint="eastAsia" w:ascii="宋体" w:hAnsi="宋体" w:eastAsia="宋体" w:cs="仿宋"/>
          <w:b/>
          <w:color w:val="auto"/>
        </w:rPr>
      </w:pPr>
      <w:r>
        <w:rPr>
          <w:rFonts w:hint="eastAsia" w:ascii="宋体" w:hAnsi="宋体" w:eastAsia="宋体" w:cs="仿宋"/>
          <w:b/>
          <w:color w:val="auto"/>
        </w:rPr>
        <w:t>（一）医疗单位诊疗目录设置</w:t>
      </w:r>
    </w:p>
    <w:p w14:paraId="2B98C5E8">
      <w:pPr>
        <w:ind w:firstLine="480"/>
        <w:rPr>
          <w:color w:val="auto"/>
        </w:rPr>
      </w:pPr>
      <w:r>
        <w:rPr>
          <w:color w:val="auto"/>
        </w:rPr>
        <w:t>支持医共体诊疗目录同步到医院。</w:t>
      </w:r>
    </w:p>
    <w:p w14:paraId="396038C0">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二</w:t>
      </w:r>
      <w:r>
        <w:rPr>
          <w:rFonts w:hint="eastAsia" w:ascii="宋体" w:hAnsi="宋体" w:eastAsia="宋体" w:cs="仿宋"/>
          <w:b/>
          <w:color w:val="auto"/>
        </w:rPr>
        <w:t>）核算类别设置</w:t>
      </w:r>
    </w:p>
    <w:p w14:paraId="6B668146">
      <w:pPr>
        <w:numPr>
          <w:ilvl w:val="0"/>
          <w:numId w:val="21"/>
        </w:numPr>
        <w:ind w:left="5" w:leftChars="0" w:firstLine="475" w:firstLineChars="0"/>
        <w:rPr>
          <w:rFonts w:ascii="宋体" w:hAnsi="宋体" w:eastAsia="宋体" w:cs="Times New Roman"/>
          <w:color w:val="auto"/>
        </w:rPr>
      </w:pPr>
      <w:r>
        <w:rPr>
          <w:rFonts w:ascii="宋体" w:hAnsi="宋体" w:eastAsia="宋体" w:cs="Times New Roman"/>
          <w:color w:val="auto"/>
        </w:rPr>
        <w:t>支持核算类别定义。</w:t>
      </w:r>
    </w:p>
    <w:p w14:paraId="5C7603FA">
      <w:pPr>
        <w:numPr>
          <w:ilvl w:val="0"/>
          <w:numId w:val="21"/>
        </w:numPr>
        <w:ind w:left="5" w:leftChars="0" w:firstLine="475" w:firstLineChars="0"/>
        <w:rPr>
          <w:rFonts w:ascii="宋体" w:hAnsi="宋体" w:eastAsia="宋体" w:cs="Times New Roman"/>
          <w:color w:val="auto"/>
        </w:rPr>
      </w:pPr>
      <w:r>
        <w:rPr>
          <w:rFonts w:ascii="宋体" w:hAnsi="宋体" w:eastAsia="宋体" w:cs="Times New Roman"/>
          <w:color w:val="auto"/>
        </w:rPr>
        <w:t>支持根据核算类别关联发票项目</w:t>
      </w:r>
      <w:r>
        <w:rPr>
          <w:rFonts w:hint="eastAsia" w:ascii="宋体" w:hAnsi="宋体" w:eastAsia="宋体" w:cs="Times New Roman"/>
          <w:color w:val="auto"/>
        </w:rPr>
        <w:t>、</w:t>
      </w:r>
      <w:r>
        <w:rPr>
          <w:rFonts w:ascii="宋体" w:hAnsi="宋体" w:eastAsia="宋体" w:cs="Times New Roman"/>
          <w:color w:val="auto"/>
        </w:rPr>
        <w:t>会计科目</w:t>
      </w:r>
      <w:r>
        <w:rPr>
          <w:rFonts w:hint="eastAsia" w:ascii="宋体" w:hAnsi="宋体" w:eastAsia="宋体" w:cs="Times New Roman"/>
          <w:color w:val="auto"/>
        </w:rPr>
        <w:t>、</w:t>
      </w:r>
      <w:r>
        <w:rPr>
          <w:rFonts w:ascii="宋体" w:hAnsi="宋体" w:eastAsia="宋体" w:cs="Times New Roman"/>
          <w:color w:val="auto"/>
        </w:rPr>
        <w:t>经管科目</w:t>
      </w:r>
      <w:r>
        <w:rPr>
          <w:rFonts w:hint="eastAsia" w:ascii="宋体" w:hAnsi="宋体" w:eastAsia="宋体" w:cs="Times New Roman"/>
          <w:color w:val="auto"/>
        </w:rPr>
        <w:t>。</w:t>
      </w:r>
    </w:p>
    <w:p w14:paraId="632D50CD">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三</w:t>
      </w:r>
      <w:r>
        <w:rPr>
          <w:rFonts w:hint="eastAsia" w:ascii="宋体" w:hAnsi="宋体" w:eastAsia="宋体" w:cs="仿宋"/>
          <w:b/>
          <w:color w:val="auto"/>
        </w:rPr>
        <w:t>）记账业务设置</w:t>
      </w:r>
    </w:p>
    <w:p w14:paraId="488B07F2">
      <w:pPr>
        <w:ind w:firstLine="480"/>
        <w:rPr>
          <w:color w:val="auto"/>
        </w:rPr>
      </w:pPr>
      <w:r>
        <w:rPr>
          <w:rFonts w:hint="eastAsia"/>
          <w:color w:val="auto"/>
        </w:rPr>
        <w:t>1</w:t>
      </w:r>
      <w:r>
        <w:rPr>
          <w:color w:val="auto"/>
        </w:rPr>
        <w:t>.支持添加医疗集团记账业务类型。</w:t>
      </w:r>
    </w:p>
    <w:p w14:paraId="6F72E1E4">
      <w:pPr>
        <w:ind w:firstLine="480"/>
        <w:rPr>
          <w:color w:val="auto"/>
        </w:rPr>
      </w:pPr>
      <w:r>
        <w:rPr>
          <w:rFonts w:hint="eastAsia"/>
          <w:color w:val="auto"/>
        </w:rPr>
        <w:t>2</w:t>
      </w:r>
      <w:r>
        <w:rPr>
          <w:color w:val="auto"/>
        </w:rPr>
        <w:t>.支持记账业务类型分发到医院。</w:t>
      </w:r>
    </w:p>
    <w:p w14:paraId="0FF628B6">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四</w:t>
      </w:r>
      <w:r>
        <w:rPr>
          <w:rFonts w:hint="eastAsia" w:ascii="宋体" w:hAnsi="宋体" w:eastAsia="宋体" w:cs="仿宋"/>
          <w:b/>
          <w:color w:val="auto"/>
        </w:rPr>
        <w:t>）会计科目设置</w:t>
      </w:r>
    </w:p>
    <w:p w14:paraId="1920A92F">
      <w:pPr>
        <w:ind w:firstLine="480"/>
        <w:rPr>
          <w:color w:val="auto"/>
        </w:rPr>
      </w:pPr>
      <w:r>
        <w:rPr>
          <w:color w:val="auto"/>
        </w:rPr>
        <w:t>支持会计科目定义。</w:t>
      </w:r>
    </w:p>
    <w:p w14:paraId="7C601BEC">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五</w:t>
      </w:r>
      <w:r>
        <w:rPr>
          <w:rFonts w:hint="eastAsia" w:ascii="宋体" w:hAnsi="宋体" w:eastAsia="宋体" w:cs="仿宋"/>
          <w:b/>
          <w:color w:val="auto"/>
        </w:rPr>
        <w:t>）支付方式设置</w:t>
      </w:r>
    </w:p>
    <w:p w14:paraId="07D0D9C6">
      <w:pPr>
        <w:ind w:firstLine="480"/>
        <w:rPr>
          <w:color w:val="auto"/>
        </w:rPr>
      </w:pPr>
      <w:r>
        <w:rPr>
          <w:rFonts w:hint="eastAsia"/>
          <w:color w:val="auto"/>
        </w:rPr>
        <w:t>1</w:t>
      </w:r>
      <w:r>
        <w:rPr>
          <w:color w:val="auto"/>
        </w:rPr>
        <w:t>.支持添加医疗集团支付方式。</w:t>
      </w:r>
    </w:p>
    <w:p w14:paraId="1051276C">
      <w:pPr>
        <w:ind w:firstLine="480"/>
        <w:rPr>
          <w:color w:val="auto"/>
        </w:rPr>
      </w:pPr>
      <w:r>
        <w:rPr>
          <w:rFonts w:hint="eastAsia"/>
          <w:color w:val="auto"/>
        </w:rPr>
        <w:t>2</w:t>
      </w:r>
      <w:r>
        <w:rPr>
          <w:color w:val="auto"/>
        </w:rPr>
        <w:t>.支持支付方式分发到医院。</w:t>
      </w:r>
    </w:p>
    <w:p w14:paraId="136CE49F">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六</w:t>
      </w:r>
      <w:r>
        <w:rPr>
          <w:rFonts w:hint="eastAsia" w:ascii="宋体" w:hAnsi="宋体" w:eastAsia="宋体" w:cs="仿宋"/>
          <w:b/>
          <w:color w:val="auto"/>
        </w:rPr>
        <w:t>）往来项目设置</w:t>
      </w:r>
    </w:p>
    <w:p w14:paraId="25E6C7C0">
      <w:pPr>
        <w:ind w:firstLine="480"/>
        <w:rPr>
          <w:color w:val="auto"/>
        </w:rPr>
      </w:pPr>
      <w:r>
        <w:rPr>
          <w:rFonts w:hint="eastAsia"/>
          <w:color w:val="auto"/>
        </w:rPr>
        <w:t>1</w:t>
      </w:r>
      <w:r>
        <w:rPr>
          <w:color w:val="auto"/>
        </w:rPr>
        <w:t>.支持添加医疗集团</w:t>
      </w:r>
      <w:r>
        <w:rPr>
          <w:rFonts w:hint="eastAsia"/>
          <w:color w:val="auto"/>
        </w:rPr>
        <w:t>往来项目</w:t>
      </w:r>
      <w:r>
        <w:rPr>
          <w:color w:val="auto"/>
        </w:rPr>
        <w:t>。</w:t>
      </w:r>
    </w:p>
    <w:p w14:paraId="20AE647A">
      <w:pPr>
        <w:ind w:firstLine="480"/>
        <w:rPr>
          <w:color w:val="auto"/>
        </w:rPr>
      </w:pPr>
      <w:r>
        <w:rPr>
          <w:rFonts w:hint="eastAsia"/>
          <w:color w:val="auto"/>
        </w:rPr>
        <w:t>2</w:t>
      </w:r>
      <w:r>
        <w:rPr>
          <w:color w:val="auto"/>
        </w:rPr>
        <w:t>.支持</w:t>
      </w:r>
      <w:r>
        <w:rPr>
          <w:rFonts w:hint="eastAsia"/>
          <w:color w:val="auto"/>
        </w:rPr>
        <w:t>往来项目</w:t>
      </w:r>
      <w:r>
        <w:rPr>
          <w:color w:val="auto"/>
        </w:rPr>
        <w:t>分发到医院。</w:t>
      </w:r>
    </w:p>
    <w:p w14:paraId="6AE8E0DF">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七</w:t>
      </w:r>
      <w:r>
        <w:rPr>
          <w:rFonts w:hint="eastAsia" w:ascii="宋体" w:hAnsi="宋体" w:eastAsia="宋体" w:cs="仿宋"/>
          <w:b/>
          <w:color w:val="auto"/>
        </w:rPr>
        <w:t>）经管项目设置</w:t>
      </w:r>
    </w:p>
    <w:p w14:paraId="0ECA5068">
      <w:pPr>
        <w:ind w:firstLine="480"/>
        <w:rPr>
          <w:color w:val="auto"/>
        </w:rPr>
      </w:pPr>
      <w:r>
        <w:rPr>
          <w:color w:val="auto"/>
        </w:rPr>
        <w:t>支持经管项目定义。</w:t>
      </w:r>
    </w:p>
    <w:p w14:paraId="1B1CDD1F">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八</w:t>
      </w:r>
      <w:r>
        <w:rPr>
          <w:rFonts w:hint="eastAsia" w:ascii="宋体" w:hAnsi="宋体" w:eastAsia="宋体" w:cs="仿宋"/>
          <w:b/>
          <w:color w:val="auto"/>
        </w:rPr>
        <w:t>）往来单位设置</w:t>
      </w:r>
    </w:p>
    <w:p w14:paraId="7F4F7569">
      <w:pPr>
        <w:ind w:firstLine="480"/>
        <w:rPr>
          <w:color w:val="auto"/>
        </w:rPr>
      </w:pPr>
      <w:r>
        <w:rPr>
          <w:color w:val="auto"/>
        </w:rPr>
        <w:t>支持往来单位定义。</w:t>
      </w:r>
    </w:p>
    <w:p w14:paraId="5D1C28F2">
      <w:pPr>
        <w:ind w:firstLine="482"/>
        <w:rPr>
          <w:rFonts w:hint="eastAsia" w:ascii="宋体" w:hAnsi="宋体" w:eastAsia="宋体" w:cs="仿宋"/>
          <w:b/>
          <w:color w:val="auto"/>
        </w:rPr>
      </w:pPr>
      <w:r>
        <w:rPr>
          <w:rFonts w:hint="eastAsia" w:ascii="宋体" w:hAnsi="宋体" w:eastAsia="宋体" w:cs="仿宋"/>
          <w:b/>
          <w:color w:val="auto"/>
        </w:rPr>
        <w:t>（</w:t>
      </w:r>
      <w:r>
        <w:rPr>
          <w:rFonts w:hint="eastAsia" w:cs="仿宋"/>
          <w:b/>
          <w:color w:val="auto"/>
          <w:lang w:val="en-US" w:eastAsia="zh-CN"/>
        </w:rPr>
        <w:t>九</w:t>
      </w:r>
      <w:r>
        <w:rPr>
          <w:rFonts w:hint="eastAsia" w:ascii="宋体" w:hAnsi="宋体" w:eastAsia="宋体" w:cs="仿宋"/>
          <w:b/>
          <w:color w:val="auto"/>
        </w:rPr>
        <w:t>）医联体医嘱字典设置</w:t>
      </w:r>
    </w:p>
    <w:p w14:paraId="2DA33176">
      <w:pPr>
        <w:ind w:firstLine="480"/>
        <w:rPr>
          <w:color w:val="auto"/>
        </w:rPr>
      </w:pPr>
      <w:r>
        <w:rPr>
          <w:rFonts w:hint="eastAsia"/>
          <w:color w:val="auto"/>
        </w:rPr>
        <w:t>1</w:t>
      </w:r>
      <w:r>
        <w:rPr>
          <w:color w:val="auto"/>
        </w:rPr>
        <w:t>.支持定义医联体医嘱字典。</w:t>
      </w:r>
    </w:p>
    <w:p w14:paraId="1205948C">
      <w:pPr>
        <w:ind w:firstLine="480"/>
        <w:rPr>
          <w:color w:val="auto"/>
        </w:rPr>
      </w:pPr>
      <w:r>
        <w:rPr>
          <w:rFonts w:hint="eastAsia"/>
          <w:color w:val="auto"/>
        </w:rPr>
        <w:t>2</w:t>
      </w:r>
      <w:r>
        <w:rPr>
          <w:color w:val="auto"/>
        </w:rPr>
        <w:t>.支持从标准级导入医嘱字典。</w:t>
      </w:r>
    </w:p>
    <w:p w14:paraId="033A32B2">
      <w:pPr>
        <w:ind w:firstLine="480"/>
        <w:rPr>
          <w:color w:val="auto"/>
        </w:rPr>
      </w:pPr>
      <w:r>
        <w:rPr>
          <w:rFonts w:hint="eastAsia"/>
          <w:color w:val="auto"/>
        </w:rPr>
        <w:t>3</w:t>
      </w:r>
      <w:r>
        <w:rPr>
          <w:color w:val="auto"/>
        </w:rPr>
        <w:t>.支持自定义医联体医嘱字典明细。</w:t>
      </w:r>
    </w:p>
    <w:p w14:paraId="1127D8FF">
      <w:pPr>
        <w:ind w:firstLine="480"/>
        <w:rPr>
          <w:color w:val="auto"/>
        </w:rPr>
      </w:pPr>
      <w:r>
        <w:rPr>
          <w:rFonts w:hint="eastAsia"/>
          <w:color w:val="auto"/>
        </w:rPr>
        <w:t>4</w:t>
      </w:r>
      <w:r>
        <w:rPr>
          <w:color w:val="auto"/>
        </w:rPr>
        <w:t>.支持控制医嘱医院级是否允许修改。</w:t>
      </w:r>
    </w:p>
    <w:p w14:paraId="65371E4B">
      <w:pPr>
        <w:ind w:firstLine="480"/>
        <w:rPr>
          <w:color w:val="auto"/>
        </w:rPr>
      </w:pPr>
      <w:r>
        <w:rPr>
          <w:rFonts w:hint="eastAsia"/>
          <w:color w:val="auto"/>
        </w:rPr>
        <w:t>5</w:t>
      </w:r>
      <w:r>
        <w:rPr>
          <w:color w:val="auto"/>
        </w:rPr>
        <w:t>.支持定义医联体医嘱字典可用范围。</w:t>
      </w:r>
    </w:p>
    <w:p w14:paraId="212B500C">
      <w:pPr>
        <w:ind w:firstLine="480"/>
        <w:rPr>
          <w:color w:val="auto"/>
        </w:rPr>
      </w:pPr>
      <w:r>
        <w:rPr>
          <w:rFonts w:hint="eastAsia"/>
          <w:color w:val="auto"/>
        </w:rPr>
        <w:t>6</w:t>
      </w:r>
      <w:r>
        <w:rPr>
          <w:color w:val="auto"/>
        </w:rPr>
        <w:t>.支持医嘱根据检验类</w:t>
      </w:r>
      <w:r>
        <w:rPr>
          <w:rFonts w:hint="eastAsia"/>
          <w:color w:val="auto"/>
        </w:rPr>
        <w:t>、</w:t>
      </w:r>
      <w:r>
        <w:rPr>
          <w:color w:val="auto"/>
        </w:rPr>
        <w:t>护理类</w:t>
      </w:r>
      <w:r>
        <w:rPr>
          <w:rFonts w:hint="eastAsia"/>
          <w:color w:val="auto"/>
        </w:rPr>
        <w:t>、</w:t>
      </w:r>
      <w:r>
        <w:rPr>
          <w:color w:val="auto"/>
        </w:rPr>
        <w:t>文字类等进行分类</w:t>
      </w:r>
      <w:r>
        <w:rPr>
          <w:rFonts w:hint="eastAsia"/>
          <w:color w:val="auto"/>
        </w:rPr>
        <w:t>。</w:t>
      </w:r>
    </w:p>
    <w:p w14:paraId="3EE9DDE8">
      <w:pPr>
        <w:ind w:firstLine="482"/>
        <w:rPr>
          <w:rFonts w:hint="eastAsia" w:ascii="宋体" w:hAnsi="宋体" w:eastAsia="宋体" w:cs="仿宋"/>
          <w:b/>
          <w:color w:val="auto"/>
        </w:rPr>
      </w:pPr>
      <w:r>
        <w:rPr>
          <w:rFonts w:hint="eastAsia" w:ascii="宋体" w:hAnsi="宋体" w:eastAsia="宋体" w:cs="仿宋"/>
          <w:b/>
          <w:color w:val="auto"/>
        </w:rPr>
        <w:t>（十）医院医嘱项目设置</w:t>
      </w:r>
    </w:p>
    <w:p w14:paraId="18A60FB3">
      <w:pPr>
        <w:ind w:firstLine="480"/>
        <w:rPr>
          <w:color w:val="auto"/>
        </w:rPr>
      </w:pPr>
      <w:r>
        <w:rPr>
          <w:rFonts w:hint="eastAsia"/>
          <w:color w:val="auto"/>
        </w:rPr>
        <w:t>1</w:t>
      </w:r>
      <w:r>
        <w:rPr>
          <w:color w:val="auto"/>
        </w:rPr>
        <w:t>.支持</w:t>
      </w:r>
      <w:r>
        <w:rPr>
          <w:rFonts w:hint="eastAsia"/>
          <w:color w:val="auto"/>
        </w:rPr>
        <w:t>医嘱</w:t>
      </w:r>
      <w:r>
        <w:rPr>
          <w:color w:val="auto"/>
        </w:rPr>
        <w:t>从医联体导入</w:t>
      </w:r>
      <w:r>
        <w:rPr>
          <w:rFonts w:hint="eastAsia"/>
          <w:color w:val="auto"/>
        </w:rPr>
        <w:t>。</w:t>
      </w:r>
    </w:p>
    <w:p w14:paraId="37DC0CB8">
      <w:pPr>
        <w:ind w:firstLine="480"/>
        <w:rPr>
          <w:color w:val="auto"/>
        </w:rPr>
      </w:pPr>
      <w:r>
        <w:rPr>
          <w:rFonts w:hint="eastAsia"/>
          <w:color w:val="auto"/>
        </w:rPr>
        <w:t>2</w:t>
      </w:r>
      <w:r>
        <w:rPr>
          <w:color w:val="auto"/>
        </w:rPr>
        <w:t>.支持从医联体同步医嘱明细</w:t>
      </w:r>
      <w:r>
        <w:rPr>
          <w:rFonts w:hint="eastAsia"/>
          <w:color w:val="auto"/>
        </w:rPr>
        <w:t>。</w:t>
      </w:r>
    </w:p>
    <w:p w14:paraId="02D1E445">
      <w:pPr>
        <w:ind w:firstLine="480"/>
        <w:rPr>
          <w:color w:val="auto"/>
        </w:rPr>
      </w:pPr>
      <w:r>
        <w:rPr>
          <w:rFonts w:hint="eastAsia"/>
          <w:color w:val="auto"/>
        </w:rPr>
        <w:t>3</w:t>
      </w:r>
      <w:r>
        <w:rPr>
          <w:color w:val="auto"/>
        </w:rPr>
        <w:t>.支持医院自定义明细</w:t>
      </w:r>
      <w:r>
        <w:rPr>
          <w:rFonts w:hint="eastAsia"/>
          <w:color w:val="auto"/>
        </w:rPr>
        <w:t>。</w:t>
      </w:r>
    </w:p>
    <w:p w14:paraId="67F34E1B">
      <w:pPr>
        <w:ind w:firstLine="480"/>
        <w:rPr>
          <w:color w:val="auto"/>
        </w:rPr>
      </w:pPr>
      <w:r>
        <w:rPr>
          <w:rFonts w:hint="eastAsia"/>
          <w:color w:val="auto"/>
        </w:rPr>
        <w:t>4</w:t>
      </w:r>
      <w:r>
        <w:rPr>
          <w:color w:val="auto"/>
        </w:rPr>
        <w:t>.支持组套内绑定材料药品</w:t>
      </w:r>
      <w:r>
        <w:rPr>
          <w:rFonts w:hint="eastAsia"/>
          <w:color w:val="auto"/>
        </w:rPr>
        <w:t>。</w:t>
      </w:r>
    </w:p>
    <w:p w14:paraId="1DF75010">
      <w:pPr>
        <w:ind w:firstLine="482"/>
        <w:rPr>
          <w:rFonts w:hint="eastAsia" w:ascii="宋体" w:hAnsi="宋体" w:eastAsia="宋体" w:cs="仿宋"/>
          <w:b/>
          <w:color w:val="auto"/>
        </w:rPr>
      </w:pPr>
      <w:r>
        <w:rPr>
          <w:rFonts w:hint="eastAsia" w:ascii="宋体" w:hAnsi="宋体" w:eastAsia="宋体" w:cs="仿宋"/>
          <w:b/>
          <w:color w:val="auto"/>
        </w:rPr>
        <w:t>（十</w:t>
      </w:r>
      <w:r>
        <w:rPr>
          <w:rFonts w:hint="eastAsia" w:cs="仿宋"/>
          <w:b/>
          <w:color w:val="auto"/>
          <w:lang w:val="en-US" w:eastAsia="zh-CN"/>
        </w:rPr>
        <w:t>一</w:t>
      </w:r>
      <w:r>
        <w:rPr>
          <w:rFonts w:hint="eastAsia" w:ascii="宋体" w:hAnsi="宋体" w:eastAsia="宋体" w:cs="仿宋"/>
          <w:b/>
          <w:color w:val="auto"/>
        </w:rPr>
        <w:t>）科室医嘱范围设置</w:t>
      </w:r>
    </w:p>
    <w:p w14:paraId="6E036C75">
      <w:pPr>
        <w:ind w:firstLine="480"/>
        <w:rPr>
          <w:color w:val="auto"/>
        </w:rPr>
      </w:pPr>
      <w:r>
        <w:rPr>
          <w:rFonts w:hint="eastAsia"/>
          <w:color w:val="auto"/>
        </w:rPr>
        <w:t>1</w:t>
      </w:r>
      <w:r>
        <w:rPr>
          <w:color w:val="auto"/>
        </w:rPr>
        <w:t>.支持科室勾选医院医嘱</w:t>
      </w:r>
      <w:r>
        <w:rPr>
          <w:rFonts w:hint="eastAsia"/>
          <w:color w:val="auto"/>
        </w:rPr>
        <w:t>，</w:t>
      </w:r>
      <w:r>
        <w:rPr>
          <w:color w:val="auto"/>
        </w:rPr>
        <w:t>并在开立医嘱时调用</w:t>
      </w:r>
      <w:r>
        <w:rPr>
          <w:rFonts w:hint="eastAsia"/>
          <w:color w:val="auto"/>
        </w:rPr>
        <w:t>。</w:t>
      </w:r>
    </w:p>
    <w:p w14:paraId="3B53B3E4">
      <w:pPr>
        <w:ind w:firstLine="480"/>
        <w:rPr>
          <w:color w:val="auto"/>
        </w:rPr>
      </w:pPr>
      <w:r>
        <w:rPr>
          <w:rFonts w:hint="eastAsia"/>
          <w:color w:val="auto"/>
        </w:rPr>
        <w:t>2</w:t>
      </w:r>
      <w:r>
        <w:rPr>
          <w:color w:val="auto"/>
        </w:rPr>
        <w:t>.支持科室自定义医嘱明细</w:t>
      </w:r>
      <w:r>
        <w:rPr>
          <w:rFonts w:hint="eastAsia"/>
          <w:color w:val="auto"/>
        </w:rPr>
        <w:t>。</w:t>
      </w:r>
    </w:p>
    <w:p w14:paraId="248C46B2">
      <w:pPr>
        <w:ind w:firstLine="480"/>
        <w:rPr>
          <w:color w:val="auto"/>
        </w:rPr>
      </w:pPr>
      <w:r>
        <w:rPr>
          <w:rFonts w:hint="eastAsia"/>
          <w:color w:val="auto"/>
        </w:rPr>
        <w:t>3</w:t>
      </w:r>
      <w:r>
        <w:rPr>
          <w:color w:val="auto"/>
        </w:rPr>
        <w:t>.支持仅使用科室自定义医嘱明细</w:t>
      </w:r>
      <w:r>
        <w:rPr>
          <w:rFonts w:hint="eastAsia"/>
          <w:color w:val="auto"/>
        </w:rPr>
        <w:t>、使用医院医嘱明细+科室自定义明细多种模式引用医嘱明细。</w:t>
      </w:r>
    </w:p>
    <w:p w14:paraId="284C136F">
      <w:pPr>
        <w:ind w:firstLine="480"/>
        <w:rPr>
          <w:color w:val="auto"/>
        </w:rPr>
      </w:pPr>
      <w:r>
        <w:rPr>
          <w:rFonts w:hint="eastAsia"/>
          <w:color w:val="auto"/>
        </w:rPr>
        <w:t>4</w:t>
      </w:r>
      <w:r>
        <w:rPr>
          <w:color w:val="auto"/>
        </w:rPr>
        <w:t>.支持根据权限控制可设置哪些科室的医嘱明细</w:t>
      </w:r>
      <w:r>
        <w:rPr>
          <w:rFonts w:hint="eastAsia"/>
          <w:color w:val="auto"/>
        </w:rPr>
        <w:t>。</w:t>
      </w:r>
    </w:p>
    <w:p w14:paraId="71395114">
      <w:pPr>
        <w:ind w:firstLine="480"/>
        <w:rPr>
          <w:color w:val="auto"/>
        </w:rPr>
      </w:pPr>
      <w:r>
        <w:rPr>
          <w:rFonts w:hint="eastAsia"/>
          <w:color w:val="auto"/>
        </w:rPr>
        <w:t>5</w:t>
      </w:r>
      <w:r>
        <w:rPr>
          <w:color w:val="auto"/>
        </w:rPr>
        <w:t>.支持控制医嘱可开立区域</w:t>
      </w:r>
      <w:r>
        <w:rPr>
          <w:rFonts w:hint="eastAsia"/>
          <w:color w:val="auto"/>
        </w:rPr>
        <w:t>，如：仅长期医嘱使用，临时医嘱使用，门诊医嘱使用等。</w:t>
      </w:r>
    </w:p>
    <w:p w14:paraId="7E90BFDD">
      <w:pPr>
        <w:ind w:firstLine="480"/>
        <w:rPr>
          <w:color w:val="auto"/>
        </w:rPr>
      </w:pPr>
      <w:r>
        <w:rPr>
          <w:color w:val="auto"/>
        </w:rPr>
        <w:t>6.支持将本科室已选择的医嘱复制到其他科室</w:t>
      </w:r>
      <w:r>
        <w:rPr>
          <w:rFonts w:hint="eastAsia"/>
          <w:color w:val="auto"/>
        </w:rPr>
        <w:t>。</w:t>
      </w:r>
    </w:p>
    <w:p w14:paraId="28990EE2">
      <w:pPr>
        <w:ind w:firstLine="480"/>
        <w:rPr>
          <w:color w:val="auto"/>
        </w:rPr>
      </w:pPr>
      <w:r>
        <w:rPr>
          <w:rFonts w:hint="eastAsia"/>
          <w:color w:val="auto"/>
        </w:rPr>
        <w:t>7</w:t>
      </w:r>
      <w:r>
        <w:rPr>
          <w:color w:val="auto"/>
        </w:rPr>
        <w:t>.支持根据医嘱分类进行筛选勾选</w:t>
      </w:r>
      <w:r>
        <w:rPr>
          <w:rFonts w:hint="eastAsia"/>
          <w:color w:val="auto"/>
        </w:rPr>
        <w:t>。</w:t>
      </w:r>
    </w:p>
    <w:p w14:paraId="403D545D">
      <w:pPr>
        <w:pStyle w:val="14"/>
        <w:bidi w:val="0"/>
        <w:rPr>
          <w:color w:val="auto"/>
        </w:rPr>
      </w:pPr>
      <w:r>
        <w:rPr>
          <w:rFonts w:hint="eastAsia"/>
          <w:color w:val="auto"/>
          <w:lang w:val="en-US" w:eastAsia="zh-CN"/>
        </w:rPr>
        <w:t xml:space="preserve"> </w:t>
      </w:r>
      <w:r>
        <w:rPr>
          <w:rFonts w:hint="eastAsia"/>
          <w:color w:val="auto"/>
        </w:rPr>
        <w:t>统一</w:t>
      </w:r>
      <w:r>
        <w:rPr>
          <w:rFonts w:hint="eastAsia"/>
          <w:color w:val="auto"/>
          <w:lang w:val="en-US" w:eastAsia="zh-CN"/>
        </w:rPr>
        <w:t>门户</w:t>
      </w:r>
      <w:r>
        <w:rPr>
          <w:rFonts w:hint="eastAsia"/>
          <w:color w:val="auto"/>
        </w:rPr>
        <w:t>及单点登陆</w:t>
      </w:r>
    </w:p>
    <w:p w14:paraId="5AEA1E6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color w:val="auto"/>
        </w:rPr>
        <w:t>允许用户使用一个账户来访问多个系统和应用程序。其主要目标是简化用户的登录过程，提高安全性，并减少管理开销。通过集中管理用户信息，用户只需一次认证即可访问不同的应用系统，避免了多次登录的麻烦</w:t>
      </w:r>
      <w:r>
        <w:rPr>
          <w:rFonts w:hint="eastAsia"/>
          <w:color w:val="auto"/>
          <w:lang w:eastAsia="zh-CN"/>
        </w:rPr>
        <w:t>。</w:t>
      </w:r>
      <w:r>
        <w:rPr>
          <w:color w:val="auto"/>
        </w:rPr>
        <w:t>单点登录（SSO）是统一认证的一种实现方式。它允许用户通过一次登录来访问所有授权的应用程序，无需重复输入用户名和密码。</w:t>
      </w:r>
      <w:r>
        <w:rPr>
          <w:rFonts w:ascii="Arial" w:hAnsi="Arial" w:eastAsia="Arial" w:cs="Arial"/>
          <w:i w:val="0"/>
          <w:iCs w:val="0"/>
          <w:caps w:val="0"/>
          <w:color w:val="auto"/>
          <w:spacing w:val="0"/>
          <w:sz w:val="19"/>
          <w:szCs w:val="19"/>
          <w:shd w:val="clear" w:fill="FFFFFF"/>
        </w:rPr>
        <w:t>‌</w:t>
      </w:r>
    </w:p>
    <w:p w14:paraId="6E6D0927">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FD7F6E5">
      <w:pPr>
        <w:ind w:firstLine="480"/>
        <w:rPr>
          <w:color w:val="auto"/>
        </w:rPr>
      </w:pPr>
      <w:r>
        <w:rPr>
          <w:color w:val="auto"/>
        </w:rPr>
        <w:t>支持定义人员编号规则。</w:t>
      </w:r>
    </w:p>
    <w:p w14:paraId="68A06974">
      <w:pPr>
        <w:ind w:firstLine="480"/>
        <w:rPr>
          <w:color w:val="auto"/>
        </w:rPr>
      </w:pPr>
      <w:r>
        <w:rPr>
          <w:color w:val="auto"/>
        </w:rPr>
        <w:t>支持定义人员类型、行政科室归属、院内就诊卡号、姓名、性别、身份证等信息。</w:t>
      </w:r>
    </w:p>
    <w:p w14:paraId="1000DFB3">
      <w:pPr>
        <w:ind w:firstLine="480"/>
        <w:rPr>
          <w:color w:val="auto"/>
        </w:rPr>
      </w:pPr>
      <w:r>
        <w:rPr>
          <w:rFonts w:hint="eastAsia"/>
          <w:color w:val="auto"/>
        </w:rPr>
        <w:t>支持定义人员登录密码及清空登录密码。</w:t>
      </w:r>
    </w:p>
    <w:p w14:paraId="36E1FD02">
      <w:pPr>
        <w:ind w:firstLine="480"/>
        <w:rPr>
          <w:color w:val="auto"/>
        </w:rPr>
      </w:pPr>
      <w:r>
        <w:rPr>
          <w:color w:val="auto"/>
        </w:rPr>
        <w:t>支持</w:t>
      </w:r>
      <w:r>
        <w:rPr>
          <w:rFonts w:hint="eastAsia"/>
          <w:color w:val="auto"/>
          <w:lang w:val="en-US" w:eastAsia="zh-CN"/>
        </w:rPr>
        <w:t>院</w:t>
      </w:r>
      <w:r>
        <w:rPr>
          <w:color w:val="auto"/>
        </w:rPr>
        <w:t>内同一工号登陆各医疗机构。</w:t>
      </w:r>
    </w:p>
    <w:p w14:paraId="42954CC1">
      <w:pPr>
        <w:ind w:firstLine="480"/>
        <w:rPr>
          <w:color w:val="auto"/>
        </w:rPr>
      </w:pPr>
      <w:r>
        <w:rPr>
          <w:rFonts w:hint="eastAsia"/>
          <w:color w:val="auto"/>
        </w:rPr>
        <w:t>支持灵活的框架结构。支持按照机构、部门/团队、个人等层面进行组织，达到多应用系统的单点登录。</w:t>
      </w:r>
    </w:p>
    <w:p w14:paraId="73D5566C">
      <w:pPr>
        <w:ind w:firstLine="480"/>
        <w:rPr>
          <w:color w:val="auto"/>
        </w:rPr>
      </w:pPr>
      <w:r>
        <w:rPr>
          <w:rFonts w:hint="eastAsia"/>
          <w:color w:val="auto"/>
        </w:rPr>
        <w:t>支持团队空间，实现在水平方向上的各部门/团队（可能跨部门）的门户内容、应用、展现和协作空间；也支持垂直方向的医联体的门户内容、应用、展现和协作空间。</w:t>
      </w:r>
    </w:p>
    <w:p w14:paraId="3F958A1A">
      <w:pPr>
        <w:ind w:firstLine="480"/>
        <w:rPr>
          <w:color w:val="auto"/>
        </w:rPr>
      </w:pPr>
      <w:r>
        <w:rPr>
          <w:rFonts w:hint="eastAsia"/>
          <w:color w:val="auto"/>
        </w:rPr>
        <w:t>支持个人空间。实现个人私有的、个性化的门户内容、应用和展现。</w:t>
      </w:r>
    </w:p>
    <w:p w14:paraId="165B4352">
      <w:pPr>
        <w:ind w:firstLine="480"/>
        <w:rPr>
          <w:color w:val="auto"/>
        </w:rPr>
      </w:pPr>
      <w:r>
        <w:rPr>
          <w:rFonts w:hint="eastAsia"/>
          <w:color w:val="auto"/>
        </w:rPr>
        <w:t>提供图形化的监控和分析工具，能够对门户运行过程中各项指标进行定量监控和分析，例如：门户流量、用户登录情况、用户停留时间、查看流量、使用流量、响应时间等。</w:t>
      </w:r>
    </w:p>
    <w:p w14:paraId="7C36AB31">
      <w:pPr>
        <w:ind w:firstLine="480"/>
        <w:rPr>
          <w:color w:val="auto"/>
        </w:rPr>
      </w:pPr>
      <w:r>
        <w:rPr>
          <w:rFonts w:hint="eastAsia"/>
          <w:color w:val="auto"/>
        </w:rPr>
        <w:t>管理单点登录的业务系统，可以新增，修改，删除单点登录的业务系统，同时支持B</w:t>
      </w:r>
      <w:r>
        <w:rPr>
          <w:color w:val="auto"/>
        </w:rPr>
        <w:t>/S</w:t>
      </w:r>
      <w:r>
        <w:rPr>
          <w:rFonts w:hint="eastAsia"/>
          <w:color w:val="auto"/>
        </w:rPr>
        <w:t>、</w:t>
      </w:r>
      <w:r>
        <w:rPr>
          <w:color w:val="auto"/>
        </w:rPr>
        <w:t>C/S</w:t>
      </w:r>
      <w:r>
        <w:rPr>
          <w:rFonts w:hint="eastAsia"/>
          <w:color w:val="auto"/>
        </w:rPr>
        <w:t>架构的程序的登录。</w:t>
      </w:r>
    </w:p>
    <w:p w14:paraId="29BC8217">
      <w:pPr>
        <w:pStyle w:val="14"/>
        <w:bidi w:val="0"/>
        <w:rPr>
          <w:color w:val="auto"/>
        </w:rPr>
      </w:pPr>
      <w:r>
        <w:rPr>
          <w:rFonts w:hint="eastAsia"/>
          <w:color w:val="auto"/>
          <w:lang w:val="en-US" w:eastAsia="zh-CN"/>
        </w:rPr>
        <w:t xml:space="preserve"> </w:t>
      </w:r>
      <w:r>
        <w:rPr>
          <w:rFonts w:hint="eastAsia"/>
          <w:color w:val="auto"/>
        </w:rPr>
        <w:t>统一身份认证</w:t>
      </w:r>
    </w:p>
    <w:p w14:paraId="2C4B39CB">
      <w:pPr>
        <w:bidi w:val="0"/>
        <w:rPr>
          <w:color w:val="auto"/>
        </w:rPr>
      </w:pPr>
      <w:r>
        <w:rPr>
          <w:color w:val="auto"/>
        </w:rPr>
        <w:t>判断用户是否为合法用户并集中管理其身份凭证的过程。</w:t>
      </w:r>
      <w:r>
        <w:rPr>
          <w:rFonts w:hint="eastAsia"/>
          <w:color w:val="auto"/>
          <w:lang w:val="en-US" w:eastAsia="zh-CN"/>
        </w:rPr>
        <w:t>统一身份认证系统与院内其他系统互联互通。</w:t>
      </w:r>
      <w:r>
        <w:rPr>
          <w:color w:val="auto"/>
        </w:rPr>
        <w:t>其核心目标是解决多系统独立认证导致的账号密码繁杂问题，通过统一认证服务实现“一次登录，全网通行”</w:t>
      </w:r>
      <w:r>
        <w:rPr>
          <w:rFonts w:hint="eastAsia"/>
          <w:color w:val="auto"/>
          <w:lang w:eastAsia="zh-CN"/>
        </w:rPr>
        <w:t>。</w:t>
      </w:r>
      <w:r>
        <w:rPr>
          <w:rFonts w:hint="eastAsia"/>
          <w:color w:val="auto"/>
          <w:lang w:val="en-US" w:eastAsia="zh-CN"/>
        </w:rPr>
        <w:t>其</w:t>
      </w:r>
      <w:r>
        <w:rPr>
          <w:color w:val="auto"/>
        </w:rPr>
        <w:t>例如，高校师生可通过工号/学号一次登录即可访问教务、财务等所有对接系统。</w:t>
      </w:r>
    </w:p>
    <w:p w14:paraId="6AA43FE4">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2D97EE1">
      <w:pPr>
        <w:ind w:firstLine="480"/>
        <w:rPr>
          <w:color w:val="auto"/>
        </w:rPr>
      </w:pPr>
      <w:r>
        <w:rPr>
          <w:rFonts w:hint="eastAsia"/>
          <w:color w:val="auto"/>
        </w:rPr>
        <w:t>1</w:t>
      </w:r>
      <w:r>
        <w:rPr>
          <w:color w:val="auto"/>
        </w:rPr>
        <w:t>.支持定义人员编号规则。</w:t>
      </w:r>
    </w:p>
    <w:p w14:paraId="2D4494FC">
      <w:pPr>
        <w:ind w:firstLine="480"/>
        <w:rPr>
          <w:color w:val="auto"/>
        </w:rPr>
      </w:pPr>
      <w:r>
        <w:rPr>
          <w:rFonts w:hint="eastAsia"/>
          <w:color w:val="auto"/>
        </w:rPr>
        <w:t>2</w:t>
      </w:r>
      <w:r>
        <w:rPr>
          <w:color w:val="auto"/>
        </w:rPr>
        <w:t>.支持定义人员类型、行政科室归属、院内就诊卡号、姓名、性别、身份证等信息。</w:t>
      </w:r>
    </w:p>
    <w:p w14:paraId="573BA432">
      <w:pPr>
        <w:ind w:firstLine="480"/>
        <w:rPr>
          <w:color w:val="auto"/>
        </w:rPr>
      </w:pPr>
      <w:r>
        <w:rPr>
          <w:rFonts w:hint="eastAsia"/>
          <w:color w:val="auto"/>
        </w:rPr>
        <w:t>3</w:t>
      </w:r>
      <w:r>
        <w:rPr>
          <w:color w:val="auto"/>
        </w:rPr>
        <w:t>.</w:t>
      </w:r>
      <w:r>
        <w:rPr>
          <w:rFonts w:hint="eastAsia"/>
          <w:color w:val="auto"/>
        </w:rPr>
        <w:t>支持定义人员登录密码及清空登录密码。</w:t>
      </w:r>
    </w:p>
    <w:p w14:paraId="2B0A3B18">
      <w:pPr>
        <w:ind w:firstLine="480"/>
        <w:rPr>
          <w:color w:val="auto"/>
        </w:rPr>
      </w:pPr>
      <w:r>
        <w:rPr>
          <w:rFonts w:hint="eastAsia"/>
          <w:color w:val="auto"/>
        </w:rPr>
        <w:t>4</w:t>
      </w:r>
      <w:r>
        <w:rPr>
          <w:color w:val="auto"/>
        </w:rPr>
        <w:t>.支持</w:t>
      </w:r>
      <w:r>
        <w:rPr>
          <w:rFonts w:hint="eastAsia"/>
          <w:color w:val="auto"/>
          <w:lang w:val="en-US" w:eastAsia="zh-CN"/>
        </w:rPr>
        <w:t>院</w:t>
      </w:r>
      <w:r>
        <w:rPr>
          <w:color w:val="auto"/>
        </w:rPr>
        <w:t>内同一工号登</w:t>
      </w:r>
      <w:r>
        <w:rPr>
          <w:rFonts w:hint="eastAsia"/>
          <w:color w:val="auto"/>
          <w:lang w:val="en-US" w:eastAsia="zh-CN"/>
        </w:rPr>
        <w:t>录</w:t>
      </w:r>
      <w:r>
        <w:rPr>
          <w:color w:val="auto"/>
        </w:rPr>
        <w:t>。</w:t>
      </w:r>
    </w:p>
    <w:p w14:paraId="001C1172">
      <w:pPr>
        <w:pStyle w:val="14"/>
        <w:bidi w:val="0"/>
        <w:rPr>
          <w:color w:val="auto"/>
        </w:rPr>
      </w:pPr>
      <w:r>
        <w:rPr>
          <w:rFonts w:hint="eastAsia"/>
          <w:color w:val="auto"/>
          <w:lang w:val="en-US" w:eastAsia="zh-CN"/>
        </w:rPr>
        <w:t xml:space="preserve"> </w:t>
      </w:r>
      <w:r>
        <w:rPr>
          <w:rFonts w:hint="eastAsia"/>
          <w:color w:val="auto"/>
        </w:rPr>
        <w:t>操作权限管理</w:t>
      </w:r>
    </w:p>
    <w:p w14:paraId="33A0A798">
      <w:pPr>
        <w:bidi w:val="0"/>
        <w:rPr>
          <w:color w:val="auto"/>
        </w:rPr>
      </w:pPr>
      <w:r>
        <w:rPr>
          <w:color w:val="auto"/>
        </w:rPr>
        <w:t>通过对用户身份的验证和权限的分配，控制用户对系统资源的访问范围和操作权限。</w:t>
      </w:r>
    </w:p>
    <w:p w14:paraId="5BBD3D7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5C26B8F">
      <w:pPr>
        <w:bidi w:val="0"/>
        <w:rPr>
          <w:b/>
          <w:bCs/>
          <w:color w:val="auto"/>
        </w:rPr>
      </w:pPr>
      <w:r>
        <w:rPr>
          <w:rFonts w:hint="eastAsia"/>
          <w:b/>
          <w:bCs/>
          <w:color w:val="auto"/>
        </w:rPr>
        <w:t>管理员角色登记</w:t>
      </w:r>
    </w:p>
    <w:p w14:paraId="33871AAD">
      <w:pPr>
        <w:ind w:firstLine="480"/>
        <w:rPr>
          <w:color w:val="auto"/>
        </w:rPr>
      </w:pPr>
      <w:r>
        <w:rPr>
          <w:rFonts w:hint="eastAsia"/>
          <w:color w:val="auto"/>
        </w:rPr>
        <w:t>1</w:t>
      </w:r>
      <w:r>
        <w:rPr>
          <w:color w:val="auto"/>
        </w:rPr>
        <w:t>.支持设置医疗单位管理员名单</w:t>
      </w:r>
      <w:r>
        <w:rPr>
          <w:rFonts w:hint="eastAsia"/>
          <w:color w:val="auto"/>
        </w:rPr>
        <w:t>。</w:t>
      </w:r>
    </w:p>
    <w:p w14:paraId="4E564A59">
      <w:pPr>
        <w:ind w:firstLine="480"/>
        <w:rPr>
          <w:color w:val="auto"/>
        </w:rPr>
      </w:pPr>
      <w:r>
        <w:rPr>
          <w:rFonts w:hint="eastAsia"/>
          <w:color w:val="auto"/>
        </w:rPr>
        <w:t>2</w:t>
      </w:r>
      <w:r>
        <w:rPr>
          <w:color w:val="auto"/>
        </w:rPr>
        <w:t>.</w:t>
      </w:r>
      <w:r>
        <w:rPr>
          <w:rFonts w:hint="eastAsia"/>
          <w:color w:val="auto"/>
        </w:rPr>
        <w:t>支持医疗单位管理员跨医院、跨院区。</w:t>
      </w:r>
    </w:p>
    <w:p w14:paraId="6FEF522D">
      <w:pPr>
        <w:bidi w:val="0"/>
        <w:rPr>
          <w:rFonts w:hint="eastAsia" w:ascii="宋体" w:hAnsi="宋体" w:eastAsia="宋体" w:cs="Times New Roman"/>
          <w:b/>
          <w:bCs/>
          <w:color w:val="auto"/>
        </w:rPr>
      </w:pPr>
      <w:r>
        <w:rPr>
          <w:rFonts w:hint="eastAsia" w:ascii="宋体" w:hAnsi="宋体" w:eastAsia="宋体" w:cs="Times New Roman"/>
          <w:b/>
          <w:bCs/>
          <w:color w:val="auto"/>
        </w:rPr>
        <w:t>二级管理员授权</w:t>
      </w:r>
    </w:p>
    <w:p w14:paraId="2F3F2141">
      <w:pPr>
        <w:ind w:firstLine="480"/>
        <w:rPr>
          <w:color w:val="auto"/>
        </w:rPr>
      </w:pPr>
      <w:r>
        <w:rPr>
          <w:rFonts w:hint="eastAsia"/>
          <w:color w:val="auto"/>
        </w:rPr>
        <w:t>1</w:t>
      </w:r>
      <w:r>
        <w:rPr>
          <w:color w:val="auto"/>
        </w:rPr>
        <w:t>.支持设置</w:t>
      </w:r>
      <w:r>
        <w:rPr>
          <w:rFonts w:hint="eastAsia"/>
          <w:color w:val="auto"/>
        </w:rPr>
        <w:t>二级管理员可管理人员名单。</w:t>
      </w:r>
    </w:p>
    <w:p w14:paraId="0F24361C">
      <w:pPr>
        <w:ind w:firstLine="480"/>
        <w:rPr>
          <w:color w:val="auto"/>
        </w:rPr>
      </w:pPr>
      <w:r>
        <w:rPr>
          <w:rFonts w:hint="eastAsia"/>
          <w:color w:val="auto"/>
        </w:rPr>
        <w:t>2</w:t>
      </w:r>
      <w:r>
        <w:rPr>
          <w:color w:val="auto"/>
        </w:rPr>
        <w:t>.支持设置二级管理员可授权的角色清单</w:t>
      </w:r>
      <w:r>
        <w:rPr>
          <w:rFonts w:hint="eastAsia"/>
          <w:color w:val="auto"/>
        </w:rPr>
        <w:t>。</w:t>
      </w:r>
    </w:p>
    <w:p w14:paraId="22CD5A8E">
      <w:pPr>
        <w:bidi w:val="0"/>
        <w:rPr>
          <w:rFonts w:hint="eastAsia" w:ascii="宋体" w:hAnsi="宋体" w:eastAsia="宋体" w:cs="Times New Roman"/>
          <w:b/>
          <w:bCs/>
          <w:color w:val="auto"/>
        </w:rPr>
      </w:pPr>
      <w:r>
        <w:rPr>
          <w:rFonts w:hint="eastAsia" w:ascii="宋体" w:hAnsi="宋体" w:eastAsia="宋体" w:cs="Times New Roman"/>
          <w:b/>
          <w:bCs/>
          <w:color w:val="auto"/>
        </w:rPr>
        <w:t>系统角色模板</w:t>
      </w:r>
    </w:p>
    <w:p w14:paraId="24B3D37C">
      <w:pPr>
        <w:ind w:firstLine="480"/>
        <w:rPr>
          <w:color w:val="auto"/>
        </w:rPr>
      </w:pPr>
      <w:r>
        <w:rPr>
          <w:rFonts w:hint="eastAsia"/>
          <w:color w:val="auto"/>
        </w:rPr>
        <w:t>1</w:t>
      </w:r>
      <w:r>
        <w:rPr>
          <w:color w:val="auto"/>
        </w:rPr>
        <w:t>.支持根据菜单模板设置系统角色权限。</w:t>
      </w:r>
    </w:p>
    <w:p w14:paraId="67D19ABC">
      <w:pPr>
        <w:ind w:firstLine="480"/>
        <w:rPr>
          <w:color w:val="auto"/>
        </w:rPr>
      </w:pPr>
      <w:r>
        <w:rPr>
          <w:rFonts w:hint="eastAsia"/>
          <w:color w:val="auto"/>
        </w:rPr>
        <w:t>2</w:t>
      </w:r>
      <w:r>
        <w:rPr>
          <w:color w:val="auto"/>
        </w:rPr>
        <w:t>.支持根据角色进行分类。</w:t>
      </w:r>
    </w:p>
    <w:p w14:paraId="4B114327">
      <w:pPr>
        <w:ind w:firstLine="480"/>
        <w:rPr>
          <w:color w:val="auto"/>
        </w:rPr>
      </w:pPr>
      <w:r>
        <w:rPr>
          <w:rFonts w:hint="eastAsia"/>
          <w:color w:val="auto"/>
        </w:rPr>
        <w:t>3</w:t>
      </w:r>
      <w:r>
        <w:rPr>
          <w:color w:val="auto"/>
        </w:rPr>
        <w:t>.支持添加、修改、删除、停用角色。</w:t>
      </w:r>
    </w:p>
    <w:p w14:paraId="72783638">
      <w:pPr>
        <w:ind w:firstLine="480"/>
        <w:rPr>
          <w:color w:val="auto"/>
        </w:rPr>
      </w:pPr>
      <w:r>
        <w:rPr>
          <w:rFonts w:hint="eastAsia"/>
          <w:color w:val="auto"/>
        </w:rPr>
        <w:t>4</w:t>
      </w:r>
      <w:r>
        <w:rPr>
          <w:color w:val="auto"/>
        </w:rPr>
        <w:t>.支持设置角色排序。</w:t>
      </w:r>
    </w:p>
    <w:p w14:paraId="1A7BC367">
      <w:pPr>
        <w:ind w:firstLine="480"/>
        <w:rPr>
          <w:color w:val="auto"/>
        </w:rPr>
      </w:pPr>
      <w:r>
        <w:rPr>
          <w:rFonts w:hint="eastAsia"/>
          <w:color w:val="auto"/>
        </w:rPr>
        <w:t>5</w:t>
      </w:r>
      <w:r>
        <w:rPr>
          <w:color w:val="auto"/>
        </w:rPr>
        <w:t>.支持导入、导出角色模板。</w:t>
      </w:r>
    </w:p>
    <w:p w14:paraId="014C6CBD">
      <w:pPr>
        <w:bidi w:val="0"/>
        <w:rPr>
          <w:rFonts w:hint="eastAsia" w:ascii="宋体" w:hAnsi="宋体" w:eastAsia="宋体" w:cs="Times New Roman"/>
          <w:b/>
          <w:bCs/>
          <w:color w:val="auto"/>
        </w:rPr>
      </w:pPr>
      <w:r>
        <w:rPr>
          <w:rFonts w:hint="eastAsia" w:ascii="宋体" w:hAnsi="宋体" w:eastAsia="宋体" w:cs="Times New Roman"/>
          <w:b/>
          <w:bCs/>
          <w:color w:val="auto"/>
        </w:rPr>
        <w:t>医疗单位角色</w:t>
      </w:r>
    </w:p>
    <w:p w14:paraId="10B2304E">
      <w:pPr>
        <w:ind w:firstLine="480"/>
        <w:rPr>
          <w:color w:val="auto"/>
        </w:rPr>
      </w:pPr>
      <w:r>
        <w:rPr>
          <w:rFonts w:hint="eastAsia"/>
          <w:color w:val="auto"/>
        </w:rPr>
        <w:t>1</w:t>
      </w:r>
      <w:r>
        <w:rPr>
          <w:color w:val="auto"/>
        </w:rPr>
        <w:t>.支持将系统角色导入、自定义医疗单位角色两种模式。</w:t>
      </w:r>
    </w:p>
    <w:p w14:paraId="174F14D6">
      <w:pPr>
        <w:ind w:firstLine="480"/>
        <w:rPr>
          <w:color w:val="auto"/>
        </w:rPr>
      </w:pPr>
      <w:r>
        <w:rPr>
          <w:rFonts w:hint="eastAsia"/>
          <w:color w:val="auto"/>
        </w:rPr>
        <w:t>2</w:t>
      </w:r>
      <w:r>
        <w:rPr>
          <w:color w:val="auto"/>
        </w:rPr>
        <w:t>.支持根据角色进行分类。</w:t>
      </w:r>
    </w:p>
    <w:p w14:paraId="1DB9D35A">
      <w:pPr>
        <w:ind w:firstLine="480"/>
        <w:rPr>
          <w:color w:val="auto"/>
        </w:rPr>
      </w:pPr>
      <w:r>
        <w:rPr>
          <w:rFonts w:hint="eastAsia"/>
          <w:color w:val="auto"/>
        </w:rPr>
        <w:t>3</w:t>
      </w:r>
      <w:r>
        <w:rPr>
          <w:color w:val="auto"/>
        </w:rPr>
        <w:t>.支持添加、修改、删除、停用角色。</w:t>
      </w:r>
    </w:p>
    <w:p w14:paraId="44EE23CA">
      <w:pPr>
        <w:ind w:firstLine="480"/>
        <w:rPr>
          <w:color w:val="auto"/>
        </w:rPr>
      </w:pPr>
      <w:r>
        <w:rPr>
          <w:rFonts w:hint="eastAsia"/>
          <w:color w:val="auto"/>
        </w:rPr>
        <w:t>4</w:t>
      </w:r>
      <w:r>
        <w:rPr>
          <w:color w:val="auto"/>
        </w:rPr>
        <w:t>.支持设置角色排序。</w:t>
      </w:r>
    </w:p>
    <w:p w14:paraId="30753D23">
      <w:pPr>
        <w:bidi w:val="0"/>
        <w:rPr>
          <w:rFonts w:hint="eastAsia" w:ascii="宋体" w:hAnsi="宋体" w:eastAsia="宋体" w:cs="Times New Roman"/>
          <w:b/>
          <w:bCs/>
          <w:color w:val="auto"/>
        </w:rPr>
      </w:pPr>
      <w:r>
        <w:rPr>
          <w:rFonts w:hint="eastAsia" w:ascii="宋体" w:hAnsi="宋体" w:eastAsia="宋体" w:cs="Times New Roman"/>
          <w:b/>
          <w:bCs/>
          <w:color w:val="auto"/>
        </w:rPr>
        <w:t>用户权限分配</w:t>
      </w:r>
    </w:p>
    <w:p w14:paraId="30BD2342">
      <w:pPr>
        <w:ind w:firstLine="480"/>
        <w:rPr>
          <w:color w:val="auto"/>
        </w:rPr>
      </w:pPr>
      <w:r>
        <w:rPr>
          <w:rFonts w:hint="eastAsia"/>
          <w:color w:val="auto"/>
        </w:rPr>
        <w:t>1</w:t>
      </w:r>
      <w:r>
        <w:rPr>
          <w:color w:val="auto"/>
        </w:rPr>
        <w:t>.支持人员名单检索定位。</w:t>
      </w:r>
    </w:p>
    <w:p w14:paraId="5C36DAF1">
      <w:pPr>
        <w:ind w:firstLine="480"/>
        <w:rPr>
          <w:color w:val="auto"/>
        </w:rPr>
      </w:pPr>
      <w:r>
        <w:rPr>
          <w:color w:val="auto"/>
        </w:rPr>
        <w:t>2.支持赋予人员单个或多个角色。</w:t>
      </w:r>
    </w:p>
    <w:p w14:paraId="0053AFF5">
      <w:pPr>
        <w:ind w:firstLine="480"/>
        <w:rPr>
          <w:color w:val="auto"/>
        </w:rPr>
      </w:pPr>
      <w:r>
        <w:rPr>
          <w:rFonts w:hint="eastAsia"/>
          <w:color w:val="auto"/>
        </w:rPr>
        <w:t>3</w:t>
      </w:r>
      <w:r>
        <w:rPr>
          <w:color w:val="auto"/>
        </w:rPr>
        <w:t>.支持定义人员权限。</w:t>
      </w:r>
    </w:p>
    <w:p w14:paraId="7C740D79">
      <w:pPr>
        <w:bidi w:val="0"/>
        <w:rPr>
          <w:color w:val="auto"/>
        </w:rPr>
      </w:pPr>
      <w:r>
        <w:rPr>
          <w:rFonts w:hint="eastAsia"/>
          <w:color w:val="auto"/>
        </w:rPr>
        <w:t>4</w:t>
      </w:r>
      <w:r>
        <w:rPr>
          <w:color w:val="auto"/>
        </w:rPr>
        <w:t>.支持批量复制人员权限或角色。</w:t>
      </w:r>
    </w:p>
    <w:p w14:paraId="4EA4C7FC">
      <w:pPr>
        <w:bidi w:val="0"/>
        <w:rPr>
          <w:color w:val="auto"/>
        </w:rPr>
      </w:pPr>
      <w:r>
        <w:rPr>
          <w:rFonts w:hint="eastAsia"/>
          <w:color w:val="auto"/>
        </w:rPr>
        <w:t>5</w:t>
      </w:r>
      <w:r>
        <w:rPr>
          <w:color w:val="auto"/>
        </w:rPr>
        <w:t>.支持设置人员角色开始时间和截止时间</w:t>
      </w:r>
      <w:r>
        <w:rPr>
          <w:rFonts w:hint="eastAsia"/>
          <w:color w:val="auto"/>
        </w:rPr>
        <w:t>。</w:t>
      </w:r>
    </w:p>
    <w:p w14:paraId="3CAFAD50">
      <w:pPr>
        <w:pStyle w:val="14"/>
        <w:bidi w:val="0"/>
        <w:rPr>
          <w:color w:val="auto"/>
        </w:rPr>
      </w:pPr>
      <w:r>
        <w:rPr>
          <w:rFonts w:hint="eastAsia"/>
          <w:color w:val="auto"/>
          <w:lang w:val="en-US" w:eastAsia="zh-CN"/>
        </w:rPr>
        <w:t xml:space="preserve"> </w:t>
      </w:r>
      <w:r>
        <w:rPr>
          <w:rFonts w:hint="eastAsia"/>
          <w:color w:val="auto"/>
        </w:rPr>
        <w:t>软件发布系统</w:t>
      </w:r>
    </w:p>
    <w:p w14:paraId="0FD6C3B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旨在管理软件从开发到生产环境的自动化工具，旨在简化发布流程，确保软件稳定、高效地交付给用户。其主要功能包括自动化部署、版本控制、多环境管理、预览和回滚等，以确保发布过程的顺利进行和软件的持续更新。</w:t>
      </w:r>
    </w:p>
    <w:p w14:paraId="3DD49B5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ascii="Arial" w:hAnsi="Arial" w:eastAsia="Arial" w:cs="Arial"/>
          <w:i w:val="0"/>
          <w:iCs w:val="0"/>
          <w:caps w:val="0"/>
          <w:color w:val="auto"/>
          <w:spacing w:val="0"/>
          <w:sz w:val="19"/>
          <w:szCs w:val="19"/>
          <w:shd w:val="clear" w:fill="FFFFFF"/>
        </w:rPr>
        <w:t>‌</w:t>
      </w:r>
    </w:p>
    <w:p w14:paraId="0B38AB47">
      <w:pPr>
        <w:bidi w:val="0"/>
        <w:rPr>
          <w:rFonts w:hint="eastAsia" w:ascii="宋体" w:hAnsi="宋体" w:eastAsia="宋体" w:cs="Times New Roman"/>
          <w:b/>
          <w:bCs/>
          <w:color w:val="auto"/>
        </w:rPr>
      </w:pPr>
      <w:bookmarkStart w:id="102" w:name="_Toc153617994"/>
      <w:r>
        <w:rPr>
          <w:rFonts w:hint="eastAsia" w:ascii="宋体" w:hAnsi="宋体" w:eastAsia="宋体" w:cs="Times New Roman"/>
          <w:b/>
          <w:bCs/>
          <w:color w:val="auto"/>
        </w:rPr>
        <w:t>登录发布系统及消息通知</w:t>
      </w:r>
      <w:bookmarkEnd w:id="102"/>
    </w:p>
    <w:p w14:paraId="21600D24">
      <w:pPr>
        <w:pStyle w:val="94"/>
        <w:ind w:firstLine="480"/>
        <w:rPr>
          <w:color w:val="auto"/>
          <w:sz w:val="24"/>
        </w:rPr>
      </w:pPr>
      <w:r>
        <w:rPr>
          <w:rFonts w:hint="eastAsia"/>
          <w:color w:val="auto"/>
          <w:sz w:val="24"/>
        </w:rPr>
        <w:t>医院负责人登录发布系统后，会自动按当前用户权限，显示允许查看的菜单页面及授权的医院数据，通过进入首页通知页面，自动展示当前用户授权医院接收到的“模块”及“里程碑”更新信息，点击“模块”或“里程碑”消息，会自动跳转到“模块更新”或“里程碑更新”页面，然后继续进行后续更新流程。</w:t>
      </w:r>
    </w:p>
    <w:p w14:paraId="4830760E">
      <w:pPr>
        <w:bidi w:val="0"/>
        <w:rPr>
          <w:rFonts w:hint="eastAsia" w:ascii="宋体" w:hAnsi="宋体" w:eastAsia="宋体" w:cs="Times New Roman"/>
          <w:b/>
          <w:bCs/>
          <w:color w:val="auto"/>
        </w:rPr>
      </w:pPr>
      <w:bookmarkStart w:id="103" w:name="_Toc153617995"/>
      <w:r>
        <w:rPr>
          <w:rFonts w:hint="eastAsia" w:ascii="宋体" w:hAnsi="宋体" w:eastAsia="宋体" w:cs="Times New Roman"/>
          <w:b/>
          <w:bCs/>
          <w:color w:val="auto"/>
        </w:rPr>
        <w:t>模块更新</w:t>
      </w:r>
      <w:bookmarkEnd w:id="103"/>
    </w:p>
    <w:p w14:paraId="46346C93">
      <w:pPr>
        <w:pStyle w:val="94"/>
        <w:ind w:firstLine="480"/>
        <w:rPr>
          <w:rFonts w:hint="eastAsia" w:eastAsia="宋体"/>
          <w:color w:val="auto"/>
          <w:sz w:val="24"/>
          <w:lang w:eastAsia="zh-CN"/>
        </w:rPr>
      </w:pPr>
      <w:r>
        <w:rPr>
          <w:rFonts w:hint="eastAsia"/>
          <w:color w:val="auto"/>
          <w:sz w:val="24"/>
        </w:rPr>
        <w:t>模块更新涉及 模块同步，模块更新，模块回滚和操作反馈四项</w:t>
      </w:r>
      <w:r>
        <w:rPr>
          <w:rFonts w:hint="eastAsia"/>
          <w:color w:val="auto"/>
          <w:sz w:val="24"/>
          <w:lang w:eastAsia="zh-CN"/>
        </w:rPr>
        <w:t>。</w:t>
      </w:r>
    </w:p>
    <w:p w14:paraId="1847873D">
      <w:pPr>
        <w:pStyle w:val="94"/>
        <w:ind w:firstLine="480"/>
        <w:rPr>
          <w:color w:val="auto"/>
          <w:sz w:val="24"/>
        </w:rPr>
      </w:pPr>
      <w:r>
        <w:rPr>
          <w:rFonts w:hint="eastAsia"/>
          <w:color w:val="auto"/>
          <w:sz w:val="24"/>
        </w:rPr>
        <w:t>模块同步：调起发布工具，在发布工具上自动登录同步数据。</w:t>
      </w:r>
    </w:p>
    <w:p w14:paraId="4A84CAA1">
      <w:pPr>
        <w:pStyle w:val="94"/>
        <w:ind w:firstLine="480"/>
        <w:rPr>
          <w:rFonts w:hint="eastAsia" w:eastAsia="宋体"/>
          <w:color w:val="auto"/>
          <w:sz w:val="24"/>
          <w:lang w:eastAsia="zh-CN"/>
        </w:rPr>
      </w:pPr>
      <w:r>
        <w:rPr>
          <w:rFonts w:hint="eastAsia"/>
          <w:color w:val="auto"/>
          <w:sz w:val="24"/>
        </w:rPr>
        <w:t>模块更新：调起发布工具，在发布工具上自动登录同步数据，发布工具上 优先发布，批量发布</w:t>
      </w:r>
      <w:r>
        <w:rPr>
          <w:rFonts w:hint="eastAsia"/>
          <w:color w:val="auto"/>
          <w:sz w:val="24"/>
          <w:lang w:eastAsia="zh-CN"/>
        </w:rPr>
        <w:t>。</w:t>
      </w:r>
    </w:p>
    <w:p w14:paraId="2AE71597">
      <w:pPr>
        <w:pStyle w:val="94"/>
        <w:ind w:firstLine="480"/>
        <w:rPr>
          <w:color w:val="auto"/>
          <w:sz w:val="24"/>
        </w:rPr>
      </w:pPr>
      <w:r>
        <w:rPr>
          <w:rFonts w:hint="eastAsia"/>
          <w:color w:val="auto"/>
          <w:sz w:val="24"/>
        </w:rPr>
        <w:t>模块回滚：等同于发布操作。</w:t>
      </w:r>
    </w:p>
    <w:p w14:paraId="21EB90A5">
      <w:pPr>
        <w:pStyle w:val="94"/>
        <w:ind w:firstLine="480"/>
        <w:rPr>
          <w:rFonts w:hint="eastAsia" w:eastAsia="宋体"/>
          <w:color w:val="auto"/>
          <w:sz w:val="24"/>
          <w:lang w:eastAsia="zh-CN"/>
        </w:rPr>
      </w:pPr>
      <w:r>
        <w:rPr>
          <w:rFonts w:hint="eastAsia"/>
          <w:color w:val="auto"/>
          <w:sz w:val="24"/>
        </w:rPr>
        <w:t>操作反馈：下次调起发布工具时，自动同步反馈信息到中心库</w:t>
      </w:r>
      <w:r>
        <w:rPr>
          <w:rFonts w:hint="eastAsia"/>
          <w:color w:val="auto"/>
          <w:sz w:val="24"/>
          <w:lang w:eastAsia="zh-CN"/>
        </w:rPr>
        <w:t>。</w:t>
      </w:r>
    </w:p>
    <w:p w14:paraId="3857B274">
      <w:pPr>
        <w:bidi w:val="0"/>
        <w:rPr>
          <w:rFonts w:hint="eastAsia" w:ascii="宋体" w:hAnsi="宋体" w:eastAsia="宋体" w:cs="Times New Roman"/>
          <w:b/>
          <w:bCs/>
          <w:color w:val="auto"/>
        </w:rPr>
      </w:pPr>
      <w:bookmarkStart w:id="104" w:name="_Toc153617996"/>
      <w:r>
        <w:rPr>
          <w:rFonts w:hint="eastAsia" w:ascii="宋体" w:hAnsi="宋体" w:eastAsia="宋体" w:cs="Times New Roman"/>
          <w:b/>
          <w:bCs/>
          <w:color w:val="auto"/>
        </w:rPr>
        <w:t>里程碑更新</w:t>
      </w:r>
      <w:bookmarkEnd w:id="104"/>
    </w:p>
    <w:p w14:paraId="3A62E0FA">
      <w:pPr>
        <w:pStyle w:val="94"/>
        <w:ind w:firstLine="480"/>
        <w:rPr>
          <w:rFonts w:hint="eastAsia" w:eastAsia="宋体"/>
          <w:color w:val="auto"/>
          <w:sz w:val="24"/>
          <w:lang w:eastAsia="zh-CN"/>
        </w:rPr>
      </w:pPr>
      <w:r>
        <w:rPr>
          <w:rFonts w:hint="eastAsia"/>
          <w:color w:val="auto"/>
          <w:sz w:val="24"/>
        </w:rPr>
        <w:t>里程碑更新涉及 里程碑同步，里程碑更新，里程碑回滚和操作反馈四项</w:t>
      </w:r>
      <w:r>
        <w:rPr>
          <w:rFonts w:hint="eastAsia"/>
          <w:color w:val="auto"/>
          <w:sz w:val="24"/>
          <w:lang w:eastAsia="zh-CN"/>
        </w:rPr>
        <w:t>。</w:t>
      </w:r>
    </w:p>
    <w:p w14:paraId="4D541B19">
      <w:pPr>
        <w:pStyle w:val="94"/>
        <w:ind w:firstLine="480"/>
        <w:rPr>
          <w:color w:val="auto"/>
          <w:sz w:val="24"/>
        </w:rPr>
      </w:pPr>
      <w:r>
        <w:rPr>
          <w:rFonts w:hint="eastAsia"/>
          <w:color w:val="auto"/>
          <w:sz w:val="24"/>
        </w:rPr>
        <w:t>模块同步：调起发布工具，在发布工具上自动登录同步数据。</w:t>
      </w:r>
    </w:p>
    <w:p w14:paraId="5963CB43">
      <w:pPr>
        <w:pStyle w:val="94"/>
        <w:ind w:firstLine="480"/>
        <w:rPr>
          <w:rFonts w:hint="eastAsia" w:eastAsia="宋体"/>
          <w:color w:val="auto"/>
          <w:sz w:val="24"/>
          <w:lang w:eastAsia="zh-CN"/>
        </w:rPr>
      </w:pPr>
      <w:r>
        <w:rPr>
          <w:rFonts w:hint="eastAsia"/>
          <w:color w:val="auto"/>
          <w:sz w:val="24"/>
        </w:rPr>
        <w:t>模块更新：调起发布工具，在发布工具上自动登录同步数据，发布工具上 优先发布，批量发布</w:t>
      </w:r>
      <w:r>
        <w:rPr>
          <w:rFonts w:hint="eastAsia"/>
          <w:color w:val="auto"/>
          <w:sz w:val="24"/>
          <w:lang w:eastAsia="zh-CN"/>
        </w:rPr>
        <w:t>。</w:t>
      </w:r>
    </w:p>
    <w:p w14:paraId="10EFFBEE">
      <w:pPr>
        <w:pStyle w:val="94"/>
        <w:ind w:firstLine="480"/>
        <w:rPr>
          <w:color w:val="auto"/>
          <w:sz w:val="24"/>
        </w:rPr>
      </w:pPr>
      <w:r>
        <w:rPr>
          <w:rFonts w:hint="eastAsia"/>
          <w:color w:val="auto"/>
          <w:sz w:val="24"/>
        </w:rPr>
        <w:t>模块回滚：等同于发布操作。</w:t>
      </w:r>
    </w:p>
    <w:p w14:paraId="785FCC7C">
      <w:pPr>
        <w:pStyle w:val="94"/>
        <w:ind w:firstLine="480"/>
        <w:rPr>
          <w:rFonts w:hint="eastAsia" w:eastAsia="宋体"/>
          <w:color w:val="auto"/>
          <w:sz w:val="24"/>
          <w:lang w:eastAsia="zh-CN"/>
        </w:rPr>
      </w:pPr>
      <w:r>
        <w:rPr>
          <w:rFonts w:hint="eastAsia"/>
          <w:color w:val="auto"/>
          <w:sz w:val="24"/>
        </w:rPr>
        <w:t>操作反馈：下次调起发布工具时，自动同步反馈信息到中心库</w:t>
      </w:r>
      <w:r>
        <w:rPr>
          <w:rFonts w:hint="eastAsia"/>
          <w:color w:val="auto"/>
          <w:sz w:val="24"/>
          <w:lang w:eastAsia="zh-CN"/>
        </w:rPr>
        <w:t>。</w:t>
      </w:r>
    </w:p>
    <w:p w14:paraId="68F0025E">
      <w:pPr>
        <w:bidi w:val="0"/>
        <w:rPr>
          <w:rFonts w:hint="eastAsia" w:ascii="宋体" w:hAnsi="宋体" w:eastAsia="宋体" w:cs="Times New Roman"/>
          <w:b/>
          <w:bCs/>
          <w:color w:val="auto"/>
        </w:rPr>
      </w:pPr>
      <w:bookmarkStart w:id="105" w:name="_Toc153617998"/>
      <w:r>
        <w:rPr>
          <w:rFonts w:hint="eastAsia" w:ascii="宋体" w:hAnsi="宋体" w:eastAsia="宋体" w:cs="Times New Roman"/>
          <w:b/>
          <w:bCs/>
          <w:color w:val="auto"/>
        </w:rPr>
        <w:t>基础数据同步</w:t>
      </w:r>
      <w:bookmarkEnd w:id="105"/>
    </w:p>
    <w:p w14:paraId="4A6F2432">
      <w:pPr>
        <w:pStyle w:val="94"/>
        <w:ind w:firstLine="480"/>
        <w:rPr>
          <w:rFonts w:hint="eastAsia"/>
          <w:color w:val="auto"/>
          <w:sz w:val="24"/>
        </w:rPr>
      </w:pPr>
      <w:r>
        <w:rPr>
          <w:rFonts w:hint="eastAsia"/>
          <w:color w:val="auto"/>
          <w:sz w:val="24"/>
        </w:rPr>
        <w:t>在与中心库连通状态下，先将历史更新记录，同步到中心库，继续依次同步基础差异数据，模块版本数据，里程碑版本数据。在与中心库非连通状态下，可直接登录后，离线发布。</w:t>
      </w:r>
    </w:p>
    <w:p w14:paraId="31102EB2">
      <w:pPr>
        <w:pStyle w:val="14"/>
        <w:bidi w:val="0"/>
        <w:rPr>
          <w:color w:val="auto"/>
        </w:rPr>
      </w:pPr>
      <w:r>
        <w:rPr>
          <w:rFonts w:hint="eastAsia"/>
          <w:color w:val="auto"/>
          <w:lang w:val="en-US" w:eastAsia="zh-CN"/>
        </w:rPr>
        <w:t xml:space="preserve"> 操</w:t>
      </w:r>
      <w:r>
        <w:rPr>
          <w:rFonts w:hint="eastAsia"/>
          <w:color w:val="auto"/>
        </w:rPr>
        <w:t>作日志审计</w:t>
      </w:r>
    </w:p>
    <w:p w14:paraId="783C5BB3">
      <w:pPr>
        <w:bidi w:val="0"/>
        <w:rPr>
          <w:rFonts w:hint="eastAsia"/>
          <w:color w:val="auto"/>
          <w:lang w:eastAsia="zh-CN"/>
        </w:rPr>
      </w:pPr>
      <w:r>
        <w:rPr>
          <w:color w:val="auto"/>
        </w:rPr>
        <w:t>对系统、应用程序、网络设备等产生的操作日志数据进行收集、存储、分析和报告的过程。通过对这些日志的审计，可以发现潜在的安全威胁、系统故障以及不合规的操作行为</w:t>
      </w:r>
      <w:r>
        <w:rPr>
          <w:rFonts w:hint="eastAsia"/>
          <w:color w:val="auto"/>
          <w:lang w:eastAsia="zh-CN"/>
        </w:rPr>
        <w:t>。</w:t>
      </w:r>
    </w:p>
    <w:p w14:paraId="429F106D">
      <w:pPr>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ascii="Arial" w:hAnsi="Arial" w:eastAsia="Arial" w:cs="Arial"/>
          <w:i w:val="0"/>
          <w:iCs w:val="0"/>
          <w:caps w:val="0"/>
          <w:color w:val="auto"/>
          <w:spacing w:val="0"/>
          <w:sz w:val="19"/>
          <w:szCs w:val="19"/>
          <w:shd w:val="clear" w:fill="FFFFFF"/>
        </w:rPr>
        <w:t>‌</w:t>
      </w:r>
    </w:p>
    <w:p w14:paraId="4DDBB72B">
      <w:pPr>
        <w:pStyle w:val="94"/>
        <w:numPr>
          <w:ilvl w:val="0"/>
          <w:numId w:val="22"/>
        </w:numPr>
        <w:ind w:left="0" w:firstLine="480"/>
        <w:rPr>
          <w:color w:val="auto"/>
          <w:sz w:val="24"/>
        </w:rPr>
      </w:pPr>
      <w:r>
        <w:rPr>
          <w:color w:val="auto"/>
          <w:sz w:val="24"/>
        </w:rPr>
        <w:t>支持定义系统关键节点日志记录开关开启或关闭</w:t>
      </w:r>
      <w:r>
        <w:rPr>
          <w:rFonts w:hint="eastAsia"/>
          <w:color w:val="auto"/>
          <w:sz w:val="24"/>
        </w:rPr>
        <w:t>。</w:t>
      </w:r>
    </w:p>
    <w:p w14:paraId="1D5E719F">
      <w:pPr>
        <w:pStyle w:val="94"/>
        <w:numPr>
          <w:ilvl w:val="0"/>
          <w:numId w:val="22"/>
        </w:numPr>
        <w:ind w:left="0" w:firstLine="480"/>
        <w:rPr>
          <w:color w:val="auto"/>
          <w:sz w:val="24"/>
        </w:rPr>
      </w:pPr>
      <w:r>
        <w:rPr>
          <w:color w:val="auto"/>
          <w:sz w:val="24"/>
        </w:rPr>
        <w:t>支持查询系统关键节点日志记录</w:t>
      </w:r>
      <w:r>
        <w:rPr>
          <w:rFonts w:hint="eastAsia"/>
          <w:color w:val="auto"/>
          <w:sz w:val="24"/>
        </w:rPr>
        <w:t>。</w:t>
      </w:r>
    </w:p>
    <w:p w14:paraId="08146089">
      <w:pPr>
        <w:pStyle w:val="14"/>
        <w:bidi w:val="0"/>
        <w:rPr>
          <w:color w:val="auto"/>
        </w:rPr>
      </w:pPr>
      <w:r>
        <w:rPr>
          <w:rFonts w:hint="eastAsia"/>
          <w:color w:val="auto"/>
          <w:lang w:val="en-US" w:eastAsia="zh-CN"/>
        </w:rPr>
        <w:t xml:space="preserve"> </w:t>
      </w:r>
      <w:r>
        <w:rPr>
          <w:rFonts w:hint="eastAsia"/>
          <w:color w:val="auto"/>
        </w:rPr>
        <w:t>患者基本信息管理</w:t>
      </w:r>
    </w:p>
    <w:p w14:paraId="650E8510">
      <w:pPr>
        <w:bidi w:val="0"/>
        <w:rPr>
          <w:rFonts w:hint="eastAsia"/>
          <w:color w:val="auto"/>
          <w:lang w:eastAsia="zh-CN"/>
        </w:rPr>
      </w:pPr>
      <w:r>
        <w:rPr>
          <w:color w:val="auto"/>
        </w:rPr>
        <w:t>通过电子化的方式记录患者的姓名、年龄、性别、联系方式、过往病史等基本资料，便于医疗人员在诊疗过程中快速了解患者状况</w:t>
      </w:r>
      <w:r>
        <w:rPr>
          <w:rFonts w:hint="eastAsia"/>
          <w:color w:val="auto"/>
          <w:lang w:eastAsia="zh-CN"/>
        </w:rPr>
        <w:t>。</w:t>
      </w:r>
    </w:p>
    <w:p w14:paraId="6F84885F">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color w:val="auto"/>
        </w:rPr>
        <w:t>‌</w:t>
      </w:r>
    </w:p>
    <w:p w14:paraId="32529CC3">
      <w:pPr>
        <w:pStyle w:val="94"/>
        <w:numPr>
          <w:ilvl w:val="0"/>
          <w:numId w:val="23"/>
        </w:numPr>
        <w:ind w:left="0" w:firstLine="480"/>
        <w:rPr>
          <w:color w:val="auto"/>
          <w:sz w:val="24"/>
        </w:rPr>
      </w:pPr>
      <w:r>
        <w:rPr>
          <w:rFonts w:hint="eastAsia"/>
          <w:color w:val="auto"/>
          <w:sz w:val="24"/>
        </w:rPr>
        <w:t>支持患者卡信息的登记、注销、修改信息、查询、统计等功能。</w:t>
      </w:r>
    </w:p>
    <w:p w14:paraId="6F49B310">
      <w:pPr>
        <w:pStyle w:val="94"/>
        <w:numPr>
          <w:ilvl w:val="0"/>
          <w:numId w:val="23"/>
        </w:numPr>
        <w:ind w:left="0" w:firstLine="480"/>
        <w:rPr>
          <w:color w:val="auto"/>
          <w:sz w:val="24"/>
        </w:rPr>
      </w:pPr>
      <w:r>
        <w:rPr>
          <w:rFonts w:hint="eastAsia"/>
          <w:color w:val="auto"/>
          <w:sz w:val="24"/>
        </w:rPr>
        <w:t>支持患者基本信息支持读卡或手工录入，支持患者信息完整性控制。</w:t>
      </w:r>
    </w:p>
    <w:p w14:paraId="797ADEFE">
      <w:pPr>
        <w:pStyle w:val="94"/>
        <w:numPr>
          <w:ilvl w:val="0"/>
          <w:numId w:val="23"/>
        </w:numPr>
        <w:ind w:left="0" w:firstLine="480"/>
        <w:rPr>
          <w:color w:val="auto"/>
          <w:sz w:val="24"/>
        </w:rPr>
      </w:pPr>
      <w:r>
        <w:rPr>
          <w:color w:val="auto"/>
          <w:sz w:val="24"/>
        </w:rPr>
        <w:t>支持根据逻辑判断当患者小于指定岁数时</w:t>
      </w:r>
      <w:r>
        <w:rPr>
          <w:rFonts w:hint="eastAsia"/>
          <w:color w:val="auto"/>
          <w:sz w:val="24"/>
        </w:rPr>
        <w:t>，</w:t>
      </w:r>
      <w:r>
        <w:rPr>
          <w:color w:val="auto"/>
          <w:sz w:val="24"/>
        </w:rPr>
        <w:t>监护人信息必填</w:t>
      </w:r>
      <w:r>
        <w:rPr>
          <w:rFonts w:hint="eastAsia"/>
          <w:color w:val="auto"/>
          <w:sz w:val="24"/>
        </w:rPr>
        <w:t>。</w:t>
      </w:r>
    </w:p>
    <w:p w14:paraId="487EACD8">
      <w:pPr>
        <w:pStyle w:val="94"/>
        <w:numPr>
          <w:ilvl w:val="0"/>
          <w:numId w:val="23"/>
        </w:numPr>
        <w:ind w:left="0" w:firstLine="480"/>
        <w:rPr>
          <w:color w:val="auto"/>
          <w:sz w:val="24"/>
        </w:rPr>
      </w:pPr>
      <w:r>
        <w:rPr>
          <w:color w:val="auto"/>
          <w:sz w:val="24"/>
        </w:rPr>
        <w:t>支持自定义患者列信息</w:t>
      </w:r>
      <w:r>
        <w:rPr>
          <w:rFonts w:hint="eastAsia"/>
          <w:color w:val="auto"/>
          <w:sz w:val="24"/>
        </w:rPr>
        <w:t>。</w:t>
      </w:r>
    </w:p>
    <w:p w14:paraId="683CFBA4">
      <w:pPr>
        <w:pStyle w:val="94"/>
        <w:numPr>
          <w:ilvl w:val="0"/>
          <w:numId w:val="23"/>
        </w:numPr>
        <w:ind w:left="0" w:firstLine="480"/>
        <w:rPr>
          <w:color w:val="auto"/>
          <w:sz w:val="24"/>
        </w:rPr>
      </w:pPr>
      <w:r>
        <w:rPr>
          <w:rFonts w:hint="eastAsia"/>
          <w:color w:val="auto"/>
          <w:sz w:val="24"/>
        </w:rPr>
        <w:t>支持与省电子健康卡对接，患者信息注册时自动生成电子健康卡号。</w:t>
      </w:r>
    </w:p>
    <w:p w14:paraId="26851CB0">
      <w:pPr>
        <w:pStyle w:val="94"/>
        <w:numPr>
          <w:ilvl w:val="0"/>
          <w:numId w:val="23"/>
        </w:numPr>
        <w:ind w:left="0" w:firstLine="480"/>
        <w:rPr>
          <w:color w:val="auto"/>
          <w:sz w:val="24"/>
        </w:rPr>
      </w:pPr>
      <w:r>
        <w:rPr>
          <w:color w:val="auto"/>
          <w:sz w:val="24"/>
        </w:rPr>
        <w:t>支持建档小票打印</w:t>
      </w:r>
      <w:r>
        <w:rPr>
          <w:rFonts w:hint="eastAsia"/>
          <w:color w:val="auto"/>
          <w:sz w:val="24"/>
        </w:rPr>
        <w:t>。</w:t>
      </w:r>
    </w:p>
    <w:p w14:paraId="6030C759">
      <w:pPr>
        <w:pStyle w:val="14"/>
        <w:bidi w:val="0"/>
        <w:rPr>
          <w:color w:val="auto"/>
        </w:rPr>
      </w:pPr>
      <w:r>
        <w:rPr>
          <w:rFonts w:hint="eastAsia"/>
          <w:color w:val="auto"/>
          <w:lang w:val="en-US" w:eastAsia="zh-CN"/>
        </w:rPr>
        <w:t xml:space="preserve"> </w:t>
      </w:r>
      <w:r>
        <w:rPr>
          <w:rFonts w:hint="eastAsia"/>
          <w:color w:val="auto"/>
        </w:rPr>
        <w:t>电子健康卡功能</w:t>
      </w:r>
    </w:p>
    <w:p w14:paraId="0995AF1F">
      <w:pPr>
        <w:ind w:firstLine="480"/>
        <w:rPr>
          <w:rFonts w:cs="仿宋"/>
          <w:color w:val="auto"/>
        </w:rPr>
      </w:pPr>
      <w:r>
        <w:rPr>
          <w:rFonts w:hint="eastAsia" w:cs="宋体"/>
          <w:color w:val="auto"/>
          <w:kern w:val="0"/>
        </w:rPr>
        <w:t>支持通过身份证、医保卡、人口信息库等自动获取患者信息后，自动生成电子健康码</w:t>
      </w:r>
      <w:r>
        <w:rPr>
          <w:rFonts w:hint="eastAsia" w:cs="仿宋"/>
          <w:color w:val="auto"/>
        </w:rPr>
        <w:t>。</w:t>
      </w:r>
    </w:p>
    <w:p w14:paraId="7FDE8555">
      <w:pPr>
        <w:pStyle w:val="14"/>
        <w:bidi w:val="0"/>
        <w:rPr>
          <w:color w:val="auto"/>
        </w:rPr>
      </w:pPr>
      <w:r>
        <w:rPr>
          <w:rFonts w:hint="eastAsia"/>
          <w:color w:val="auto"/>
          <w:lang w:val="en-US" w:eastAsia="zh-CN"/>
        </w:rPr>
        <w:t xml:space="preserve"> </w:t>
      </w:r>
      <w:r>
        <w:rPr>
          <w:rFonts w:hint="eastAsia"/>
          <w:color w:val="auto"/>
        </w:rPr>
        <w:t>电子发票功能</w:t>
      </w:r>
    </w:p>
    <w:p w14:paraId="4F9B7886">
      <w:pPr>
        <w:ind w:firstLine="480"/>
        <w:rPr>
          <w:rFonts w:cs="仿宋"/>
          <w:color w:val="auto"/>
        </w:rPr>
      </w:pPr>
      <w:r>
        <w:rPr>
          <w:rFonts w:hint="eastAsia" w:cs="宋体"/>
          <w:color w:val="auto"/>
          <w:kern w:val="0"/>
        </w:rPr>
        <w:t>与博思电子发票系统进行对接，进行门诊及住院电子发票的全功能嵌入</w:t>
      </w:r>
      <w:r>
        <w:rPr>
          <w:rFonts w:hint="eastAsia" w:cs="仿宋"/>
          <w:color w:val="auto"/>
        </w:rPr>
        <w:t>。</w:t>
      </w:r>
    </w:p>
    <w:p w14:paraId="3FF6A591">
      <w:pPr>
        <w:pStyle w:val="14"/>
        <w:bidi w:val="0"/>
        <w:rPr>
          <w:color w:val="auto"/>
          <w:highlight w:val="none"/>
        </w:rPr>
      </w:pPr>
      <w:r>
        <w:rPr>
          <w:rFonts w:hint="eastAsia"/>
          <w:color w:val="auto"/>
          <w:highlight w:val="none"/>
          <w:lang w:val="en-US" w:eastAsia="zh-CN"/>
        </w:rPr>
        <w:t xml:space="preserve"> </w:t>
      </w:r>
      <w:r>
        <w:rPr>
          <w:rFonts w:hint="eastAsia"/>
          <w:color w:val="auto"/>
          <w:highlight w:val="none"/>
        </w:rPr>
        <w:t>电子签名系统CA</w:t>
      </w:r>
    </w:p>
    <w:p w14:paraId="39D048F6">
      <w:pPr>
        <w:bidi w:val="0"/>
        <w:rPr>
          <w:rFonts w:hint="eastAsia"/>
          <w:color w:val="auto"/>
          <w:lang w:eastAsia="zh-CN"/>
        </w:rPr>
      </w:pPr>
      <w:r>
        <w:rPr>
          <w:color w:val="auto"/>
        </w:rPr>
        <w:t>负责发放和管理数字证书的权威机构，数字证书包含了用户的身份信息和公钥，用于验证用户的合法性。通过CA认证的电子签名（即CA电子签名）与手写签名或实体印章具有同等的法律效力‌</w:t>
      </w:r>
      <w:r>
        <w:rPr>
          <w:rFonts w:hint="eastAsia"/>
          <w:color w:val="auto"/>
          <w:lang w:eastAsia="zh-CN"/>
        </w:rPr>
        <w:t>。</w:t>
      </w:r>
    </w:p>
    <w:p w14:paraId="62D84043">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lang w:eastAsia="zh-CN"/>
        </w:rPr>
      </w:pPr>
      <w:r>
        <w:rPr>
          <w:rFonts w:hint="eastAsia" w:ascii="宋体" w:hAnsi="宋体" w:eastAsia="宋体" w:cs="宋体"/>
          <w:color w:val="auto"/>
          <w:kern w:val="2"/>
          <w:sz w:val="24"/>
          <w:szCs w:val="24"/>
          <w:highlight w:val="none"/>
          <w:lang w:val="en-US" w:eastAsia="zh-CN" w:bidi="ar"/>
        </w:rPr>
        <w:t>具体功能包括但不限于以下：</w:t>
      </w:r>
    </w:p>
    <w:p w14:paraId="160CF093">
      <w:pPr>
        <w:ind w:firstLine="482"/>
        <w:rPr>
          <w:rFonts w:cs="仿宋"/>
          <w:b/>
          <w:color w:val="auto"/>
        </w:rPr>
      </w:pPr>
      <w:r>
        <w:rPr>
          <w:rFonts w:hint="eastAsia" w:cs="仿宋"/>
          <w:b/>
          <w:color w:val="auto"/>
        </w:rPr>
        <w:t>（一）数字证书服务</w:t>
      </w:r>
    </w:p>
    <w:p w14:paraId="53664BDB">
      <w:pPr>
        <w:pStyle w:val="94"/>
        <w:ind w:firstLine="480"/>
        <w:rPr>
          <w:color w:val="auto"/>
          <w:sz w:val="24"/>
        </w:rPr>
      </w:pPr>
      <w:r>
        <w:rPr>
          <w:rFonts w:hint="eastAsia"/>
          <w:color w:val="auto"/>
          <w:sz w:val="24"/>
        </w:rPr>
        <w:t>针对医疗卫生行业电子认证平台业务签署需求多样化特点，同时提供基于P</w:t>
      </w:r>
      <w:r>
        <w:rPr>
          <w:color w:val="auto"/>
          <w:sz w:val="24"/>
        </w:rPr>
        <w:t>C</w:t>
      </w:r>
      <w:r>
        <w:rPr>
          <w:rFonts w:hint="eastAsia"/>
          <w:color w:val="auto"/>
          <w:sz w:val="24"/>
        </w:rPr>
        <w:t>机应用模式U</w:t>
      </w:r>
      <w:r>
        <w:rPr>
          <w:color w:val="auto"/>
          <w:sz w:val="24"/>
        </w:rPr>
        <w:t>SB</w:t>
      </w:r>
      <w:r>
        <w:rPr>
          <w:rFonts w:hint="eastAsia"/>
          <w:color w:val="auto"/>
          <w:sz w:val="24"/>
        </w:rPr>
        <w:t>-</w:t>
      </w:r>
      <w:r>
        <w:rPr>
          <w:color w:val="auto"/>
          <w:sz w:val="24"/>
        </w:rPr>
        <w:t>K</w:t>
      </w:r>
      <w:r>
        <w:rPr>
          <w:rFonts w:hint="eastAsia"/>
          <w:color w:val="auto"/>
          <w:sz w:val="24"/>
        </w:rPr>
        <w:t>ey硬证书和基于移动终端签署模式的软证书两种模式。为保证证书服务及时可达和用户管理自主化、智能化，方案支持基于自助终端机具在线自助身份认证和用户资料提交，同时在应用单位内部建设证书受理点，指定证书管理员，为内部工作人员发放硬件数字证书，并支持软证书的线上下载；针对患者/家属的事件证书应用，作为权威第三方机构提供证书监管服务，患者/家属可方便实时在线证书申请，并满足证书即签即用、签完即销毁，为应用单位提供整套的服务平台，从而使应用单位具有证书自助管理能力。</w:t>
      </w:r>
    </w:p>
    <w:p w14:paraId="699F5F73">
      <w:pPr>
        <w:pStyle w:val="94"/>
        <w:numPr>
          <w:ilvl w:val="0"/>
          <w:numId w:val="24"/>
        </w:numPr>
        <w:ind w:left="5" w:leftChars="0" w:firstLine="475" w:firstLineChars="0"/>
        <w:rPr>
          <w:color w:val="auto"/>
          <w:sz w:val="24"/>
        </w:rPr>
      </w:pPr>
      <w:r>
        <w:rPr>
          <w:rFonts w:hint="eastAsia"/>
          <w:color w:val="auto"/>
          <w:sz w:val="24"/>
        </w:rPr>
        <w:t>在医疗应用单位建立证书网上受理渠道和受理点，由医疗单位指派证书管理员，医疗单位内部用户可通过自助机具线上身份认证和提交证书申请，受理点管理员办理硬件数字证书和发放；</w:t>
      </w:r>
    </w:p>
    <w:p w14:paraId="143BCDEF">
      <w:pPr>
        <w:pStyle w:val="94"/>
        <w:numPr>
          <w:ilvl w:val="0"/>
          <w:numId w:val="24"/>
        </w:numPr>
        <w:ind w:left="5" w:leftChars="0" w:firstLine="475" w:firstLineChars="0"/>
        <w:rPr>
          <w:color w:val="auto"/>
          <w:sz w:val="24"/>
        </w:rPr>
      </w:pPr>
      <w:r>
        <w:rPr>
          <w:rFonts w:hint="eastAsia"/>
          <w:color w:val="auto"/>
          <w:sz w:val="24"/>
        </w:rPr>
        <w:t>医疗应用单位证书受理点部署自助认证机具，方便实现智能化收集用户信息和在线鉴证用户身份，并将证书申请请求提交到数字证书服务管理系统；</w:t>
      </w:r>
    </w:p>
    <w:p w14:paraId="0E828DA9">
      <w:pPr>
        <w:pStyle w:val="94"/>
        <w:numPr>
          <w:ilvl w:val="0"/>
          <w:numId w:val="24"/>
        </w:numPr>
        <w:ind w:left="5" w:leftChars="0" w:firstLine="475" w:firstLineChars="0"/>
        <w:rPr>
          <w:color w:val="auto"/>
          <w:sz w:val="24"/>
        </w:rPr>
      </w:pPr>
      <w:r>
        <w:rPr>
          <w:rFonts w:hint="eastAsia"/>
          <w:color w:val="auto"/>
          <w:sz w:val="24"/>
        </w:rPr>
        <w:t>证书签发系统签发证书，由医疗应用单位受理点证书管理员负责灌制到证书介质中，并发放给内部最终用户。</w:t>
      </w:r>
    </w:p>
    <w:p w14:paraId="00F1D90C">
      <w:pPr>
        <w:bidi w:val="0"/>
        <w:rPr>
          <w:b/>
          <w:bCs/>
          <w:color w:val="auto"/>
        </w:rPr>
      </w:pPr>
      <w:r>
        <w:rPr>
          <w:rFonts w:hint="eastAsia"/>
          <w:b/>
          <w:bCs/>
          <w:color w:val="auto"/>
        </w:rPr>
        <w:t>（二）数字签名系统</w:t>
      </w:r>
    </w:p>
    <w:p w14:paraId="1EB11470">
      <w:pPr>
        <w:bidi w:val="0"/>
        <w:rPr>
          <w:rFonts w:hint="eastAsia"/>
          <w:color w:val="auto"/>
        </w:rPr>
      </w:pPr>
      <w:r>
        <w:rPr>
          <w:rFonts w:hint="eastAsia"/>
          <w:color w:val="auto"/>
        </w:rPr>
        <w:t>数字签名系统是由数字签名客户端软件（证书应用中间件）、应用系统API接口、数字签名验证系统（软件系统）和提供独立签名运算的数字签名验证服务硬件平台设备组成，数字签名系统是面向应用系统所面临的认证、签名和加密需求，而提出基于权威数字证书的具有完全自主知识产权的安全系统。该系统在P11、CSP等标准的底层证书调用接口基础上，通过SOAP协议对多个应用服务提供密码运算，实现基于证书的身份认证、数字签名及数字签名验证、数据加密等功能。具体功能描述如下：</w:t>
      </w:r>
    </w:p>
    <w:p w14:paraId="4D4BE0B4">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提供与业务系统模式、运行平台无关的服务方式，独立运行；</w:t>
      </w:r>
    </w:p>
    <w:p w14:paraId="21F159C2">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方便地实现与医疗应用单位信息系统的结合，具有良好的可用性、可维护性和可扩展性；</w:t>
      </w:r>
    </w:p>
    <w:p w14:paraId="1BA10E4F">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可提供双向的加密、签名功能，保证业务系统的安全交互；</w:t>
      </w:r>
    </w:p>
    <w:p w14:paraId="71E0A697">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提供业务系统的数字证书和私钥在数字签名验证服务系统上统一管理；</w:t>
      </w:r>
    </w:p>
    <w:p w14:paraId="5F1EB203">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提供根证书在数字签名验证服务器上统一的安全存储区，实现对根证书的管理和控制；</w:t>
      </w:r>
    </w:p>
    <w:p w14:paraId="2FD128C2">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数字签名系统可支持性能扩展，可通过增加硬件加密引擎或并行负载方式扩展；</w:t>
      </w:r>
    </w:p>
    <w:p w14:paraId="568F17A9">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支持多种形式的证书介质，数据格式支持pkcs#1、pkcs#7、XMLSign；</w:t>
      </w:r>
    </w:p>
    <w:p w14:paraId="159829BA">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提供对管理维护以及运行错误产生的日志进行详细的记录，以方便审计；</w:t>
      </w:r>
    </w:p>
    <w:p w14:paraId="296F885E">
      <w:pPr>
        <w:pStyle w:val="94"/>
        <w:numPr>
          <w:ilvl w:val="0"/>
          <w:numId w:val="25"/>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支持最多个证书应用系统对接，可以同时为他们提供证书和密码服务，并集中进行管理。</w:t>
      </w:r>
    </w:p>
    <w:p w14:paraId="3EA11133">
      <w:pPr>
        <w:ind w:firstLine="482"/>
        <w:rPr>
          <w:rFonts w:cs="仿宋"/>
          <w:b/>
          <w:color w:val="auto"/>
        </w:rPr>
      </w:pPr>
      <w:r>
        <w:rPr>
          <w:rFonts w:hint="eastAsia" w:cs="仿宋"/>
          <w:b/>
          <w:color w:val="auto"/>
        </w:rPr>
        <w:t>（三）电子签章系统</w:t>
      </w:r>
    </w:p>
    <w:p w14:paraId="5E88E582">
      <w:pPr>
        <w:bidi w:val="0"/>
        <w:rPr>
          <w:color w:val="auto"/>
        </w:rPr>
      </w:pPr>
      <w:r>
        <w:rPr>
          <w:rFonts w:hint="eastAsia"/>
          <w:color w:val="auto"/>
        </w:rPr>
        <w:t>通过数字证书发放，医疗信息系统用户已获得了标识其在合法身份的数字证书。在系统中通过电子签章实现基于数字证书的可视化电子签名应用，在医疗业务处理过程中集成电子签章功能，实现数字签名的可视化、图形化，使可靠电子签名在系统中可形象展现，并提供方便的签章验证辨伪操作界面。</w:t>
      </w:r>
    </w:p>
    <w:p w14:paraId="264F6AAE">
      <w:pPr>
        <w:pStyle w:val="94"/>
        <w:numPr>
          <w:ilvl w:val="0"/>
          <w:numId w:val="26"/>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电子签章管理系统：电子签章图片的生成、灌制，与证书进行绑定后生命周期的管理系统。</w:t>
      </w:r>
    </w:p>
    <w:p w14:paraId="2A6B77F1">
      <w:pPr>
        <w:pStyle w:val="94"/>
        <w:numPr>
          <w:ilvl w:val="0"/>
          <w:numId w:val="26"/>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数字证书和签章图片：数字证书和签名图片都保存在证书存储介质中，由受理点证书管理员统一灌制。</w:t>
      </w:r>
    </w:p>
    <w:p w14:paraId="3B3EECE2">
      <w:pPr>
        <w:pStyle w:val="94"/>
        <w:numPr>
          <w:ilvl w:val="0"/>
          <w:numId w:val="26"/>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电子签章客户端：实现在医疗信息系统客户端界面上加盖签章图片的工作。</w:t>
      </w:r>
    </w:p>
    <w:p w14:paraId="2058DA7A">
      <w:pPr>
        <w:ind w:firstLine="482"/>
        <w:rPr>
          <w:rFonts w:cs="仿宋"/>
          <w:b/>
          <w:color w:val="auto"/>
        </w:rPr>
      </w:pPr>
      <w:r>
        <w:rPr>
          <w:rFonts w:hint="eastAsia" w:cs="仿宋"/>
          <w:b/>
          <w:color w:val="auto"/>
        </w:rPr>
        <w:t>（四）时间戳系统</w:t>
      </w:r>
    </w:p>
    <w:p w14:paraId="19702DCA">
      <w:pPr>
        <w:pStyle w:val="94"/>
        <w:ind w:firstLine="480"/>
        <w:rPr>
          <w:color w:val="auto"/>
          <w:sz w:val="24"/>
        </w:rPr>
      </w:pPr>
      <w:bookmarkStart w:id="106" w:name="_Hlk527981835"/>
      <w:r>
        <w:rPr>
          <w:rFonts w:hint="eastAsia"/>
          <w:color w:val="auto"/>
          <w:sz w:val="24"/>
        </w:rPr>
        <w:t>时间戳系统由密码服务、时间戳签发服务、时间戳管理服务和时间戳接口服务组成，负责面向应用系统提供可信的时间服务。</w:t>
      </w:r>
    </w:p>
    <w:p w14:paraId="3B484B56">
      <w:pPr>
        <w:pStyle w:val="94"/>
        <w:numPr>
          <w:ilvl w:val="0"/>
          <w:numId w:val="27"/>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 xml:space="preserve">时间戳请求模块 </w:t>
      </w:r>
    </w:p>
    <w:p w14:paraId="037F2B4D">
      <w:pPr>
        <w:bidi w:val="0"/>
        <w:rPr>
          <w:rFonts w:hint="eastAsia" w:eastAsia="宋体"/>
          <w:color w:val="auto"/>
          <w:lang w:eastAsia="zh-CN"/>
        </w:rPr>
      </w:pPr>
      <w:r>
        <w:rPr>
          <w:rFonts w:hint="eastAsia"/>
          <w:color w:val="auto"/>
        </w:rPr>
        <w:t>实现应用系统与时间戳服务系统调用的二次开发接口</w:t>
      </w:r>
      <w:r>
        <w:rPr>
          <w:rFonts w:hint="eastAsia"/>
          <w:color w:val="auto"/>
          <w:lang w:eastAsia="zh-CN"/>
        </w:rPr>
        <w:t>；</w:t>
      </w:r>
    </w:p>
    <w:p w14:paraId="0BBD9657">
      <w:pPr>
        <w:bidi w:val="0"/>
        <w:rPr>
          <w:rFonts w:hint="eastAsia"/>
          <w:color w:val="auto"/>
          <w:lang w:eastAsia="zh-CN"/>
        </w:rPr>
      </w:pPr>
      <w:r>
        <w:rPr>
          <w:rFonts w:hint="eastAsia"/>
          <w:color w:val="auto"/>
        </w:rPr>
        <w:t>生成时间戳请求、解析时间戳、验证时间戳、数字摘要生成、验证证书接口</w:t>
      </w:r>
      <w:r>
        <w:rPr>
          <w:rFonts w:hint="eastAsia"/>
          <w:color w:val="auto"/>
          <w:lang w:eastAsia="zh-CN"/>
        </w:rPr>
        <w:t>；</w:t>
      </w:r>
    </w:p>
    <w:p w14:paraId="4679E1B4">
      <w:pPr>
        <w:bidi w:val="0"/>
        <w:rPr>
          <w:rFonts w:hint="eastAsia" w:eastAsia="宋体"/>
          <w:color w:val="auto"/>
          <w:lang w:eastAsia="zh-CN"/>
        </w:rPr>
      </w:pPr>
      <w:r>
        <w:rPr>
          <w:rFonts w:hint="eastAsia"/>
          <w:color w:val="auto"/>
        </w:rPr>
        <w:t>提供COM、JAVA、C等主流开发API</w:t>
      </w:r>
      <w:r>
        <w:rPr>
          <w:rFonts w:hint="eastAsia"/>
          <w:color w:val="auto"/>
          <w:lang w:eastAsia="zh-CN"/>
        </w:rPr>
        <w:t>。</w:t>
      </w:r>
    </w:p>
    <w:p w14:paraId="57C6A30B">
      <w:pPr>
        <w:pStyle w:val="94"/>
        <w:numPr>
          <w:ilvl w:val="0"/>
          <w:numId w:val="27"/>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 xml:space="preserve">时间戳签发模块 </w:t>
      </w:r>
    </w:p>
    <w:p w14:paraId="69BA8728">
      <w:pPr>
        <w:pStyle w:val="94"/>
        <w:numPr>
          <w:ilvl w:val="0"/>
          <w:numId w:val="0"/>
        </w:numPr>
        <w:ind w:left="480" w:leftChars="0"/>
        <w:rPr>
          <w:rFonts w:hint="eastAsia"/>
          <w:color w:val="auto"/>
          <w:lang w:eastAsia="zh-CN"/>
        </w:rPr>
      </w:pPr>
      <w:r>
        <w:rPr>
          <w:rFonts w:hint="eastAsia"/>
          <w:color w:val="auto"/>
        </w:rPr>
        <w:t>接收来自应用系统的时间戳签发请求，并验证时间戳请求的有效性</w:t>
      </w:r>
      <w:r>
        <w:rPr>
          <w:rFonts w:hint="eastAsia"/>
          <w:color w:val="auto"/>
          <w:lang w:eastAsia="zh-CN"/>
        </w:rPr>
        <w:t>；</w:t>
      </w:r>
    </w:p>
    <w:p w14:paraId="48D2CB56">
      <w:pPr>
        <w:bidi w:val="0"/>
        <w:rPr>
          <w:rFonts w:hint="eastAsia"/>
          <w:color w:val="auto"/>
          <w:lang w:eastAsia="zh-CN"/>
        </w:rPr>
      </w:pPr>
      <w:r>
        <w:rPr>
          <w:rFonts w:hint="eastAsia"/>
          <w:color w:val="auto"/>
        </w:rPr>
        <w:t>通过时间读取获取时间源设备标准时间并签发时间戳，将签发的时间戳返回应用系统</w:t>
      </w:r>
      <w:r>
        <w:rPr>
          <w:rFonts w:hint="eastAsia"/>
          <w:color w:val="auto"/>
          <w:lang w:eastAsia="zh-CN"/>
        </w:rPr>
        <w:t>。</w:t>
      </w:r>
    </w:p>
    <w:p w14:paraId="29960BAC">
      <w:pPr>
        <w:pStyle w:val="94"/>
        <w:numPr>
          <w:ilvl w:val="0"/>
          <w:numId w:val="27"/>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时间戳管理模块</w:t>
      </w:r>
    </w:p>
    <w:p w14:paraId="12A2959B">
      <w:pPr>
        <w:bidi w:val="0"/>
        <w:rPr>
          <w:rFonts w:hint="eastAsia"/>
          <w:color w:val="auto"/>
          <w:lang w:eastAsia="zh-CN"/>
        </w:rPr>
      </w:pPr>
      <w:r>
        <w:rPr>
          <w:rFonts w:hint="eastAsia"/>
          <w:color w:val="auto"/>
        </w:rPr>
        <w:t>时间源管理：配置时间源服务器IP地址、配置时间同步策略</w:t>
      </w:r>
      <w:r>
        <w:rPr>
          <w:rFonts w:hint="eastAsia"/>
          <w:color w:val="auto"/>
          <w:lang w:eastAsia="zh-CN"/>
        </w:rPr>
        <w:t>；</w:t>
      </w:r>
    </w:p>
    <w:p w14:paraId="5CCEFEF5">
      <w:pPr>
        <w:bidi w:val="0"/>
        <w:rPr>
          <w:rFonts w:hint="eastAsia"/>
          <w:color w:val="auto"/>
          <w:lang w:eastAsia="zh-CN"/>
        </w:rPr>
      </w:pPr>
      <w:r>
        <w:rPr>
          <w:rFonts w:hint="eastAsia"/>
          <w:color w:val="auto"/>
        </w:rPr>
        <w:t>证书管理：配置时间戳服务器证书。产生私钥和证书请求，导入证书</w:t>
      </w:r>
      <w:r>
        <w:rPr>
          <w:rFonts w:hint="eastAsia"/>
          <w:color w:val="auto"/>
          <w:lang w:eastAsia="zh-CN"/>
        </w:rPr>
        <w:t>；</w:t>
      </w:r>
    </w:p>
    <w:p w14:paraId="49E70800">
      <w:pPr>
        <w:bidi w:val="0"/>
        <w:rPr>
          <w:rFonts w:hint="eastAsia"/>
          <w:color w:val="auto"/>
          <w:lang w:eastAsia="zh-CN"/>
        </w:rPr>
      </w:pPr>
      <w:r>
        <w:rPr>
          <w:rFonts w:hint="eastAsia"/>
          <w:color w:val="auto"/>
        </w:rPr>
        <w:t>系统管理：系统状态查看、用户管理，备份恢复、系统升级</w:t>
      </w:r>
      <w:r>
        <w:rPr>
          <w:rFonts w:hint="eastAsia"/>
          <w:color w:val="auto"/>
          <w:lang w:eastAsia="zh-CN"/>
        </w:rPr>
        <w:t>。</w:t>
      </w:r>
    </w:p>
    <w:p w14:paraId="48E119A4">
      <w:pPr>
        <w:pStyle w:val="94"/>
        <w:numPr>
          <w:ilvl w:val="0"/>
          <w:numId w:val="27"/>
        </w:numPr>
        <w:ind w:left="5" w:leftChars="0" w:firstLine="475" w:firstLineChars="0"/>
        <w:rPr>
          <w:rFonts w:hint="eastAsia" w:ascii="宋体" w:hAnsi="宋体" w:eastAsia="宋体" w:cs="宋体"/>
          <w:color w:val="auto"/>
          <w:sz w:val="24"/>
        </w:rPr>
      </w:pPr>
      <w:r>
        <w:rPr>
          <w:rFonts w:hint="eastAsia" w:ascii="宋体" w:hAnsi="宋体" w:eastAsia="宋体" w:cs="宋体"/>
          <w:color w:val="auto"/>
          <w:sz w:val="24"/>
        </w:rPr>
        <w:t>时间源服务器</w:t>
      </w:r>
    </w:p>
    <w:p w14:paraId="1A46702E">
      <w:pPr>
        <w:pStyle w:val="94"/>
        <w:ind w:firstLine="480"/>
        <w:rPr>
          <w:rFonts w:cs="Arial"/>
          <w:color w:val="auto"/>
          <w:sz w:val="24"/>
        </w:rPr>
      </w:pPr>
      <w:r>
        <w:rPr>
          <w:rFonts w:hint="eastAsia"/>
          <w:color w:val="auto"/>
          <w:sz w:val="24"/>
        </w:rPr>
        <w:t>为保障医疗数据，如电子病历编写确认在时间上的不可否认性，可通过时间源服务器获取精准的时间源。在医疗项目中，根据医疗信息系统业务对时间的精准度要求，建议选择以北斗信号为时间基准，内嵌国际流行的NTP-SERVER服务，以NTP/SNTP协议同步网络中的所有计算机、控制器等设备，实现网络授时的NTP网络时间服务器</w:t>
      </w:r>
      <w:r>
        <w:rPr>
          <w:rFonts w:hint="eastAsia" w:cs="Arial"/>
          <w:color w:val="auto"/>
          <w:sz w:val="24"/>
        </w:rPr>
        <w:t>，通过时间同步机制校对时间戳服务系统服务器的系统时间。</w:t>
      </w:r>
    </w:p>
    <w:p w14:paraId="01742439">
      <w:pPr>
        <w:ind w:firstLine="482"/>
        <w:rPr>
          <w:rFonts w:cs="仿宋"/>
          <w:b/>
          <w:color w:val="auto"/>
        </w:rPr>
      </w:pPr>
      <w:r>
        <w:rPr>
          <w:rFonts w:hint="eastAsia" w:cs="仿宋"/>
          <w:b/>
          <w:color w:val="auto"/>
        </w:rPr>
        <w:t>（五）安全登录认证</w:t>
      </w:r>
      <w:bookmarkEnd w:id="106"/>
    </w:p>
    <w:p w14:paraId="6BFFCA8D">
      <w:pPr>
        <w:pStyle w:val="94"/>
        <w:ind w:firstLine="480"/>
        <w:rPr>
          <w:color w:val="auto"/>
          <w:sz w:val="24"/>
        </w:rPr>
      </w:pPr>
      <w:bookmarkStart w:id="107" w:name="_Toc289066703"/>
      <w:bookmarkStart w:id="108" w:name="_Toc307748041"/>
      <w:bookmarkStart w:id="109" w:name="_Toc306716169"/>
      <w:r>
        <w:rPr>
          <w:rFonts w:hint="eastAsia"/>
          <w:color w:val="auto"/>
          <w:sz w:val="24"/>
        </w:rPr>
        <w:t>用户（如医生等）使用数字证书登录医疗系统客户端，医疗系统客户端通过调用客户端控件和数字签名验证服务器实现对存储于U</w:t>
      </w:r>
      <w:r>
        <w:rPr>
          <w:color w:val="auto"/>
          <w:sz w:val="24"/>
        </w:rPr>
        <w:t>SB-KEY</w:t>
      </w:r>
      <w:r>
        <w:rPr>
          <w:rFonts w:hint="eastAsia"/>
          <w:color w:val="auto"/>
          <w:sz w:val="24"/>
        </w:rPr>
        <w:t>内数字证书的读取、解析、验证和展现，实现基于数字证书的安全登录。具体流程如下：</w:t>
      </w:r>
    </w:p>
    <w:p w14:paraId="70D8DD64">
      <w:pPr>
        <w:pStyle w:val="94"/>
        <w:ind w:firstLine="480"/>
        <w:rPr>
          <w:color w:val="auto"/>
          <w:sz w:val="24"/>
        </w:rPr>
      </w:pPr>
      <w:r>
        <w:rPr>
          <w:rFonts w:hint="eastAsia"/>
          <w:color w:val="auto"/>
          <w:sz w:val="24"/>
        </w:rPr>
        <w:t>流程说明：</w:t>
      </w:r>
    </w:p>
    <w:p w14:paraId="70770098">
      <w:pPr>
        <w:pStyle w:val="286"/>
        <w:numPr>
          <w:ilvl w:val="0"/>
          <w:numId w:val="28"/>
        </w:numPr>
        <w:spacing w:before="0"/>
        <w:ind w:left="0" w:firstLine="480" w:firstLineChars="200"/>
        <w:rPr>
          <w:rFonts w:hint="eastAsia" w:ascii="宋体" w:hAnsi="宋体" w:eastAsia="宋体" w:cs="宋体"/>
          <w:color w:val="auto"/>
        </w:rPr>
      </w:pPr>
      <w:r>
        <w:rPr>
          <w:rFonts w:hint="eastAsia" w:ascii="宋体" w:hAnsi="宋体" w:eastAsia="宋体"/>
          <w:color w:val="auto"/>
        </w:rPr>
        <w:t>用户在医疗信息系统客户端读取USB-Key信息；</w:t>
      </w:r>
    </w:p>
    <w:p w14:paraId="07FAEE7F">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客户端获取USB-Key中证书用户信息；</w:t>
      </w:r>
    </w:p>
    <w:p w14:paraId="3B911F2D">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通过webservice方式调用数字签名验证服务器验证接口，验证客户端证书；</w:t>
      </w:r>
    </w:p>
    <w:p w14:paraId="52D50560">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数字签名验证服务器验证用户证书链，验证吊销列表（CRL）；</w:t>
      </w:r>
    </w:p>
    <w:p w14:paraId="58D99847">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验证证书返回值为失败，提示客户端验证失败；</w:t>
      </w:r>
    </w:p>
    <w:p w14:paraId="6107E7D8">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验证证书返回值正确，获取证书唯一标识，并与数据库中用户信息匹配；</w:t>
      </w:r>
    </w:p>
    <w:p w14:paraId="4665E19C">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根据用户证书唯一标识，查询用户数据库；</w:t>
      </w:r>
    </w:p>
    <w:p w14:paraId="1B559334">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查询用户不存在，提示证书用户未注册；</w:t>
      </w:r>
    </w:p>
    <w:p w14:paraId="611B20CC">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如果用户存在，业务系统权限设置，并登录系统主界面。</w:t>
      </w:r>
    </w:p>
    <w:p w14:paraId="1491C5AB">
      <w:pPr>
        <w:ind w:firstLine="482"/>
        <w:rPr>
          <w:rFonts w:cs="仿宋"/>
          <w:b/>
          <w:color w:val="auto"/>
        </w:rPr>
      </w:pPr>
      <w:r>
        <w:rPr>
          <w:rFonts w:hint="eastAsia" w:cs="仿宋"/>
          <w:b/>
          <w:color w:val="auto"/>
        </w:rPr>
        <w:t>（六）数字签名和验证</w:t>
      </w:r>
      <w:bookmarkEnd w:id="107"/>
      <w:bookmarkEnd w:id="108"/>
      <w:bookmarkEnd w:id="109"/>
    </w:p>
    <w:p w14:paraId="5447CE56">
      <w:pPr>
        <w:pStyle w:val="94"/>
        <w:ind w:firstLine="480"/>
        <w:rPr>
          <w:color w:val="auto"/>
          <w:sz w:val="24"/>
        </w:rPr>
      </w:pPr>
      <w:bookmarkStart w:id="110" w:name="_Toc289066704"/>
      <w:bookmarkStart w:id="111" w:name="_Toc307748042"/>
      <w:bookmarkStart w:id="112" w:name="_Toc306716170"/>
      <w:r>
        <w:rPr>
          <w:rFonts w:hint="eastAsia"/>
          <w:color w:val="auto"/>
          <w:sz w:val="24"/>
        </w:rPr>
        <w:t>数字签名验证服务器实现基于数字证书的身份认证、数字签名、数据加密等功能，核心是将提交的医疗数据进行数字签名，以保证数据的不可抵赖性、完整性需求，并在查询相关数据时，实现用户对于所查询的数据的有效性验证。通过部署数字签名验证服务器可实现医疗应用单位重要业务环节中的数字签名及验证。</w:t>
      </w:r>
    </w:p>
    <w:p w14:paraId="3612E0E0">
      <w:pPr>
        <w:pStyle w:val="94"/>
        <w:ind w:firstLine="480"/>
        <w:rPr>
          <w:color w:val="auto"/>
          <w:sz w:val="24"/>
        </w:rPr>
      </w:pPr>
      <w:r>
        <w:rPr>
          <w:rFonts w:hint="eastAsia"/>
          <w:color w:val="auto"/>
          <w:sz w:val="24"/>
        </w:rPr>
        <w:t>为确保医疗数据具有法律效力，必须按照《电子签名法》要求，基于由国家认可的第三方电子认证服务机构签发的数字证书对其完成数字签名，才能具有法律效力。通过数字签名验证服务器实现医疗信息系统客户端的数字签名，以及医疗信息系统的签名验证等功能。具体流程如下图所示：</w:t>
      </w:r>
    </w:p>
    <w:p w14:paraId="47C7C2CC">
      <w:pPr>
        <w:pStyle w:val="94"/>
        <w:ind w:firstLine="480"/>
        <w:rPr>
          <w:color w:val="auto"/>
          <w:sz w:val="24"/>
        </w:rPr>
      </w:pPr>
      <w:r>
        <w:rPr>
          <w:rFonts w:hint="eastAsia"/>
          <w:color w:val="auto"/>
          <w:sz w:val="24"/>
        </w:rPr>
        <w:t>数字证书签名流程说明如下：</w:t>
      </w:r>
    </w:p>
    <w:p w14:paraId="63C7F1C0">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证书用户成功登录；</w:t>
      </w:r>
    </w:p>
    <w:p w14:paraId="74A1597A">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获取医疗信息系统关联内容数据，即为准备被签名的内容（原文）；</w:t>
      </w:r>
    </w:p>
    <w:p w14:paraId="39C10DE9">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客户端签名，调用第三方认证机构提供签名接口进行数据签名；</w:t>
      </w:r>
    </w:p>
    <w:p w14:paraId="2F7522B1">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调用签名验证服务器签名接口</w:t>
      </w:r>
      <w:r>
        <w:rPr>
          <w:rFonts w:hint="eastAsia" w:ascii="宋体" w:hAnsi="宋体" w:eastAsia="宋体"/>
          <w:color w:val="auto"/>
          <w:lang w:eastAsia="zh-CN"/>
        </w:rPr>
        <w:t>；</w:t>
      </w:r>
    </w:p>
    <w:p w14:paraId="4C42C049">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验证客户端签名值，原文内容使用服务器证书进行签名，然后将签名值返回；</w:t>
      </w:r>
    </w:p>
    <w:p w14:paraId="6EA9B690">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将原文、客户端签名和服务器端签名入库；</w:t>
      </w:r>
    </w:p>
    <w:p w14:paraId="06B5506E">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保存原文、客户端签名和服务器端签名值。</w:t>
      </w:r>
    </w:p>
    <w:p w14:paraId="46A997A4">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保存成功，签名流程完成。</w:t>
      </w:r>
    </w:p>
    <w:p w14:paraId="0140D8ED">
      <w:pPr>
        <w:ind w:firstLine="482"/>
        <w:rPr>
          <w:rFonts w:cs="仿宋"/>
          <w:b/>
          <w:color w:val="auto"/>
        </w:rPr>
      </w:pPr>
      <w:r>
        <w:rPr>
          <w:rFonts w:hint="eastAsia" w:cs="仿宋"/>
          <w:b/>
          <w:color w:val="auto"/>
        </w:rPr>
        <w:t>（七）业务单据可信时间戳</w:t>
      </w:r>
      <w:bookmarkEnd w:id="110"/>
      <w:bookmarkEnd w:id="111"/>
      <w:bookmarkEnd w:id="112"/>
    </w:p>
    <w:p w14:paraId="4709B433">
      <w:pPr>
        <w:pStyle w:val="94"/>
        <w:ind w:firstLine="480"/>
        <w:rPr>
          <w:color w:val="auto"/>
          <w:sz w:val="24"/>
        </w:rPr>
      </w:pPr>
      <w:bookmarkStart w:id="113" w:name="_Toc289066705"/>
      <w:bookmarkStart w:id="114" w:name="_Toc306716171"/>
      <w:bookmarkStart w:id="115" w:name="_Toc307748043"/>
      <w:r>
        <w:rPr>
          <w:rFonts w:hint="eastAsia"/>
          <w:color w:val="auto"/>
          <w:sz w:val="24"/>
        </w:rPr>
        <w:t>通过引入权威可信时间源、第三方电子认证服务以及电子签名技术，面向医疗信息系统提供时间戳服务，为医疗应用系统提供其所需要的可信时间服务，确保业务时间环境的真实可靠和可信。</w:t>
      </w:r>
    </w:p>
    <w:p w14:paraId="72522D4F">
      <w:pPr>
        <w:pStyle w:val="94"/>
        <w:ind w:firstLine="480"/>
        <w:rPr>
          <w:color w:val="auto"/>
          <w:sz w:val="24"/>
        </w:rPr>
      </w:pPr>
      <w:r>
        <w:rPr>
          <w:rFonts w:hint="eastAsia"/>
          <w:color w:val="auto"/>
          <w:sz w:val="24"/>
        </w:rPr>
        <w:t>通过集成部署时间戳服务系统，可以有效证明电子数据的有效性及产生时间，将经签名的一个可信赖的日期和时间与特定电子数据绑定在一起，为服务器端应用提供可信的时间证明，为医疗系统提供可信时间服务。实现如下需求：</w:t>
      </w:r>
    </w:p>
    <w:p w14:paraId="32720761">
      <w:pPr>
        <w:pStyle w:val="286"/>
        <w:numPr>
          <w:ilvl w:val="0"/>
          <w:numId w:val="28"/>
        </w:numPr>
        <w:spacing w:before="0"/>
        <w:ind w:left="0" w:firstLine="480" w:firstLineChars="200"/>
        <w:rPr>
          <w:color w:val="auto"/>
        </w:rPr>
      </w:pPr>
      <w:r>
        <w:rPr>
          <w:rFonts w:hint="eastAsia" w:ascii="宋体" w:hAnsi="宋体" w:eastAsia="宋体"/>
          <w:color w:val="auto"/>
        </w:rPr>
        <w:t>时间服务的合法性：系统在提供可信时间服务时，必须确保所签发的时间戳具有权威性、法律效力，一旦发生业务纠纷时，所出示的时间证明能够为司法取证所采信。</w:t>
      </w:r>
    </w:p>
    <w:p w14:paraId="760274AC">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可信时间的真实可靠：系统所提供的可信时间证明必须确保时间戳在签发、传输和存储过程中的安全可靠，时间证明一旦被修改，系统能够通过验证机制及时发现。</w:t>
      </w:r>
    </w:p>
    <w:p w14:paraId="3F55CE7E">
      <w:pPr>
        <w:pStyle w:val="286"/>
        <w:numPr>
          <w:ilvl w:val="0"/>
          <w:numId w:val="28"/>
        </w:numPr>
        <w:spacing w:before="0"/>
        <w:ind w:left="0" w:firstLine="480" w:firstLineChars="200"/>
        <w:rPr>
          <w:rFonts w:hint="eastAsia" w:ascii="宋体" w:hAnsi="宋体" w:eastAsia="宋体"/>
          <w:color w:val="auto"/>
        </w:rPr>
      </w:pPr>
      <w:r>
        <w:rPr>
          <w:rFonts w:hint="eastAsia" w:ascii="宋体" w:hAnsi="宋体" w:eastAsia="宋体"/>
          <w:color w:val="auto"/>
        </w:rPr>
        <w:t>可信时间与应用系统集成简单：系统应提供丰富的接口函数供信息系统调用，在可信时间服务集成到信息系统过程中应该对信息系统进行尽可能少的改动，确保可信时间服务很容易集成到具体业务操作环节中。</w:t>
      </w:r>
    </w:p>
    <w:p w14:paraId="7FF799C9">
      <w:pPr>
        <w:numPr>
          <w:ilvl w:val="0"/>
          <w:numId w:val="29"/>
        </w:numPr>
        <w:ind w:left="5" w:leftChars="0" w:firstLine="475" w:firstLineChars="0"/>
        <w:rPr>
          <w:color w:val="auto"/>
        </w:rPr>
      </w:pPr>
      <w:r>
        <w:rPr>
          <w:rFonts w:hint="eastAsia"/>
          <w:color w:val="auto"/>
        </w:rPr>
        <w:t>医疗信息系统调用接口程序通过Hash算法对原文计算出数字摘要；</w:t>
      </w:r>
    </w:p>
    <w:p w14:paraId="15970A3E">
      <w:pPr>
        <w:numPr>
          <w:ilvl w:val="0"/>
          <w:numId w:val="29"/>
        </w:numPr>
        <w:ind w:left="5" w:leftChars="0" w:firstLine="475" w:firstLineChars="0"/>
        <w:rPr>
          <w:color w:val="auto"/>
        </w:rPr>
      </w:pPr>
      <w:r>
        <w:rPr>
          <w:rFonts w:hint="eastAsia"/>
          <w:color w:val="auto"/>
        </w:rPr>
        <w:t>医疗信息系统将数字摘要通过网络发送给时间戳服务器；</w:t>
      </w:r>
    </w:p>
    <w:p w14:paraId="0AA32D10">
      <w:pPr>
        <w:numPr>
          <w:ilvl w:val="0"/>
          <w:numId w:val="29"/>
        </w:numPr>
        <w:ind w:left="5" w:leftChars="0" w:firstLine="475" w:firstLineChars="0"/>
        <w:rPr>
          <w:color w:val="auto"/>
        </w:rPr>
      </w:pPr>
      <w:r>
        <w:rPr>
          <w:rFonts w:hint="eastAsia"/>
          <w:color w:val="auto"/>
        </w:rPr>
        <w:t>时间戳服务系统通过网络时间服务器读取标准时间，利用第三方CA机构签发的证书对应的私钥对数字摘要和可信时间进行签名，产生时间戳；</w:t>
      </w:r>
    </w:p>
    <w:p w14:paraId="7D45835F">
      <w:pPr>
        <w:numPr>
          <w:ilvl w:val="0"/>
          <w:numId w:val="29"/>
        </w:numPr>
        <w:ind w:left="5" w:leftChars="0" w:firstLine="475" w:firstLineChars="0"/>
        <w:rPr>
          <w:color w:val="auto"/>
        </w:rPr>
      </w:pPr>
      <w:r>
        <w:rPr>
          <w:rFonts w:hint="eastAsia"/>
          <w:color w:val="auto"/>
        </w:rPr>
        <w:t>时间戳通过网络传回医疗信息系统，医疗信息系统验证通过后进行存储，此后，时间戳和原文绑定在一起成为可以证明某个时间的有效证据。</w:t>
      </w:r>
    </w:p>
    <w:p w14:paraId="6F2760AD">
      <w:pPr>
        <w:ind w:firstLine="482"/>
        <w:rPr>
          <w:rFonts w:cs="仿宋"/>
          <w:b/>
          <w:color w:val="auto"/>
        </w:rPr>
      </w:pPr>
      <w:r>
        <w:rPr>
          <w:rFonts w:hint="eastAsia" w:cs="仿宋"/>
          <w:b/>
          <w:color w:val="auto"/>
        </w:rPr>
        <w:t>（八）业务单据电子签章</w:t>
      </w:r>
      <w:bookmarkEnd w:id="113"/>
      <w:bookmarkEnd w:id="114"/>
      <w:bookmarkEnd w:id="115"/>
    </w:p>
    <w:p w14:paraId="2EF44E97">
      <w:pPr>
        <w:pStyle w:val="94"/>
        <w:ind w:firstLine="480"/>
        <w:rPr>
          <w:color w:val="auto"/>
          <w:sz w:val="24"/>
        </w:rPr>
      </w:pPr>
      <w:r>
        <w:rPr>
          <w:rFonts w:hint="eastAsia"/>
          <w:color w:val="auto"/>
          <w:sz w:val="24"/>
        </w:rPr>
        <w:t>在电子信息世界，数字签名是隐藏在电子文档中的一串字符，不能像现实世界的电子签名一样直接展现给用户，通过依托成熟产品—电子签章系统，在医嘱单、检验单等医疗过程中实现电子签章功能，实现了电子病历中数字签名的可视化、图形化，使可靠电子签名在电子病历中可形象展现，并提供方便的签章验证辨伪操作界面。</w:t>
      </w:r>
    </w:p>
    <w:p w14:paraId="6492EB81">
      <w:pPr>
        <w:pStyle w:val="13"/>
        <w:bidi w:val="0"/>
        <w:ind w:left="1008" w:leftChars="0" w:hanging="1008" w:firstLineChars="0"/>
        <w:rPr>
          <w:color w:val="auto"/>
        </w:rPr>
      </w:pPr>
      <w:r>
        <w:rPr>
          <w:rFonts w:hint="eastAsia"/>
          <w:color w:val="auto"/>
          <w:lang w:val="en-US" w:eastAsia="zh-CN"/>
        </w:rPr>
        <w:t xml:space="preserve"> </w:t>
      </w:r>
      <w:r>
        <w:rPr>
          <w:rFonts w:hint="eastAsia"/>
          <w:color w:val="auto"/>
        </w:rPr>
        <w:t>便民服务</w:t>
      </w:r>
      <w:r>
        <w:rPr>
          <w:rFonts w:hint="eastAsia"/>
          <w:color w:val="auto"/>
        </w:rPr>
        <w:tab/>
      </w:r>
    </w:p>
    <w:p w14:paraId="676D30EA">
      <w:pPr>
        <w:pStyle w:val="14"/>
        <w:bidi w:val="0"/>
        <w:rPr>
          <w:color w:val="auto"/>
        </w:rPr>
      </w:pPr>
      <w:r>
        <w:rPr>
          <w:rFonts w:hint="eastAsia"/>
          <w:color w:val="auto"/>
          <w:lang w:val="en-US" w:eastAsia="zh-CN"/>
        </w:rPr>
        <w:t xml:space="preserve"> </w:t>
      </w:r>
      <w:r>
        <w:rPr>
          <w:rFonts w:hint="eastAsia"/>
          <w:color w:val="auto"/>
        </w:rPr>
        <w:t>统一支付对账平台</w:t>
      </w:r>
    </w:p>
    <w:p w14:paraId="7AA97F52">
      <w:pPr>
        <w:ind w:left="0" w:leftChars="0" w:firstLine="420" w:firstLineChars="0"/>
        <w:rPr>
          <w:rFonts w:hint="eastAsia"/>
          <w:b w:val="0"/>
          <w:bCs w:val="0"/>
          <w:color w:val="auto"/>
        </w:rPr>
      </w:pPr>
      <w:r>
        <w:rPr>
          <w:rFonts w:hint="eastAsia"/>
          <w:b w:val="0"/>
          <w:bCs w:val="0"/>
          <w:color w:val="auto"/>
        </w:rPr>
        <w:t>互联网支付平台采用SOA面向服务设计、负载均衡技术，完成各业务系统之间的消息转发以及消息的逻辑处理，为各业务系统和外部对接系统提供统一接口，能够分布式部署，增强业务处理能力。通过整合HIS、LIS、PACS、EMR、集中收银平台、社保系统、满意度调查接口，对外（如网站、手机端、自助机等）提供支付、缴费明细等医疗服务器接口。</w:t>
      </w:r>
    </w:p>
    <w:p w14:paraId="7B84DAC2">
      <w:pPr>
        <w:rPr>
          <w:rFonts w:hint="eastAsia"/>
          <w:b w:val="0"/>
          <w:bCs w:val="0"/>
          <w:color w:val="auto"/>
        </w:rPr>
      </w:pPr>
      <w:r>
        <w:rPr>
          <w:rFonts w:hint="eastAsia"/>
          <w:b w:val="0"/>
          <w:bCs w:val="0"/>
          <w:color w:val="auto"/>
        </w:rPr>
        <w:t>具体功能包括：支付类型、订单列表、交易记录、退款处理、三方对账、坏账监管、医保脱卡支付、多渠道对账、自动对账、差异帐单、交易分析、实时交易数据展示、支付安全管理、功能权限等。</w:t>
      </w:r>
    </w:p>
    <w:p w14:paraId="2A9852C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lang w:val="en-US" w:eastAsia="zh-CN" w:bidi="ar"/>
        </w:rPr>
        <w:t>具体功能包括但不限于以下：</w:t>
      </w:r>
    </w:p>
    <w:p w14:paraId="15932319">
      <w:pPr>
        <w:rPr>
          <w:rFonts w:hint="eastAsia"/>
          <w:b w:val="0"/>
          <w:bCs w:val="0"/>
          <w:color w:val="auto"/>
        </w:rPr>
      </w:pPr>
      <w:r>
        <w:rPr>
          <w:rFonts w:hint="eastAsia"/>
          <w:b w:val="0"/>
          <w:bCs w:val="0"/>
          <w:color w:val="auto"/>
        </w:rPr>
        <w:t>支付类型：系统支持微信、支付宝钱包以及扫码、快捷支付、支付宝专用扫码支付、网上银行等，用户提供统一的网上支付和清算功能。</w:t>
      </w:r>
    </w:p>
    <w:p w14:paraId="74048D20">
      <w:pPr>
        <w:rPr>
          <w:rFonts w:hint="eastAsia"/>
          <w:b w:val="0"/>
          <w:bCs w:val="0"/>
          <w:color w:val="auto"/>
        </w:rPr>
      </w:pPr>
      <w:r>
        <w:rPr>
          <w:rFonts w:hint="eastAsia"/>
          <w:b w:val="0"/>
          <w:bCs w:val="0"/>
          <w:color w:val="auto"/>
        </w:rPr>
        <w:t>订单列表：查询订单号码、交易日期、订单内容、交易金额、手续费、交易结果、清算状态等。</w:t>
      </w:r>
    </w:p>
    <w:p w14:paraId="4C92DDED">
      <w:pPr>
        <w:rPr>
          <w:rFonts w:hint="eastAsia"/>
          <w:b w:val="0"/>
          <w:bCs w:val="0"/>
          <w:color w:val="auto"/>
        </w:rPr>
      </w:pPr>
      <w:r>
        <w:rPr>
          <w:rFonts w:hint="eastAsia"/>
          <w:b w:val="0"/>
          <w:bCs w:val="0"/>
          <w:color w:val="auto"/>
        </w:rPr>
        <w:t>交易记录：通过登记号查询交易记录，让维护人员更快捷查账。</w:t>
      </w:r>
    </w:p>
    <w:p w14:paraId="3DD20D7B">
      <w:pPr>
        <w:rPr>
          <w:rFonts w:hint="eastAsia"/>
          <w:b w:val="0"/>
          <w:bCs w:val="0"/>
          <w:color w:val="auto"/>
        </w:rPr>
      </w:pPr>
      <w:r>
        <w:rPr>
          <w:rFonts w:hint="eastAsia"/>
          <w:b w:val="0"/>
          <w:bCs w:val="0"/>
          <w:color w:val="auto"/>
        </w:rPr>
        <w:t>退款处理：通过支付网关进行退款处理。</w:t>
      </w:r>
    </w:p>
    <w:p w14:paraId="589AF070">
      <w:pPr>
        <w:rPr>
          <w:rFonts w:hint="eastAsia"/>
          <w:b w:val="0"/>
          <w:bCs w:val="0"/>
          <w:color w:val="auto"/>
        </w:rPr>
      </w:pPr>
      <w:r>
        <w:rPr>
          <w:rFonts w:hint="eastAsia"/>
          <w:b w:val="0"/>
          <w:bCs w:val="0"/>
          <w:color w:val="auto"/>
        </w:rPr>
        <w:t>三方对账：用户支付订单、核心业务系统（如HIS）订单和支付平台网关交易记录三方对账。</w:t>
      </w:r>
    </w:p>
    <w:p w14:paraId="11DE5080">
      <w:pPr>
        <w:rPr>
          <w:rFonts w:hint="eastAsia"/>
          <w:b w:val="0"/>
          <w:bCs w:val="0"/>
          <w:color w:val="auto"/>
        </w:rPr>
      </w:pPr>
      <w:r>
        <w:rPr>
          <w:rFonts w:hint="eastAsia"/>
          <w:b w:val="0"/>
          <w:bCs w:val="0"/>
          <w:color w:val="auto"/>
        </w:rPr>
        <w:t>坏账监管：针对一些单边账、坏账进行预警、监控，一致性校验，系统自动对账。</w:t>
      </w:r>
    </w:p>
    <w:p w14:paraId="7BB5C3E6">
      <w:pPr>
        <w:rPr>
          <w:rFonts w:hint="eastAsia"/>
          <w:b w:val="0"/>
          <w:bCs w:val="0"/>
          <w:color w:val="auto"/>
        </w:rPr>
      </w:pPr>
      <w:r>
        <w:rPr>
          <w:rFonts w:hint="eastAsia"/>
          <w:b w:val="0"/>
          <w:bCs w:val="0"/>
          <w:color w:val="auto"/>
        </w:rPr>
        <w:t>医保脱卡支付：针对医保患者可以做到在线实时结算。</w:t>
      </w:r>
    </w:p>
    <w:p w14:paraId="0922C4D4">
      <w:pPr>
        <w:rPr>
          <w:rFonts w:hint="eastAsia"/>
          <w:b w:val="0"/>
          <w:bCs w:val="0"/>
          <w:color w:val="auto"/>
        </w:rPr>
      </w:pPr>
      <w:r>
        <w:rPr>
          <w:rFonts w:hint="eastAsia"/>
          <w:b w:val="0"/>
          <w:bCs w:val="0"/>
          <w:color w:val="auto"/>
        </w:rPr>
        <w:t>多渠道对账：支付平台支持包括微信、支付宝移动支付平台在内的多个渠道的账务对账功能。</w:t>
      </w:r>
    </w:p>
    <w:p w14:paraId="3EE47EB1">
      <w:pPr>
        <w:rPr>
          <w:rFonts w:hint="eastAsia"/>
          <w:b w:val="0"/>
          <w:bCs w:val="0"/>
          <w:color w:val="auto"/>
        </w:rPr>
      </w:pPr>
      <w:r>
        <w:rPr>
          <w:rFonts w:hint="eastAsia"/>
          <w:b w:val="0"/>
          <w:bCs w:val="0"/>
          <w:color w:val="auto"/>
        </w:rPr>
        <w:t>自动对账：后台收单行绑定医院开户行即可，不再需要单独与各银行人工逐一对账，在正常情况下系统会自动完成账务核对工作；不同院区，不同商户和支付方式剥离自动对账。</w:t>
      </w:r>
    </w:p>
    <w:p w14:paraId="1622A46D">
      <w:pPr>
        <w:rPr>
          <w:rFonts w:hint="eastAsia"/>
          <w:b w:val="0"/>
          <w:bCs w:val="0"/>
          <w:color w:val="auto"/>
        </w:rPr>
      </w:pPr>
      <w:r>
        <w:rPr>
          <w:rFonts w:hint="eastAsia"/>
          <w:b w:val="0"/>
          <w:bCs w:val="0"/>
          <w:color w:val="auto"/>
        </w:rPr>
        <w:t>差异账单：差异账单明细统计，一目了然。</w:t>
      </w:r>
    </w:p>
    <w:p w14:paraId="3B4B9E62">
      <w:pPr>
        <w:rPr>
          <w:rFonts w:hint="eastAsia"/>
          <w:b w:val="0"/>
          <w:bCs w:val="0"/>
          <w:color w:val="auto"/>
        </w:rPr>
      </w:pPr>
      <w:r>
        <w:rPr>
          <w:rFonts w:hint="eastAsia"/>
          <w:b w:val="0"/>
          <w:bCs w:val="0"/>
          <w:color w:val="auto"/>
        </w:rPr>
        <w:t>交易分析：自动生成日报汇总和明细。</w:t>
      </w:r>
    </w:p>
    <w:p w14:paraId="0627A991">
      <w:pPr>
        <w:rPr>
          <w:rFonts w:hint="eastAsia"/>
          <w:b w:val="0"/>
          <w:bCs w:val="0"/>
          <w:color w:val="auto"/>
        </w:rPr>
      </w:pPr>
      <w:r>
        <w:rPr>
          <w:rFonts w:hint="eastAsia"/>
          <w:b w:val="0"/>
          <w:bCs w:val="0"/>
          <w:color w:val="auto"/>
        </w:rPr>
        <w:t>实时交易数据展示：图文形式直观展示实时交易数据。</w:t>
      </w:r>
    </w:p>
    <w:p w14:paraId="69CFE4AC">
      <w:pPr>
        <w:rPr>
          <w:rFonts w:hint="eastAsia"/>
          <w:b w:val="0"/>
          <w:bCs w:val="0"/>
          <w:color w:val="auto"/>
        </w:rPr>
      </w:pPr>
      <w:r>
        <w:rPr>
          <w:rFonts w:hint="eastAsia"/>
          <w:b w:val="0"/>
          <w:bCs w:val="0"/>
          <w:color w:val="auto"/>
        </w:rPr>
        <w:t>支付安全管理：系统支持对订单支付交易关键数据和痕迹的保留。</w:t>
      </w:r>
    </w:p>
    <w:p w14:paraId="20ABD1F9">
      <w:pPr>
        <w:rPr>
          <w:rFonts w:hint="eastAsia"/>
          <w:b w:val="0"/>
          <w:bCs w:val="0"/>
          <w:color w:val="auto"/>
        </w:rPr>
      </w:pPr>
      <w:r>
        <w:rPr>
          <w:rFonts w:hint="eastAsia"/>
          <w:b w:val="0"/>
          <w:bCs w:val="0"/>
          <w:color w:val="auto"/>
        </w:rPr>
        <w:t>功能权限：根据用户分组管理设置不同菜单权限。</w:t>
      </w:r>
    </w:p>
    <w:p w14:paraId="226EC9C2">
      <w:pPr>
        <w:rPr>
          <w:b w:val="0"/>
          <w:bCs w:val="0"/>
          <w:color w:val="auto"/>
        </w:rPr>
      </w:pPr>
      <w:r>
        <w:rPr>
          <w:rFonts w:hint="eastAsia"/>
          <w:b w:val="0"/>
          <w:bCs w:val="0"/>
          <w:color w:val="auto"/>
        </w:rPr>
        <w:t>多渠道覆盖，以在线支付为基础，在传统支付的基础上聚合多种支付方式；标准高效化，提供标准的接口数据，保障各业务协调统一，避免流程，提高效率；保障支付安全，数据安全处理、敏感数据加密、系统灾难备份；为医院提供医疗支付服务，改变几十年来患者医保“结账烦”、“排队难”、“费用理不清”的情况，把利益还给患者、把方便让给患者。</w:t>
      </w:r>
    </w:p>
    <w:p w14:paraId="0F9E32AF">
      <w:pPr>
        <w:pStyle w:val="14"/>
        <w:bidi w:val="0"/>
        <w:rPr>
          <w:color w:val="auto"/>
        </w:rPr>
      </w:pPr>
      <w:r>
        <w:rPr>
          <w:rFonts w:hint="eastAsia"/>
          <w:color w:val="auto"/>
          <w:lang w:val="en-US" w:eastAsia="zh-CN"/>
        </w:rPr>
        <w:t xml:space="preserve"> </w:t>
      </w:r>
      <w:r>
        <w:rPr>
          <w:rFonts w:hint="eastAsia"/>
          <w:color w:val="auto"/>
        </w:rPr>
        <w:t>患者实名认证</w:t>
      </w:r>
    </w:p>
    <w:p w14:paraId="2CE2290C">
      <w:pPr>
        <w:bidi w:val="0"/>
        <w:rPr>
          <w:rFonts w:hint="default"/>
          <w:color w:val="auto"/>
        </w:rPr>
      </w:pPr>
      <w:r>
        <w:rPr>
          <w:color w:val="auto"/>
        </w:rPr>
        <w:t>患者实名认证系统</w:t>
      </w:r>
      <w:r>
        <w:rPr>
          <w:rFonts w:hint="default"/>
          <w:color w:val="auto"/>
        </w:rPr>
        <w:t>‌是一种确保医疗服务准确性和安全性的机制，要求患者在接受医疗服务前进行身份验证。</w:t>
      </w:r>
    </w:p>
    <w:p w14:paraId="6EB53983">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hint="default" w:ascii="Arial" w:hAnsi="Arial" w:eastAsia="Arial" w:cs="Arial"/>
          <w:i w:val="0"/>
          <w:iCs w:val="0"/>
          <w:caps w:val="0"/>
          <w:color w:val="auto"/>
          <w:spacing w:val="0"/>
          <w:sz w:val="19"/>
          <w:szCs w:val="19"/>
          <w:shd w:val="clear" w:fill="FFFFFF"/>
        </w:rPr>
        <w:t>‌</w:t>
      </w:r>
    </w:p>
    <w:p w14:paraId="2F0C088E">
      <w:pPr>
        <w:pStyle w:val="94"/>
        <w:numPr>
          <w:ilvl w:val="0"/>
          <w:numId w:val="30"/>
        </w:numPr>
        <w:ind w:left="0" w:firstLine="480"/>
        <w:rPr>
          <w:color w:val="auto"/>
          <w:sz w:val="24"/>
        </w:rPr>
      </w:pPr>
      <w:r>
        <w:rPr>
          <w:color w:val="auto"/>
          <w:sz w:val="24"/>
        </w:rPr>
        <w:t>支持</w:t>
      </w:r>
      <w:r>
        <w:rPr>
          <w:rFonts w:hint="eastAsia"/>
          <w:color w:val="auto"/>
          <w:sz w:val="24"/>
        </w:rPr>
        <w:t>采用电子健康卡、非接触式IC卡、磁卡、身份证、医保卡等进行患者信息注册。</w:t>
      </w:r>
    </w:p>
    <w:p w14:paraId="412DB4EE">
      <w:pPr>
        <w:pStyle w:val="94"/>
        <w:numPr>
          <w:ilvl w:val="0"/>
          <w:numId w:val="30"/>
        </w:numPr>
        <w:ind w:left="0" w:firstLine="480"/>
        <w:rPr>
          <w:color w:val="auto"/>
          <w:sz w:val="24"/>
        </w:rPr>
      </w:pPr>
      <w:r>
        <w:rPr>
          <w:rFonts w:hint="eastAsia"/>
          <w:color w:val="auto"/>
          <w:sz w:val="24"/>
        </w:rPr>
        <w:t>支持在患者信息注册时自动生成患者主索引（EMPI）信息。</w:t>
      </w:r>
    </w:p>
    <w:p w14:paraId="1757EDFC">
      <w:pPr>
        <w:pStyle w:val="14"/>
        <w:bidi w:val="0"/>
        <w:rPr>
          <w:color w:val="auto"/>
        </w:rPr>
      </w:pPr>
      <w:r>
        <w:rPr>
          <w:rFonts w:hint="eastAsia"/>
          <w:color w:val="auto"/>
          <w:lang w:val="en-US" w:eastAsia="zh-CN"/>
        </w:rPr>
        <w:t xml:space="preserve"> </w:t>
      </w:r>
      <w:r>
        <w:rPr>
          <w:rFonts w:hint="eastAsia"/>
          <w:color w:val="auto"/>
        </w:rPr>
        <w:t>患者信用管理</w:t>
      </w:r>
    </w:p>
    <w:p w14:paraId="487A56F0">
      <w:pPr>
        <w:bidi w:val="0"/>
        <w:rPr>
          <w:color w:val="auto"/>
        </w:rPr>
      </w:pPr>
      <w:r>
        <w:rPr>
          <w:color w:val="auto"/>
        </w:rPr>
        <w:t>为每一位患者建立个性化的信用标签体系，实现对患者信用状况的系统化、结构化管理。</w:t>
      </w:r>
    </w:p>
    <w:p w14:paraId="2CAD2B1C">
      <w:pPr>
        <w:bidi w:val="0"/>
        <w:rPr>
          <w:color w:val="auto"/>
        </w:rPr>
      </w:pPr>
      <w:r>
        <w:rPr>
          <w:rFonts w:hint="eastAsia"/>
          <w:color w:val="auto"/>
          <w:lang w:val="en-US" w:eastAsia="zh-CN"/>
        </w:rPr>
        <w:t>具体功能包括但不限于以下：</w:t>
      </w:r>
    </w:p>
    <w:p w14:paraId="042D688B">
      <w:pPr>
        <w:pStyle w:val="94"/>
        <w:ind w:firstLine="480"/>
        <w:rPr>
          <w:rFonts w:hint="eastAsia"/>
          <w:color w:val="auto"/>
          <w:sz w:val="24"/>
        </w:rPr>
      </w:pPr>
      <w:r>
        <w:rPr>
          <w:rFonts w:hint="eastAsia"/>
          <w:color w:val="auto"/>
          <w:sz w:val="24"/>
        </w:rPr>
        <w:t>支持各类预约后爽约登记；</w:t>
      </w:r>
    </w:p>
    <w:p w14:paraId="1D44785B">
      <w:pPr>
        <w:pStyle w:val="94"/>
        <w:ind w:firstLine="480"/>
        <w:rPr>
          <w:rFonts w:hint="eastAsia"/>
          <w:color w:val="auto"/>
          <w:sz w:val="24"/>
        </w:rPr>
      </w:pPr>
      <w:r>
        <w:rPr>
          <w:rFonts w:hint="eastAsia"/>
          <w:color w:val="auto"/>
          <w:sz w:val="24"/>
        </w:rPr>
        <w:t>初次爽约消息警告；</w:t>
      </w:r>
    </w:p>
    <w:p w14:paraId="44470D9A">
      <w:pPr>
        <w:pStyle w:val="94"/>
        <w:ind w:firstLine="480"/>
        <w:rPr>
          <w:rFonts w:hint="eastAsia"/>
          <w:color w:val="auto"/>
          <w:sz w:val="24"/>
        </w:rPr>
      </w:pPr>
      <w:r>
        <w:rPr>
          <w:rFonts w:hint="eastAsia"/>
          <w:color w:val="auto"/>
          <w:sz w:val="24"/>
        </w:rPr>
        <w:t>再次爽约记入黑名单；</w:t>
      </w:r>
    </w:p>
    <w:p w14:paraId="45551EC2">
      <w:pPr>
        <w:pStyle w:val="94"/>
        <w:ind w:firstLine="480"/>
        <w:rPr>
          <w:rFonts w:hint="eastAsia"/>
          <w:color w:val="auto"/>
          <w:sz w:val="24"/>
        </w:rPr>
      </w:pPr>
      <w:r>
        <w:rPr>
          <w:rFonts w:hint="eastAsia"/>
          <w:color w:val="auto"/>
          <w:sz w:val="24"/>
        </w:rPr>
        <w:t>对黑名单上的人拒绝预约并消息提示；</w:t>
      </w:r>
    </w:p>
    <w:p w14:paraId="47423B07">
      <w:pPr>
        <w:pStyle w:val="94"/>
        <w:ind w:firstLine="480"/>
        <w:rPr>
          <w:color w:val="auto"/>
          <w:sz w:val="24"/>
        </w:rPr>
      </w:pPr>
      <w:r>
        <w:rPr>
          <w:rFonts w:hint="eastAsia"/>
          <w:color w:val="auto"/>
          <w:sz w:val="24"/>
        </w:rPr>
        <w:t>撤销黑名单管理。</w:t>
      </w:r>
    </w:p>
    <w:p w14:paraId="2FD208EC">
      <w:pPr>
        <w:pStyle w:val="14"/>
        <w:bidi w:val="0"/>
        <w:rPr>
          <w:color w:val="auto"/>
        </w:rPr>
      </w:pPr>
      <w:r>
        <w:rPr>
          <w:rFonts w:hint="eastAsia"/>
          <w:color w:val="auto"/>
          <w:lang w:val="en-US" w:eastAsia="zh-CN"/>
        </w:rPr>
        <w:t xml:space="preserve"> </w:t>
      </w:r>
      <w:r>
        <w:rPr>
          <w:rFonts w:hint="eastAsia"/>
          <w:color w:val="auto"/>
        </w:rPr>
        <w:t>互联网服务系统</w:t>
      </w:r>
    </w:p>
    <w:p w14:paraId="4EDECC93">
      <w:pPr>
        <w:bidi w:val="0"/>
        <w:rPr>
          <w:rFonts w:hint="eastAsia"/>
          <w:color w:val="auto"/>
          <w:lang w:eastAsia="zh-CN"/>
        </w:rPr>
      </w:pPr>
      <w:bookmarkStart w:id="116" w:name="_Toc106372915"/>
      <w:r>
        <w:rPr>
          <w:color w:val="auto"/>
        </w:rPr>
        <w:t>该系统连接了患者与医生，形成了一个完整的健康生态系统</w:t>
      </w:r>
      <w:r>
        <w:rPr>
          <w:rFonts w:hint="eastAsia"/>
          <w:color w:val="auto"/>
          <w:lang w:eastAsia="zh-CN"/>
        </w:rPr>
        <w:t>。</w:t>
      </w:r>
    </w:p>
    <w:p w14:paraId="2A9B2215">
      <w:pPr>
        <w:bidi w:val="0"/>
        <w:rPr>
          <w:rFonts w:hint="eastAsia"/>
          <w:color w:val="auto"/>
          <w:lang w:eastAsia="zh-CN"/>
        </w:rPr>
      </w:pPr>
      <w:r>
        <w:rPr>
          <w:rFonts w:hint="eastAsia"/>
          <w:color w:val="auto"/>
          <w:lang w:val="en-US" w:eastAsia="zh-CN"/>
        </w:rPr>
        <w:t>具体功能包括但不限于以下：</w:t>
      </w:r>
    </w:p>
    <w:p w14:paraId="3404E406">
      <w:pPr>
        <w:bidi w:val="0"/>
        <w:rPr>
          <w:rFonts w:hint="eastAsia"/>
          <w:b/>
          <w:bCs/>
          <w:color w:val="auto"/>
        </w:rPr>
      </w:pPr>
      <w:r>
        <w:rPr>
          <w:b/>
          <w:bCs/>
          <w:color w:val="auto"/>
        </w:rPr>
        <w:t>‌</w:t>
      </w:r>
      <w:r>
        <w:rPr>
          <w:rFonts w:hint="eastAsia"/>
          <w:b/>
          <w:bCs/>
          <w:color w:val="auto"/>
        </w:rPr>
        <w:t>预约挂号</w:t>
      </w:r>
      <w:bookmarkEnd w:id="116"/>
    </w:p>
    <w:p w14:paraId="241BC6C7">
      <w:pPr>
        <w:bidi w:val="0"/>
        <w:rPr>
          <w:rFonts w:cs="仿宋"/>
          <w:color w:val="auto"/>
        </w:rPr>
      </w:pPr>
      <w:r>
        <w:rPr>
          <w:rFonts w:hint="eastAsia"/>
          <w:color w:val="auto"/>
        </w:rPr>
        <w:t>对未来至少</w:t>
      </w:r>
      <w:r>
        <w:rPr>
          <w:rFonts w:hint="eastAsia" w:cs="仿宋"/>
          <w:color w:val="auto"/>
        </w:rPr>
        <w:t>一周门诊科室排班进行查询、分时段预约、挂号并获取就诊号， 就诊日凭就诊号直接到科室就诊。</w:t>
      </w:r>
    </w:p>
    <w:p w14:paraId="0286E124">
      <w:pPr>
        <w:ind w:firstLine="480"/>
        <w:rPr>
          <w:rFonts w:cs="仿宋"/>
          <w:color w:val="auto"/>
        </w:rPr>
      </w:pPr>
      <w:r>
        <w:rPr>
          <w:rFonts w:hint="eastAsia" w:cs="仿宋"/>
          <w:color w:val="auto"/>
        </w:rPr>
        <w:t>支持查询已预约记录。</w:t>
      </w:r>
    </w:p>
    <w:p w14:paraId="29214739">
      <w:pPr>
        <w:ind w:firstLine="480"/>
        <w:rPr>
          <w:rFonts w:cs="仿宋"/>
          <w:color w:val="auto"/>
        </w:rPr>
      </w:pPr>
      <w:r>
        <w:rPr>
          <w:rFonts w:hint="eastAsia" w:cs="仿宋"/>
          <w:color w:val="auto"/>
        </w:rPr>
        <w:t>支持已缴费申请单按时段预约。</w:t>
      </w:r>
    </w:p>
    <w:p w14:paraId="3E934088">
      <w:pPr>
        <w:ind w:firstLine="480"/>
        <w:rPr>
          <w:rFonts w:hint="eastAsia" w:eastAsia="宋体" w:cs="仿宋"/>
          <w:color w:val="auto"/>
          <w:lang w:eastAsia="zh-CN"/>
        </w:rPr>
      </w:pPr>
      <w:r>
        <w:rPr>
          <w:rFonts w:hint="eastAsia" w:cs="仿宋"/>
          <w:color w:val="auto"/>
        </w:rPr>
        <w:t>支持实时显示剩余号源数量</w:t>
      </w:r>
      <w:r>
        <w:rPr>
          <w:rFonts w:hint="eastAsia" w:cs="仿宋"/>
          <w:color w:val="auto"/>
          <w:lang w:eastAsia="zh-CN"/>
        </w:rPr>
        <w:t>。</w:t>
      </w:r>
    </w:p>
    <w:p w14:paraId="6B1749A7">
      <w:pPr>
        <w:ind w:firstLine="480"/>
        <w:rPr>
          <w:rFonts w:cs="仿宋"/>
          <w:color w:val="auto"/>
        </w:rPr>
      </w:pPr>
      <w:r>
        <w:rPr>
          <w:rFonts w:hint="eastAsia" w:cs="仿宋"/>
          <w:color w:val="auto"/>
        </w:rPr>
        <w:t>支持切换就诊人。</w:t>
      </w:r>
    </w:p>
    <w:p w14:paraId="10337E94">
      <w:pPr>
        <w:pStyle w:val="341"/>
        <w:spacing w:beforeLines="0"/>
        <w:ind w:firstLine="482"/>
        <w:rPr>
          <w:rFonts w:hint="eastAsia" w:ascii="宋体" w:hAnsi="宋体" w:eastAsia="宋体" w:cs="仿宋"/>
          <w:b/>
          <w:bCs/>
          <w:color w:val="auto"/>
          <w:kern w:val="2"/>
          <w:sz w:val="24"/>
          <w:szCs w:val="24"/>
          <w:highlight w:val="none"/>
          <w:lang w:val="en-US" w:eastAsia="zh-CN" w:bidi="ar-SA"/>
        </w:rPr>
      </w:pPr>
      <w:bookmarkStart w:id="117" w:name="_Toc106372916"/>
      <w:r>
        <w:rPr>
          <w:rFonts w:hint="eastAsia" w:ascii="宋体" w:hAnsi="宋体" w:eastAsia="宋体" w:cs="仿宋"/>
          <w:b/>
          <w:bCs/>
          <w:color w:val="auto"/>
          <w:kern w:val="2"/>
          <w:sz w:val="24"/>
          <w:szCs w:val="24"/>
          <w:highlight w:val="none"/>
          <w:lang w:val="en-US" w:eastAsia="zh-CN" w:bidi="ar-SA"/>
        </w:rPr>
        <w:t>在线缴费</w:t>
      </w:r>
      <w:bookmarkEnd w:id="117"/>
    </w:p>
    <w:p w14:paraId="6E29F19C">
      <w:pPr>
        <w:ind w:firstLine="480"/>
        <w:rPr>
          <w:rFonts w:cs="仿宋"/>
          <w:color w:val="auto"/>
        </w:rPr>
      </w:pPr>
      <w:r>
        <w:rPr>
          <w:rFonts w:hint="eastAsia" w:cs="仿宋"/>
          <w:color w:val="auto"/>
        </w:rPr>
        <w:t>支持支付门诊诊疗过程中的各种费用、住院预缴金、缴门诊诊查费、缴费查询。</w:t>
      </w:r>
    </w:p>
    <w:p w14:paraId="19E8628E">
      <w:pPr>
        <w:pStyle w:val="341"/>
        <w:spacing w:beforeLines="0"/>
        <w:ind w:firstLine="482"/>
        <w:rPr>
          <w:rFonts w:hint="eastAsia" w:ascii="宋体" w:hAnsi="宋体" w:eastAsia="宋体" w:cs="仿宋"/>
          <w:b/>
          <w:bCs/>
          <w:color w:val="auto"/>
          <w:kern w:val="2"/>
          <w:sz w:val="24"/>
          <w:szCs w:val="24"/>
          <w:highlight w:val="none"/>
          <w:lang w:val="en-US" w:eastAsia="zh-CN" w:bidi="ar-SA"/>
        </w:rPr>
      </w:pPr>
      <w:bookmarkStart w:id="118" w:name="_Toc106372917"/>
      <w:r>
        <w:rPr>
          <w:rFonts w:hint="eastAsia" w:ascii="宋体" w:hAnsi="宋体" w:eastAsia="宋体" w:cs="仿宋"/>
          <w:b/>
          <w:bCs/>
          <w:color w:val="auto"/>
          <w:kern w:val="2"/>
          <w:sz w:val="24"/>
          <w:szCs w:val="24"/>
          <w:highlight w:val="none"/>
          <w:lang w:val="en-US" w:eastAsia="zh-CN" w:bidi="ar-SA"/>
        </w:rPr>
        <w:t>信息查询</w:t>
      </w:r>
      <w:bookmarkEnd w:id="118"/>
    </w:p>
    <w:p w14:paraId="793B31B4">
      <w:pPr>
        <w:ind w:firstLine="480"/>
        <w:rPr>
          <w:rFonts w:hint="eastAsia" w:eastAsia="宋体" w:cs="仿宋"/>
          <w:color w:val="auto"/>
          <w:kern w:val="0"/>
          <w:lang w:eastAsia="zh-CN" w:bidi="ar"/>
        </w:rPr>
      </w:pPr>
      <w:r>
        <w:rPr>
          <w:rFonts w:hint="eastAsia" w:cs="仿宋"/>
          <w:color w:val="auto"/>
          <w:kern w:val="0"/>
          <w:lang w:bidi="ar"/>
        </w:rPr>
        <w:t>支持按时间段查询报告列表</w:t>
      </w:r>
      <w:r>
        <w:rPr>
          <w:rFonts w:hint="eastAsia" w:cs="仿宋"/>
          <w:color w:val="auto"/>
          <w:kern w:val="0"/>
          <w:lang w:eastAsia="zh-CN" w:bidi="ar"/>
        </w:rPr>
        <w:t>；</w:t>
      </w:r>
    </w:p>
    <w:p w14:paraId="3A76638F">
      <w:pPr>
        <w:ind w:firstLine="480"/>
        <w:rPr>
          <w:rFonts w:cs="仿宋"/>
          <w:color w:val="auto"/>
        </w:rPr>
      </w:pPr>
      <w:r>
        <w:rPr>
          <w:rFonts w:hint="eastAsia" w:cs="仿宋"/>
          <w:color w:val="auto"/>
          <w:kern w:val="0"/>
          <w:lang w:bidi="ar"/>
        </w:rPr>
        <w:t>支持查看检查报告、检验报告、体检报告</w:t>
      </w:r>
      <w:r>
        <w:rPr>
          <w:rFonts w:hint="eastAsia" w:cs="仿宋"/>
          <w:color w:val="auto"/>
        </w:rPr>
        <w:t>、</w:t>
      </w:r>
      <w:r>
        <w:rPr>
          <w:rFonts w:hint="eastAsia" w:cs="仿宋"/>
          <w:color w:val="auto"/>
          <w:kern w:val="0"/>
          <w:lang w:bidi="ar"/>
        </w:rPr>
        <w:t>费用记录</w:t>
      </w:r>
      <w:r>
        <w:rPr>
          <w:rFonts w:hint="eastAsia" w:cs="仿宋"/>
          <w:color w:val="auto"/>
        </w:rPr>
        <w:t>、预约记录、门诊病历、电子处方、排队叫号等待时间。</w:t>
      </w:r>
    </w:p>
    <w:p w14:paraId="4F626C4A">
      <w:pPr>
        <w:pStyle w:val="341"/>
        <w:spacing w:beforeLines="0"/>
        <w:ind w:firstLine="482"/>
        <w:rPr>
          <w:rFonts w:hint="eastAsia" w:ascii="宋体" w:hAnsi="宋体" w:cs="仿宋"/>
          <w:b/>
          <w:bCs/>
          <w:color w:val="auto"/>
          <w:sz w:val="24"/>
          <w:szCs w:val="24"/>
        </w:rPr>
      </w:pPr>
      <w:bookmarkStart w:id="119" w:name="_Toc106372918"/>
      <w:r>
        <w:rPr>
          <w:rFonts w:hint="eastAsia" w:ascii="宋体" w:hAnsi="宋体" w:cs="仿宋"/>
          <w:b/>
          <w:bCs/>
          <w:color w:val="auto"/>
          <w:sz w:val="24"/>
          <w:szCs w:val="24"/>
        </w:rPr>
        <w:t>就医指南</w:t>
      </w:r>
      <w:bookmarkEnd w:id="119"/>
    </w:p>
    <w:p w14:paraId="755D3673">
      <w:pPr>
        <w:ind w:firstLine="480"/>
        <w:rPr>
          <w:rFonts w:cs="仿宋"/>
          <w:color w:val="auto"/>
        </w:rPr>
      </w:pPr>
      <w:r>
        <w:rPr>
          <w:rFonts w:hint="eastAsia" w:cs="仿宋"/>
          <w:color w:val="auto"/>
        </w:rPr>
        <w:t>支持医院简介、院内导航、院外导航、特色科室查询、专家介绍浏览、实时叫号查询。</w:t>
      </w:r>
    </w:p>
    <w:p w14:paraId="6C9C7EAE">
      <w:pPr>
        <w:pStyle w:val="14"/>
        <w:bidi w:val="0"/>
        <w:rPr>
          <w:color w:val="auto"/>
        </w:rPr>
      </w:pPr>
      <w:r>
        <w:rPr>
          <w:rFonts w:hint="eastAsia"/>
          <w:color w:val="auto"/>
          <w:lang w:val="en-US" w:eastAsia="zh-CN"/>
        </w:rPr>
        <w:t xml:space="preserve"> </w:t>
      </w:r>
      <w:r>
        <w:rPr>
          <w:rFonts w:hint="eastAsia"/>
          <w:color w:val="auto"/>
        </w:rPr>
        <w:t>智能导诊系统</w:t>
      </w:r>
    </w:p>
    <w:p w14:paraId="4950C189">
      <w:pPr>
        <w:bidi w:val="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旨在提高医疗服务效率、改善患者就医体验、降低医院运营成本。</w:t>
      </w:r>
    </w:p>
    <w:p w14:paraId="12462381">
      <w:pPr>
        <w:bidi w:val="0"/>
        <w:rPr>
          <w:color w:val="auto"/>
        </w:rPr>
      </w:pPr>
      <w:r>
        <w:rPr>
          <w:rFonts w:hint="eastAsia"/>
          <w:color w:val="auto"/>
          <w:lang w:val="en-US" w:eastAsia="zh-CN"/>
        </w:rPr>
        <w:t>具体功能包括但不限于以下：</w:t>
      </w:r>
    </w:p>
    <w:p w14:paraId="3C51BFA2">
      <w:pPr>
        <w:pStyle w:val="94"/>
        <w:ind w:firstLine="480"/>
        <w:rPr>
          <w:color w:val="auto"/>
          <w:sz w:val="24"/>
        </w:rPr>
      </w:pPr>
      <w:r>
        <w:rPr>
          <w:rFonts w:hint="eastAsia"/>
          <w:color w:val="auto"/>
          <w:sz w:val="24"/>
        </w:rPr>
        <w:t>支持根据患者问答信息，自动推荐就诊科室。</w:t>
      </w:r>
    </w:p>
    <w:p w14:paraId="5F94DD9E">
      <w:pPr>
        <w:pStyle w:val="94"/>
        <w:ind w:firstLine="480"/>
        <w:rPr>
          <w:color w:val="auto"/>
          <w:sz w:val="24"/>
        </w:rPr>
      </w:pPr>
      <w:r>
        <w:rPr>
          <w:rFonts w:hint="eastAsia"/>
          <w:color w:val="auto"/>
          <w:sz w:val="24"/>
        </w:rPr>
        <w:t>支持提示信息模板配置功能。</w:t>
      </w:r>
    </w:p>
    <w:p w14:paraId="403480C8">
      <w:pPr>
        <w:pStyle w:val="94"/>
        <w:ind w:firstLine="480"/>
        <w:rPr>
          <w:color w:val="auto"/>
          <w:sz w:val="24"/>
        </w:rPr>
      </w:pPr>
      <w:r>
        <w:rPr>
          <w:rFonts w:hint="eastAsia"/>
          <w:color w:val="auto"/>
          <w:sz w:val="24"/>
        </w:rPr>
        <w:t>支持定义AI模型库，确保推荐准确性。</w:t>
      </w:r>
    </w:p>
    <w:p w14:paraId="5F228939">
      <w:pPr>
        <w:pStyle w:val="94"/>
        <w:ind w:firstLine="480"/>
        <w:rPr>
          <w:color w:val="auto"/>
          <w:sz w:val="24"/>
        </w:rPr>
      </w:pPr>
      <w:r>
        <w:rPr>
          <w:rFonts w:hint="eastAsia"/>
          <w:color w:val="auto"/>
          <w:sz w:val="24"/>
        </w:rPr>
        <w:t>支持根据问诊信息，自动生成主诉信息。</w:t>
      </w:r>
    </w:p>
    <w:p w14:paraId="26D8BCDB">
      <w:pPr>
        <w:pStyle w:val="14"/>
        <w:bidi w:val="0"/>
        <w:rPr>
          <w:color w:val="auto"/>
        </w:rPr>
      </w:pPr>
      <w:r>
        <w:rPr>
          <w:rFonts w:hint="eastAsia"/>
          <w:color w:val="auto"/>
          <w:lang w:val="en-US" w:eastAsia="zh-CN"/>
        </w:rPr>
        <w:t xml:space="preserve"> </w:t>
      </w:r>
      <w:r>
        <w:rPr>
          <w:rFonts w:hint="eastAsia"/>
          <w:color w:val="auto"/>
        </w:rPr>
        <w:t>门诊挂号系统</w:t>
      </w:r>
    </w:p>
    <w:p w14:paraId="52FA2BF8">
      <w:pPr>
        <w:bidi w:val="0"/>
        <w:rPr>
          <w:color w:val="auto"/>
        </w:rPr>
      </w:pPr>
      <w:r>
        <w:rPr>
          <w:rFonts w:hint="eastAsia"/>
          <w:color w:val="auto"/>
          <w:lang w:val="en-US" w:eastAsia="zh-CN"/>
        </w:rPr>
        <w:t>旨在</w:t>
      </w:r>
      <w:r>
        <w:rPr>
          <w:color w:val="auto"/>
        </w:rPr>
        <w:t>方便患者预约挂号、查询医生排班等功能。</w:t>
      </w:r>
    </w:p>
    <w:p w14:paraId="75A53672">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B2DD58D">
      <w:pPr>
        <w:pStyle w:val="341"/>
        <w:spacing w:beforeLines="0"/>
        <w:ind w:firstLine="482"/>
        <w:rPr>
          <w:rFonts w:hint="eastAsia" w:ascii="宋体" w:hAnsi="宋体" w:cs="仿宋"/>
          <w:b/>
          <w:bCs/>
          <w:color w:val="auto"/>
          <w:sz w:val="24"/>
          <w:szCs w:val="24"/>
        </w:rPr>
      </w:pPr>
      <w:bookmarkStart w:id="120" w:name="_Toc106372921"/>
      <w:r>
        <w:rPr>
          <w:rFonts w:hint="eastAsia" w:ascii="宋体" w:hAnsi="宋体" w:cs="仿宋"/>
          <w:b/>
          <w:bCs/>
          <w:color w:val="auto"/>
          <w:sz w:val="24"/>
          <w:szCs w:val="24"/>
        </w:rPr>
        <w:t>挂号</w:t>
      </w:r>
      <w:bookmarkEnd w:id="120"/>
    </w:p>
    <w:p w14:paraId="208A071A">
      <w:pPr>
        <w:pStyle w:val="94"/>
        <w:numPr>
          <w:ilvl w:val="0"/>
          <w:numId w:val="31"/>
        </w:numPr>
        <w:ind w:left="0" w:firstLine="480"/>
        <w:rPr>
          <w:color w:val="auto"/>
          <w:sz w:val="24"/>
        </w:rPr>
      </w:pPr>
      <w:bookmarkStart w:id="121" w:name="_Toc106372922"/>
      <w:r>
        <w:rPr>
          <w:color w:val="auto"/>
          <w:sz w:val="24"/>
        </w:rPr>
        <w:t>支持医保、公费、自费等多种身份的病人挂号</w:t>
      </w:r>
      <w:r>
        <w:rPr>
          <w:rFonts w:hint="eastAsia"/>
          <w:color w:val="auto"/>
          <w:sz w:val="24"/>
        </w:rPr>
        <w:t>。</w:t>
      </w:r>
    </w:p>
    <w:p w14:paraId="7B56140D">
      <w:pPr>
        <w:pStyle w:val="94"/>
        <w:numPr>
          <w:ilvl w:val="0"/>
          <w:numId w:val="31"/>
        </w:numPr>
        <w:ind w:left="0" w:firstLine="480"/>
        <w:rPr>
          <w:color w:val="auto"/>
          <w:sz w:val="24"/>
        </w:rPr>
      </w:pPr>
      <w:r>
        <w:rPr>
          <w:color w:val="auto"/>
          <w:sz w:val="24"/>
        </w:rPr>
        <w:t>支持挂号时同时收取工本费</w:t>
      </w:r>
      <w:r>
        <w:rPr>
          <w:rFonts w:hint="eastAsia"/>
          <w:color w:val="auto"/>
          <w:sz w:val="24"/>
        </w:rPr>
        <w:t>、卡费等其他费用。</w:t>
      </w:r>
    </w:p>
    <w:p w14:paraId="1222ED1E">
      <w:pPr>
        <w:pStyle w:val="94"/>
        <w:numPr>
          <w:ilvl w:val="0"/>
          <w:numId w:val="31"/>
        </w:numPr>
        <w:ind w:left="0" w:firstLine="480"/>
        <w:rPr>
          <w:color w:val="auto"/>
          <w:sz w:val="24"/>
        </w:rPr>
      </w:pPr>
      <w:r>
        <w:rPr>
          <w:color w:val="auto"/>
          <w:sz w:val="24"/>
        </w:rPr>
        <w:t>支持挂号时选择患者类型</w:t>
      </w:r>
      <w:r>
        <w:rPr>
          <w:rFonts w:hint="eastAsia"/>
          <w:color w:val="auto"/>
          <w:sz w:val="24"/>
        </w:rPr>
        <w:t>。</w:t>
      </w:r>
    </w:p>
    <w:p w14:paraId="538C349B">
      <w:pPr>
        <w:pStyle w:val="94"/>
        <w:numPr>
          <w:ilvl w:val="0"/>
          <w:numId w:val="31"/>
        </w:numPr>
        <w:ind w:left="0" w:firstLine="480"/>
        <w:rPr>
          <w:color w:val="auto"/>
          <w:sz w:val="24"/>
        </w:rPr>
      </w:pPr>
      <w:r>
        <w:rPr>
          <w:color w:val="auto"/>
          <w:sz w:val="24"/>
        </w:rPr>
        <w:t>支持挂号时选择打印小票或发票信息</w:t>
      </w:r>
      <w:r>
        <w:rPr>
          <w:rFonts w:hint="eastAsia"/>
          <w:color w:val="auto"/>
          <w:sz w:val="24"/>
        </w:rPr>
        <w:t>。</w:t>
      </w:r>
    </w:p>
    <w:p w14:paraId="48544E86">
      <w:pPr>
        <w:pStyle w:val="94"/>
        <w:numPr>
          <w:ilvl w:val="0"/>
          <w:numId w:val="31"/>
        </w:numPr>
        <w:ind w:left="0" w:firstLine="480"/>
        <w:rPr>
          <w:color w:val="auto"/>
          <w:sz w:val="24"/>
        </w:rPr>
      </w:pPr>
      <w:r>
        <w:rPr>
          <w:color w:val="auto"/>
          <w:sz w:val="24"/>
        </w:rPr>
        <w:t>支持多种挂号方式（包括</w:t>
      </w:r>
      <w:r>
        <w:rPr>
          <w:rFonts w:hint="eastAsia"/>
          <w:color w:val="auto"/>
          <w:sz w:val="24"/>
        </w:rPr>
        <w:t>窗口挂号、自助机挂号、移动端预约挂号等</w:t>
      </w:r>
      <w:r>
        <w:rPr>
          <w:color w:val="auto"/>
          <w:sz w:val="24"/>
        </w:rPr>
        <w:t>）</w:t>
      </w:r>
      <w:r>
        <w:rPr>
          <w:rFonts w:hint="eastAsia"/>
          <w:color w:val="auto"/>
          <w:sz w:val="24"/>
        </w:rPr>
        <w:t>。</w:t>
      </w:r>
    </w:p>
    <w:p w14:paraId="2B5DB6A2">
      <w:pPr>
        <w:pStyle w:val="94"/>
        <w:numPr>
          <w:ilvl w:val="0"/>
          <w:numId w:val="31"/>
        </w:numPr>
        <w:ind w:left="0" w:firstLine="480"/>
        <w:rPr>
          <w:color w:val="auto"/>
          <w:sz w:val="24"/>
        </w:rPr>
      </w:pPr>
      <w:r>
        <w:rPr>
          <w:color w:val="auto"/>
          <w:sz w:val="24"/>
        </w:rPr>
        <w:t>支持患者类型定义</w:t>
      </w:r>
      <w:r>
        <w:rPr>
          <w:rFonts w:hint="eastAsia"/>
          <w:color w:val="auto"/>
          <w:sz w:val="24"/>
        </w:rPr>
        <w:t>，</w:t>
      </w:r>
      <w:r>
        <w:rPr>
          <w:color w:val="auto"/>
          <w:sz w:val="24"/>
        </w:rPr>
        <w:t>依据患者类型例如</w:t>
      </w:r>
      <w:r>
        <w:rPr>
          <w:rFonts w:hint="eastAsia"/>
          <w:color w:val="auto"/>
          <w:sz w:val="24"/>
        </w:rPr>
        <w:t>：</w:t>
      </w:r>
      <w:r>
        <w:rPr>
          <w:color w:val="auto"/>
          <w:sz w:val="24"/>
        </w:rPr>
        <w:t>老年人</w:t>
      </w:r>
      <w:r>
        <w:rPr>
          <w:rFonts w:hint="eastAsia"/>
          <w:color w:val="auto"/>
          <w:sz w:val="24"/>
        </w:rPr>
        <w:t>、</w:t>
      </w:r>
      <w:r>
        <w:rPr>
          <w:color w:val="auto"/>
          <w:sz w:val="24"/>
        </w:rPr>
        <w:t>孕妇等不同类型在叫号系统中予以提示</w:t>
      </w:r>
      <w:r>
        <w:rPr>
          <w:rFonts w:hint="eastAsia"/>
          <w:color w:val="auto"/>
          <w:sz w:val="24"/>
        </w:rPr>
        <w:t>。</w:t>
      </w:r>
    </w:p>
    <w:p w14:paraId="5290F189">
      <w:pPr>
        <w:pStyle w:val="94"/>
        <w:numPr>
          <w:ilvl w:val="0"/>
          <w:numId w:val="31"/>
        </w:numPr>
        <w:ind w:left="0" w:firstLine="480"/>
        <w:rPr>
          <w:color w:val="auto"/>
          <w:sz w:val="24"/>
        </w:rPr>
      </w:pPr>
      <w:r>
        <w:rPr>
          <w:color w:val="auto"/>
          <w:sz w:val="24"/>
        </w:rPr>
        <w:t>支持分时段挂号</w:t>
      </w:r>
      <w:r>
        <w:rPr>
          <w:rFonts w:hint="eastAsia"/>
          <w:color w:val="auto"/>
          <w:sz w:val="24"/>
        </w:rPr>
        <w:t>。</w:t>
      </w:r>
    </w:p>
    <w:p w14:paraId="42311EBE">
      <w:pPr>
        <w:pStyle w:val="94"/>
        <w:numPr>
          <w:ilvl w:val="0"/>
          <w:numId w:val="31"/>
        </w:numPr>
        <w:ind w:left="0" w:firstLine="480"/>
        <w:rPr>
          <w:color w:val="auto"/>
          <w:sz w:val="24"/>
        </w:rPr>
      </w:pPr>
      <w:r>
        <w:rPr>
          <w:rFonts w:hint="eastAsia"/>
          <w:color w:val="auto"/>
          <w:sz w:val="24"/>
        </w:rPr>
        <w:t>可以实现跨院区挂号，诊间预约挂号等。</w:t>
      </w:r>
    </w:p>
    <w:p w14:paraId="3AADBCB8">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退号/换号</w:t>
      </w:r>
      <w:bookmarkEnd w:id="121"/>
    </w:p>
    <w:p w14:paraId="4AE93C50">
      <w:pPr>
        <w:pStyle w:val="94"/>
        <w:numPr>
          <w:ilvl w:val="0"/>
          <w:numId w:val="32"/>
        </w:numPr>
        <w:ind w:left="0" w:firstLine="480"/>
        <w:rPr>
          <w:color w:val="auto"/>
          <w:sz w:val="24"/>
        </w:rPr>
      </w:pPr>
      <w:bookmarkStart w:id="122" w:name="_Toc106372923"/>
      <w:r>
        <w:rPr>
          <w:color w:val="auto"/>
          <w:sz w:val="24"/>
        </w:rPr>
        <w:t>通过</w:t>
      </w:r>
      <w:r>
        <w:rPr>
          <w:rFonts w:hint="eastAsia"/>
          <w:color w:val="auto"/>
          <w:sz w:val="24"/>
        </w:rPr>
        <w:t>读取就诊卡信息等方式</w:t>
      </w:r>
      <w:r>
        <w:rPr>
          <w:color w:val="auto"/>
          <w:sz w:val="24"/>
        </w:rPr>
        <w:t>，显示对应的允许退号的有效挂号信息，完成病人退号</w:t>
      </w:r>
      <w:r>
        <w:rPr>
          <w:rFonts w:hint="eastAsia"/>
          <w:color w:val="auto"/>
          <w:sz w:val="24"/>
        </w:rPr>
        <w:t>（同时费用退回到就诊上）。</w:t>
      </w:r>
    </w:p>
    <w:p w14:paraId="1D0FCCCE">
      <w:pPr>
        <w:pStyle w:val="94"/>
        <w:numPr>
          <w:ilvl w:val="0"/>
          <w:numId w:val="32"/>
        </w:numPr>
        <w:ind w:left="0" w:firstLine="480"/>
        <w:rPr>
          <w:color w:val="auto"/>
          <w:sz w:val="24"/>
        </w:rPr>
      </w:pPr>
      <w:r>
        <w:rPr>
          <w:rFonts w:hint="eastAsia"/>
          <w:color w:val="auto"/>
          <w:sz w:val="24"/>
        </w:rPr>
        <w:t>提供</w:t>
      </w:r>
      <w:r>
        <w:rPr>
          <w:color w:val="auto"/>
          <w:sz w:val="24"/>
        </w:rPr>
        <w:t>病人看病日期、午别、诊别、类别、号别以及应退费用和相关统计等功能。</w:t>
      </w:r>
    </w:p>
    <w:p w14:paraId="5E0337B4">
      <w:pPr>
        <w:pStyle w:val="94"/>
        <w:numPr>
          <w:ilvl w:val="0"/>
          <w:numId w:val="32"/>
        </w:numPr>
        <w:ind w:left="0" w:firstLine="480"/>
        <w:rPr>
          <w:color w:val="auto"/>
          <w:sz w:val="24"/>
        </w:rPr>
      </w:pPr>
      <w:r>
        <w:rPr>
          <w:color w:val="auto"/>
          <w:sz w:val="24"/>
        </w:rPr>
        <w:t>支持对已看诊号是否可退的管理。</w:t>
      </w:r>
    </w:p>
    <w:p w14:paraId="618A8539">
      <w:pPr>
        <w:pStyle w:val="94"/>
        <w:numPr>
          <w:ilvl w:val="0"/>
          <w:numId w:val="32"/>
        </w:numPr>
        <w:ind w:left="0" w:firstLine="480"/>
        <w:rPr>
          <w:color w:val="auto"/>
          <w:sz w:val="24"/>
        </w:rPr>
      </w:pPr>
      <w:r>
        <w:rPr>
          <w:rFonts w:hint="eastAsia"/>
          <w:color w:val="auto"/>
          <w:sz w:val="24"/>
        </w:rPr>
        <w:t>支持已挂号患者进行换号，例如普通号和专家号之间调整、就诊科室调整等。</w:t>
      </w:r>
    </w:p>
    <w:p w14:paraId="12D2F60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排班</w:t>
      </w:r>
      <w:bookmarkEnd w:id="122"/>
    </w:p>
    <w:p w14:paraId="26BA0434">
      <w:pPr>
        <w:pStyle w:val="94"/>
        <w:numPr>
          <w:ilvl w:val="0"/>
          <w:numId w:val="33"/>
        </w:numPr>
        <w:tabs>
          <w:tab w:val="left" w:pos="1276"/>
        </w:tabs>
        <w:ind w:left="0" w:firstLine="480"/>
        <w:rPr>
          <w:rFonts w:cs="Arial"/>
          <w:bCs/>
          <w:color w:val="auto"/>
          <w:sz w:val="24"/>
        </w:rPr>
      </w:pPr>
      <w:r>
        <w:rPr>
          <w:rFonts w:hint="eastAsia" w:cs="Arial"/>
          <w:bCs/>
          <w:color w:val="auto"/>
          <w:sz w:val="24"/>
        </w:rPr>
        <w:t>支持临时添加坐诊医生。</w:t>
      </w:r>
    </w:p>
    <w:p w14:paraId="152FF44B">
      <w:pPr>
        <w:pStyle w:val="94"/>
        <w:numPr>
          <w:ilvl w:val="0"/>
          <w:numId w:val="33"/>
        </w:numPr>
        <w:tabs>
          <w:tab w:val="left" w:pos="1276"/>
        </w:tabs>
        <w:ind w:left="0" w:firstLine="480"/>
        <w:rPr>
          <w:rFonts w:cs="Arial"/>
          <w:bCs/>
          <w:color w:val="auto"/>
          <w:sz w:val="24"/>
        </w:rPr>
      </w:pPr>
      <w:r>
        <w:rPr>
          <w:rFonts w:cs="Arial"/>
          <w:bCs/>
          <w:color w:val="auto"/>
          <w:sz w:val="24"/>
        </w:rPr>
        <w:t>支持依据班次信息定义坐诊医生号类及号源总数</w:t>
      </w:r>
      <w:r>
        <w:rPr>
          <w:rFonts w:hint="eastAsia" w:cs="Arial"/>
          <w:bCs/>
          <w:color w:val="auto"/>
          <w:sz w:val="24"/>
        </w:rPr>
        <w:t>。</w:t>
      </w:r>
    </w:p>
    <w:p w14:paraId="06FA12AC">
      <w:pPr>
        <w:pStyle w:val="94"/>
        <w:numPr>
          <w:ilvl w:val="0"/>
          <w:numId w:val="33"/>
        </w:numPr>
        <w:tabs>
          <w:tab w:val="left" w:pos="1276"/>
        </w:tabs>
        <w:ind w:left="0" w:firstLine="480"/>
        <w:rPr>
          <w:rFonts w:cs="Arial"/>
          <w:bCs/>
          <w:color w:val="auto"/>
          <w:sz w:val="24"/>
        </w:rPr>
      </w:pPr>
      <w:r>
        <w:rPr>
          <w:rFonts w:cs="Arial"/>
          <w:bCs/>
          <w:color w:val="auto"/>
          <w:sz w:val="24"/>
        </w:rPr>
        <w:t>支持停诊</w:t>
      </w:r>
      <w:r>
        <w:rPr>
          <w:rFonts w:hint="eastAsia" w:cs="Arial"/>
          <w:bCs/>
          <w:color w:val="auto"/>
          <w:sz w:val="24"/>
        </w:rPr>
        <w:t>、</w:t>
      </w:r>
      <w:r>
        <w:rPr>
          <w:rFonts w:cs="Arial"/>
          <w:bCs/>
          <w:color w:val="auto"/>
          <w:sz w:val="24"/>
        </w:rPr>
        <w:t>替诊功能</w:t>
      </w:r>
      <w:r>
        <w:rPr>
          <w:rFonts w:hint="eastAsia" w:cs="Arial"/>
          <w:bCs/>
          <w:color w:val="auto"/>
          <w:sz w:val="24"/>
        </w:rPr>
        <w:t>。</w:t>
      </w:r>
    </w:p>
    <w:p w14:paraId="0D249D08">
      <w:pPr>
        <w:pStyle w:val="94"/>
        <w:numPr>
          <w:ilvl w:val="0"/>
          <w:numId w:val="33"/>
        </w:numPr>
        <w:tabs>
          <w:tab w:val="left" w:pos="1276"/>
        </w:tabs>
        <w:ind w:left="0" w:firstLine="480"/>
        <w:rPr>
          <w:rFonts w:cs="Arial"/>
          <w:bCs/>
          <w:color w:val="auto"/>
          <w:sz w:val="24"/>
        </w:rPr>
      </w:pPr>
      <w:r>
        <w:rPr>
          <w:rFonts w:cs="Arial"/>
          <w:bCs/>
          <w:color w:val="auto"/>
          <w:sz w:val="24"/>
        </w:rPr>
        <w:t>支持根据挂号来源不同例如窗口挂号</w:t>
      </w:r>
      <w:r>
        <w:rPr>
          <w:rFonts w:hint="eastAsia" w:cs="Arial"/>
          <w:bCs/>
          <w:color w:val="auto"/>
          <w:sz w:val="24"/>
        </w:rPr>
        <w:t>、</w:t>
      </w:r>
      <w:r>
        <w:rPr>
          <w:rFonts w:cs="Arial"/>
          <w:bCs/>
          <w:color w:val="auto"/>
          <w:sz w:val="24"/>
        </w:rPr>
        <w:t>移动端挂号定义限号数量</w:t>
      </w:r>
      <w:r>
        <w:rPr>
          <w:rFonts w:hint="eastAsia" w:cs="Arial"/>
          <w:bCs/>
          <w:color w:val="auto"/>
          <w:sz w:val="24"/>
        </w:rPr>
        <w:t>。</w:t>
      </w:r>
    </w:p>
    <w:p w14:paraId="7478607F">
      <w:pPr>
        <w:pStyle w:val="94"/>
        <w:numPr>
          <w:ilvl w:val="0"/>
          <w:numId w:val="33"/>
        </w:numPr>
        <w:tabs>
          <w:tab w:val="left" w:pos="1276"/>
        </w:tabs>
        <w:ind w:left="0" w:firstLine="480"/>
        <w:rPr>
          <w:rFonts w:cs="Arial"/>
          <w:bCs/>
          <w:color w:val="auto"/>
          <w:sz w:val="24"/>
        </w:rPr>
      </w:pPr>
      <w:r>
        <w:rPr>
          <w:rFonts w:cs="Arial"/>
          <w:bCs/>
          <w:color w:val="auto"/>
          <w:sz w:val="24"/>
        </w:rPr>
        <w:t>支持复制上周排班计划</w:t>
      </w:r>
      <w:r>
        <w:rPr>
          <w:rFonts w:hint="eastAsia" w:cs="Arial"/>
          <w:bCs/>
          <w:color w:val="auto"/>
          <w:sz w:val="24"/>
        </w:rPr>
        <w:t>。</w:t>
      </w:r>
    </w:p>
    <w:p w14:paraId="4A1A2B44">
      <w:pPr>
        <w:pStyle w:val="94"/>
        <w:numPr>
          <w:ilvl w:val="0"/>
          <w:numId w:val="33"/>
        </w:numPr>
        <w:tabs>
          <w:tab w:val="left" w:pos="1276"/>
        </w:tabs>
        <w:ind w:left="0" w:firstLine="480"/>
        <w:rPr>
          <w:rFonts w:cs="Arial"/>
          <w:bCs/>
          <w:color w:val="auto"/>
          <w:sz w:val="24"/>
        </w:rPr>
      </w:pPr>
      <w:r>
        <w:rPr>
          <w:rFonts w:cs="Arial"/>
          <w:bCs/>
          <w:color w:val="auto"/>
          <w:sz w:val="24"/>
        </w:rPr>
        <w:t>支持定义排班模板</w:t>
      </w:r>
      <w:r>
        <w:rPr>
          <w:rFonts w:hint="eastAsia" w:cs="Arial"/>
          <w:bCs/>
          <w:color w:val="auto"/>
          <w:sz w:val="24"/>
        </w:rPr>
        <w:t>，</w:t>
      </w:r>
      <w:r>
        <w:rPr>
          <w:rFonts w:cs="Arial"/>
          <w:bCs/>
          <w:color w:val="auto"/>
          <w:sz w:val="24"/>
        </w:rPr>
        <w:t>并根据模板排班自动生成排班信息</w:t>
      </w:r>
      <w:r>
        <w:rPr>
          <w:rFonts w:hint="eastAsia" w:cs="Arial"/>
          <w:bCs/>
          <w:color w:val="auto"/>
          <w:sz w:val="24"/>
        </w:rPr>
        <w:t>。</w:t>
      </w:r>
    </w:p>
    <w:p w14:paraId="1360A718">
      <w:pPr>
        <w:pStyle w:val="14"/>
        <w:bidi w:val="0"/>
        <w:rPr>
          <w:color w:val="auto"/>
        </w:rPr>
      </w:pPr>
      <w:r>
        <w:rPr>
          <w:rFonts w:hint="eastAsia"/>
          <w:color w:val="auto"/>
          <w:lang w:val="en-US" w:eastAsia="zh-CN"/>
        </w:rPr>
        <w:t xml:space="preserve"> </w:t>
      </w:r>
      <w:r>
        <w:rPr>
          <w:rFonts w:hint="eastAsia"/>
          <w:color w:val="auto"/>
        </w:rPr>
        <w:t>全面预约服务系统</w:t>
      </w:r>
    </w:p>
    <w:p w14:paraId="2F0E4E2E">
      <w:pPr>
        <w:bidi w:val="0"/>
        <w:rPr>
          <w:color w:val="auto"/>
        </w:rPr>
      </w:pPr>
      <w:r>
        <w:rPr>
          <w:color w:val="auto"/>
        </w:rPr>
        <w:t>实现全院可预约资源的统一调度与高效利用，并借助短信通知服务实时推送预约进度，提升患者就医体验与医院运营效率。</w:t>
      </w:r>
    </w:p>
    <w:p w14:paraId="1B2E68CE">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C6704CA">
      <w:pPr>
        <w:pStyle w:val="341"/>
        <w:spacing w:beforeLines="0"/>
        <w:ind w:firstLine="482"/>
        <w:rPr>
          <w:rFonts w:hint="eastAsia" w:ascii="宋体" w:hAnsi="宋体" w:cs="仿宋"/>
          <w:b/>
          <w:bCs/>
          <w:color w:val="auto"/>
          <w:sz w:val="24"/>
          <w:szCs w:val="24"/>
        </w:rPr>
      </w:pPr>
      <w:bookmarkStart w:id="123" w:name="_Toc106372929"/>
      <w:r>
        <w:rPr>
          <w:rFonts w:hint="eastAsia" w:ascii="宋体" w:hAnsi="宋体" w:cs="仿宋"/>
          <w:b/>
          <w:bCs/>
          <w:color w:val="auto"/>
          <w:sz w:val="24"/>
          <w:szCs w:val="24"/>
        </w:rPr>
        <w:t>基本业务</w:t>
      </w:r>
      <w:bookmarkEnd w:id="123"/>
    </w:p>
    <w:p w14:paraId="7DD142B0">
      <w:pPr>
        <w:ind w:firstLine="480"/>
        <w:rPr>
          <w:color w:val="auto"/>
        </w:rPr>
      </w:pPr>
      <w:bookmarkStart w:id="124" w:name="_Toc106372930"/>
      <w:r>
        <w:rPr>
          <w:rFonts w:hint="eastAsia"/>
          <w:color w:val="auto"/>
        </w:rPr>
        <w:t>（一）</w:t>
      </w:r>
      <w:r>
        <w:rPr>
          <w:color w:val="auto"/>
        </w:rPr>
        <w:t>资源排班</w:t>
      </w:r>
    </w:p>
    <w:p w14:paraId="1C74DFC6">
      <w:pPr>
        <w:pStyle w:val="94"/>
        <w:numPr>
          <w:ilvl w:val="0"/>
          <w:numId w:val="34"/>
        </w:numPr>
        <w:tabs>
          <w:tab w:val="left" w:pos="1276"/>
        </w:tabs>
        <w:ind w:left="0" w:firstLine="480"/>
        <w:rPr>
          <w:rFonts w:cs="Arial"/>
          <w:bCs/>
          <w:color w:val="auto"/>
          <w:sz w:val="24"/>
        </w:rPr>
      </w:pPr>
      <w:r>
        <w:rPr>
          <w:rFonts w:cs="Arial"/>
          <w:bCs/>
          <w:color w:val="auto"/>
          <w:sz w:val="24"/>
        </w:rPr>
        <w:t>对全院可预约资源进行统一的排班管理</w:t>
      </w:r>
      <w:r>
        <w:rPr>
          <w:rFonts w:hint="eastAsia" w:cs="Arial"/>
          <w:bCs/>
          <w:color w:val="auto"/>
          <w:sz w:val="24"/>
        </w:rPr>
        <w:t>。</w:t>
      </w:r>
    </w:p>
    <w:p w14:paraId="6BDDDED2">
      <w:pPr>
        <w:pStyle w:val="94"/>
        <w:numPr>
          <w:ilvl w:val="0"/>
          <w:numId w:val="34"/>
        </w:numPr>
        <w:tabs>
          <w:tab w:val="left" w:pos="1276"/>
        </w:tabs>
        <w:ind w:left="0" w:firstLine="480"/>
        <w:rPr>
          <w:rFonts w:cs="Arial"/>
          <w:bCs/>
          <w:color w:val="auto"/>
          <w:sz w:val="24"/>
        </w:rPr>
      </w:pPr>
      <w:r>
        <w:rPr>
          <w:rFonts w:hint="eastAsia" w:cs="Arial"/>
          <w:bCs/>
          <w:color w:val="auto"/>
          <w:sz w:val="24"/>
        </w:rPr>
        <w:t>支持临时添加坐诊医生。</w:t>
      </w:r>
    </w:p>
    <w:p w14:paraId="5E0A3811">
      <w:pPr>
        <w:pStyle w:val="94"/>
        <w:numPr>
          <w:ilvl w:val="0"/>
          <w:numId w:val="34"/>
        </w:numPr>
        <w:tabs>
          <w:tab w:val="left" w:pos="1276"/>
        </w:tabs>
        <w:ind w:left="0" w:firstLine="480"/>
        <w:rPr>
          <w:rFonts w:cs="Arial"/>
          <w:bCs/>
          <w:color w:val="auto"/>
          <w:sz w:val="24"/>
        </w:rPr>
      </w:pPr>
      <w:r>
        <w:rPr>
          <w:rFonts w:cs="Arial"/>
          <w:bCs/>
          <w:color w:val="auto"/>
          <w:sz w:val="24"/>
        </w:rPr>
        <w:t>支持依据班次信息定义坐诊医生号类及号源总数</w:t>
      </w:r>
      <w:r>
        <w:rPr>
          <w:rFonts w:hint="eastAsia" w:cs="Arial"/>
          <w:bCs/>
          <w:color w:val="auto"/>
          <w:sz w:val="24"/>
        </w:rPr>
        <w:t>。</w:t>
      </w:r>
    </w:p>
    <w:p w14:paraId="5D380A96">
      <w:pPr>
        <w:pStyle w:val="94"/>
        <w:numPr>
          <w:ilvl w:val="0"/>
          <w:numId w:val="34"/>
        </w:numPr>
        <w:tabs>
          <w:tab w:val="left" w:pos="1276"/>
        </w:tabs>
        <w:ind w:left="0" w:firstLine="480"/>
        <w:rPr>
          <w:rFonts w:cs="Arial"/>
          <w:bCs/>
          <w:color w:val="auto"/>
          <w:sz w:val="24"/>
        </w:rPr>
      </w:pPr>
      <w:r>
        <w:rPr>
          <w:rFonts w:cs="Arial"/>
          <w:bCs/>
          <w:color w:val="auto"/>
          <w:sz w:val="24"/>
        </w:rPr>
        <w:t>支持停诊</w:t>
      </w:r>
      <w:r>
        <w:rPr>
          <w:rFonts w:hint="eastAsia" w:cs="Arial"/>
          <w:bCs/>
          <w:color w:val="auto"/>
          <w:sz w:val="24"/>
        </w:rPr>
        <w:t>、</w:t>
      </w:r>
      <w:r>
        <w:rPr>
          <w:rFonts w:cs="Arial"/>
          <w:bCs/>
          <w:color w:val="auto"/>
          <w:sz w:val="24"/>
        </w:rPr>
        <w:t>替诊功能</w:t>
      </w:r>
      <w:r>
        <w:rPr>
          <w:rFonts w:hint="eastAsia" w:cs="Arial"/>
          <w:bCs/>
          <w:color w:val="auto"/>
          <w:sz w:val="24"/>
        </w:rPr>
        <w:t>。</w:t>
      </w:r>
    </w:p>
    <w:p w14:paraId="413F6CAB">
      <w:pPr>
        <w:pStyle w:val="94"/>
        <w:numPr>
          <w:ilvl w:val="0"/>
          <w:numId w:val="34"/>
        </w:numPr>
        <w:tabs>
          <w:tab w:val="left" w:pos="1276"/>
        </w:tabs>
        <w:ind w:left="0" w:firstLine="480"/>
        <w:rPr>
          <w:rFonts w:cs="Arial"/>
          <w:bCs/>
          <w:color w:val="auto"/>
          <w:sz w:val="24"/>
        </w:rPr>
      </w:pPr>
      <w:r>
        <w:rPr>
          <w:rFonts w:cs="Arial"/>
          <w:bCs/>
          <w:color w:val="auto"/>
          <w:sz w:val="24"/>
        </w:rPr>
        <w:t>支持根据挂号来源不同例如窗口挂号</w:t>
      </w:r>
      <w:r>
        <w:rPr>
          <w:rFonts w:hint="eastAsia" w:cs="Arial"/>
          <w:bCs/>
          <w:color w:val="auto"/>
          <w:sz w:val="24"/>
        </w:rPr>
        <w:t>、</w:t>
      </w:r>
      <w:r>
        <w:rPr>
          <w:rFonts w:cs="Arial"/>
          <w:bCs/>
          <w:color w:val="auto"/>
          <w:sz w:val="24"/>
        </w:rPr>
        <w:t>移动端挂号定义限号数量</w:t>
      </w:r>
      <w:r>
        <w:rPr>
          <w:rFonts w:hint="eastAsia" w:cs="Arial"/>
          <w:bCs/>
          <w:color w:val="auto"/>
          <w:sz w:val="24"/>
        </w:rPr>
        <w:t>。</w:t>
      </w:r>
    </w:p>
    <w:p w14:paraId="0FFA9CAF">
      <w:pPr>
        <w:pStyle w:val="94"/>
        <w:numPr>
          <w:ilvl w:val="0"/>
          <w:numId w:val="34"/>
        </w:numPr>
        <w:tabs>
          <w:tab w:val="left" w:pos="1276"/>
        </w:tabs>
        <w:ind w:left="0" w:firstLine="480"/>
        <w:rPr>
          <w:rFonts w:cs="Arial"/>
          <w:bCs/>
          <w:color w:val="auto"/>
          <w:sz w:val="24"/>
        </w:rPr>
      </w:pPr>
      <w:r>
        <w:rPr>
          <w:rFonts w:cs="Arial"/>
          <w:bCs/>
          <w:color w:val="auto"/>
          <w:sz w:val="24"/>
        </w:rPr>
        <w:t>支持复制上周排班计划</w:t>
      </w:r>
      <w:r>
        <w:rPr>
          <w:rFonts w:hint="eastAsia" w:cs="Arial"/>
          <w:bCs/>
          <w:color w:val="auto"/>
          <w:sz w:val="24"/>
        </w:rPr>
        <w:t>。</w:t>
      </w:r>
    </w:p>
    <w:p w14:paraId="032DB18F">
      <w:pPr>
        <w:ind w:firstLine="480"/>
        <w:rPr>
          <w:color w:val="auto"/>
        </w:rPr>
      </w:pPr>
      <w:r>
        <w:rPr>
          <w:rFonts w:hint="eastAsia"/>
          <w:color w:val="auto"/>
        </w:rPr>
        <w:t>（二）</w:t>
      </w:r>
      <w:r>
        <w:rPr>
          <w:color w:val="auto"/>
        </w:rPr>
        <w:t>全面预约</w:t>
      </w:r>
    </w:p>
    <w:p w14:paraId="5F63D9B7">
      <w:pPr>
        <w:pStyle w:val="94"/>
        <w:numPr>
          <w:ilvl w:val="0"/>
          <w:numId w:val="35"/>
        </w:numPr>
        <w:tabs>
          <w:tab w:val="left" w:pos="1276"/>
        </w:tabs>
        <w:ind w:left="0" w:firstLine="480"/>
        <w:rPr>
          <w:rFonts w:cs="Arial"/>
          <w:bCs/>
          <w:color w:val="auto"/>
          <w:sz w:val="24"/>
        </w:rPr>
      </w:pPr>
      <w:r>
        <w:rPr>
          <w:rFonts w:cs="Arial"/>
          <w:bCs/>
          <w:color w:val="auto"/>
          <w:sz w:val="24"/>
        </w:rPr>
        <w:t>支持根据不同场景，不同权限进行系统预约。</w:t>
      </w:r>
    </w:p>
    <w:p w14:paraId="52A5A643">
      <w:pPr>
        <w:pStyle w:val="94"/>
        <w:numPr>
          <w:ilvl w:val="0"/>
          <w:numId w:val="35"/>
        </w:numPr>
        <w:tabs>
          <w:tab w:val="left" w:pos="1276"/>
        </w:tabs>
        <w:ind w:left="0" w:firstLine="480"/>
        <w:rPr>
          <w:rFonts w:cs="Arial"/>
          <w:bCs/>
          <w:color w:val="auto"/>
          <w:sz w:val="24"/>
        </w:rPr>
      </w:pPr>
      <w:r>
        <w:rPr>
          <w:rFonts w:cs="Arial"/>
          <w:bCs/>
          <w:color w:val="auto"/>
          <w:sz w:val="24"/>
        </w:rPr>
        <w:t>支持根据人员信息、时段信息进行分类预约。</w:t>
      </w:r>
    </w:p>
    <w:p w14:paraId="0818228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短信通知服务</w:t>
      </w:r>
      <w:bookmarkEnd w:id="124"/>
    </w:p>
    <w:p w14:paraId="688C79DF">
      <w:pPr>
        <w:tabs>
          <w:tab w:val="left" w:pos="1276"/>
        </w:tabs>
        <w:ind w:firstLine="480"/>
        <w:rPr>
          <w:rFonts w:cs="仿宋"/>
          <w:bCs/>
          <w:color w:val="auto"/>
        </w:rPr>
      </w:pPr>
      <w:r>
        <w:rPr>
          <w:rFonts w:hint="eastAsia" w:cs="仿宋"/>
          <w:bCs/>
          <w:color w:val="auto"/>
        </w:rPr>
        <w:t>支持通过短信通知服务推送预约进度信息。</w:t>
      </w:r>
    </w:p>
    <w:p w14:paraId="01B60434">
      <w:pPr>
        <w:pStyle w:val="14"/>
        <w:bidi w:val="0"/>
        <w:rPr>
          <w:color w:val="auto"/>
        </w:rPr>
      </w:pPr>
      <w:r>
        <w:rPr>
          <w:rFonts w:hint="eastAsia"/>
          <w:color w:val="auto"/>
          <w:lang w:val="en-US" w:eastAsia="zh-CN"/>
        </w:rPr>
        <w:t xml:space="preserve"> </w:t>
      </w:r>
      <w:r>
        <w:rPr>
          <w:rFonts w:hint="eastAsia"/>
          <w:color w:val="auto"/>
        </w:rPr>
        <w:t>排队叫号系统</w:t>
      </w:r>
    </w:p>
    <w:p w14:paraId="2B1ABA3D">
      <w:pPr>
        <w:bidi w:val="0"/>
        <w:rPr>
          <w:color w:val="auto"/>
        </w:rPr>
      </w:pPr>
      <w:r>
        <w:rPr>
          <w:color w:val="auto"/>
        </w:rPr>
        <w:t>实现门诊、医技、药房全场景患者分流，支持急诊优先、扫码报到及窗口动态分配，显著提升就诊效率与秩序。系统集成预约管理、实时数据监控及多媒体宣教，优化患者体验的同时确保医疗资源高效利用。</w:t>
      </w:r>
    </w:p>
    <w:p w14:paraId="0DF8931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F7FB0D5">
      <w:pPr>
        <w:pStyle w:val="341"/>
        <w:spacing w:beforeLines="0"/>
        <w:ind w:firstLine="482"/>
        <w:rPr>
          <w:rFonts w:hint="eastAsia" w:ascii="宋体" w:hAnsi="宋体" w:cs="仿宋"/>
          <w:b/>
          <w:bCs/>
          <w:color w:val="auto"/>
          <w:sz w:val="24"/>
          <w:szCs w:val="24"/>
        </w:rPr>
      </w:pPr>
      <w:bookmarkStart w:id="125" w:name="_Toc106372932"/>
      <w:r>
        <w:rPr>
          <w:rFonts w:hint="eastAsia" w:ascii="宋体" w:hAnsi="宋体" w:cs="仿宋"/>
          <w:b/>
          <w:bCs/>
          <w:color w:val="auto"/>
          <w:sz w:val="24"/>
          <w:szCs w:val="24"/>
        </w:rPr>
        <w:t>显示大屏</w:t>
      </w:r>
      <w:bookmarkEnd w:id="125"/>
    </w:p>
    <w:p w14:paraId="038A9A7F">
      <w:pPr>
        <w:pStyle w:val="94"/>
        <w:numPr>
          <w:ilvl w:val="0"/>
          <w:numId w:val="36"/>
        </w:numPr>
        <w:ind w:left="0" w:firstLine="480"/>
        <w:rPr>
          <w:rFonts w:cs="Arial"/>
          <w:bCs/>
          <w:color w:val="auto"/>
          <w:sz w:val="24"/>
        </w:rPr>
      </w:pPr>
      <w:r>
        <w:rPr>
          <w:rFonts w:cs="Arial"/>
          <w:bCs/>
          <w:color w:val="auto"/>
          <w:sz w:val="24"/>
        </w:rPr>
        <w:t>系统支持等离子大屏幕或LED显示牌显示报到候诊病人信息。</w:t>
      </w:r>
    </w:p>
    <w:p w14:paraId="7CB24D2D">
      <w:pPr>
        <w:pStyle w:val="94"/>
        <w:numPr>
          <w:ilvl w:val="0"/>
          <w:numId w:val="36"/>
        </w:numPr>
        <w:ind w:left="0" w:firstLine="480"/>
        <w:rPr>
          <w:rFonts w:cs="Arial"/>
          <w:bCs/>
          <w:color w:val="auto"/>
          <w:sz w:val="24"/>
        </w:rPr>
      </w:pPr>
      <w:r>
        <w:rPr>
          <w:rFonts w:cs="Arial"/>
          <w:bCs/>
          <w:color w:val="auto"/>
          <w:sz w:val="24"/>
        </w:rPr>
        <w:t>检查病人姓名、流水号和检查地点的显示，语音呼叫。</w:t>
      </w:r>
    </w:p>
    <w:p w14:paraId="7C94E95A">
      <w:pPr>
        <w:pStyle w:val="94"/>
        <w:numPr>
          <w:ilvl w:val="0"/>
          <w:numId w:val="36"/>
        </w:numPr>
        <w:ind w:left="0" w:firstLine="480"/>
        <w:rPr>
          <w:rFonts w:cs="Arial"/>
          <w:bCs/>
          <w:color w:val="auto"/>
          <w:sz w:val="24"/>
        </w:rPr>
      </w:pPr>
      <w:r>
        <w:rPr>
          <w:rFonts w:cs="Arial"/>
          <w:bCs/>
          <w:color w:val="auto"/>
          <w:sz w:val="24"/>
        </w:rPr>
        <w:t>预约的待检病人信息的显示，空闲时播放科室指定的影音资料。</w:t>
      </w:r>
    </w:p>
    <w:p w14:paraId="75AF0514">
      <w:pPr>
        <w:pStyle w:val="94"/>
        <w:numPr>
          <w:ilvl w:val="0"/>
          <w:numId w:val="36"/>
        </w:numPr>
        <w:tabs>
          <w:tab w:val="left" w:pos="1276"/>
        </w:tabs>
        <w:ind w:left="0" w:firstLine="480"/>
        <w:rPr>
          <w:rFonts w:cs="Arial"/>
          <w:bCs/>
          <w:color w:val="auto"/>
          <w:sz w:val="24"/>
        </w:rPr>
      </w:pPr>
      <w:r>
        <w:rPr>
          <w:rFonts w:cs="Arial"/>
          <w:bCs/>
          <w:color w:val="auto"/>
          <w:sz w:val="24"/>
        </w:rPr>
        <w:t>排队顺序的调整功能，如特殊人群及急诊优先就诊等规则</w:t>
      </w:r>
      <w:r>
        <w:rPr>
          <w:rFonts w:hint="eastAsia" w:cs="仿宋"/>
          <w:color w:val="auto"/>
          <w:sz w:val="24"/>
        </w:rPr>
        <w:t>。</w:t>
      </w:r>
    </w:p>
    <w:p w14:paraId="03CD5A45">
      <w:pPr>
        <w:pStyle w:val="341"/>
        <w:spacing w:beforeLines="0"/>
        <w:ind w:firstLine="482"/>
        <w:rPr>
          <w:rFonts w:hint="eastAsia" w:ascii="宋体" w:hAnsi="宋体" w:cs="仿宋"/>
          <w:b/>
          <w:bCs/>
          <w:color w:val="auto"/>
          <w:sz w:val="24"/>
          <w:szCs w:val="24"/>
        </w:rPr>
      </w:pPr>
      <w:bookmarkStart w:id="126" w:name="_Toc106372933"/>
      <w:r>
        <w:rPr>
          <w:rFonts w:hint="eastAsia" w:ascii="宋体" w:hAnsi="宋体" w:cs="仿宋"/>
          <w:b/>
          <w:bCs/>
          <w:color w:val="auto"/>
          <w:sz w:val="24"/>
          <w:szCs w:val="24"/>
        </w:rPr>
        <w:t>门诊排号</w:t>
      </w:r>
      <w:bookmarkEnd w:id="126"/>
    </w:p>
    <w:p w14:paraId="4D869FEA">
      <w:pPr>
        <w:pStyle w:val="94"/>
        <w:numPr>
          <w:ilvl w:val="0"/>
          <w:numId w:val="37"/>
        </w:numPr>
        <w:ind w:left="0" w:firstLine="480"/>
        <w:rPr>
          <w:rFonts w:cs="Arial"/>
          <w:bCs/>
          <w:color w:val="auto"/>
          <w:sz w:val="24"/>
        </w:rPr>
      </w:pPr>
      <w:bookmarkStart w:id="127" w:name="_Toc106372934"/>
      <w:r>
        <w:rPr>
          <w:rFonts w:cs="Arial"/>
          <w:bCs/>
          <w:color w:val="auto"/>
          <w:sz w:val="24"/>
        </w:rPr>
        <w:t>支持通过二维码扫码读取患者信息。</w:t>
      </w:r>
    </w:p>
    <w:p w14:paraId="4C1B4EE6">
      <w:pPr>
        <w:pStyle w:val="94"/>
        <w:numPr>
          <w:ilvl w:val="0"/>
          <w:numId w:val="37"/>
        </w:numPr>
        <w:ind w:left="0" w:firstLine="480"/>
        <w:rPr>
          <w:rFonts w:cs="Arial"/>
          <w:bCs/>
          <w:color w:val="auto"/>
          <w:sz w:val="24"/>
        </w:rPr>
      </w:pPr>
      <w:r>
        <w:rPr>
          <w:rFonts w:cs="Arial"/>
          <w:bCs/>
          <w:color w:val="auto"/>
          <w:sz w:val="24"/>
        </w:rPr>
        <w:t>支持登记患者就诊诊室。</w:t>
      </w:r>
    </w:p>
    <w:p w14:paraId="54AE5569">
      <w:pPr>
        <w:pStyle w:val="94"/>
        <w:numPr>
          <w:ilvl w:val="0"/>
          <w:numId w:val="37"/>
        </w:numPr>
        <w:ind w:left="0" w:firstLine="480"/>
        <w:rPr>
          <w:rFonts w:cs="Arial"/>
          <w:bCs/>
          <w:color w:val="auto"/>
          <w:sz w:val="24"/>
        </w:rPr>
      </w:pPr>
      <w:r>
        <w:rPr>
          <w:rFonts w:cs="Arial"/>
          <w:bCs/>
          <w:color w:val="auto"/>
          <w:sz w:val="24"/>
        </w:rPr>
        <w:t>支持实时查看已就诊人次信息、待检人次信息、已检人次信息。</w:t>
      </w:r>
    </w:p>
    <w:p w14:paraId="0D1137EF">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医技排号</w:t>
      </w:r>
      <w:bookmarkEnd w:id="127"/>
    </w:p>
    <w:p w14:paraId="4A9EEEE5">
      <w:pPr>
        <w:pStyle w:val="94"/>
        <w:numPr>
          <w:ilvl w:val="0"/>
          <w:numId w:val="38"/>
        </w:numPr>
        <w:ind w:left="0" w:firstLine="480"/>
        <w:rPr>
          <w:rFonts w:cs="Arial"/>
          <w:bCs/>
          <w:color w:val="auto"/>
          <w:sz w:val="24"/>
        </w:rPr>
      </w:pPr>
      <w:bookmarkStart w:id="128" w:name="_Toc106372935"/>
      <w:r>
        <w:rPr>
          <w:rFonts w:cs="Arial"/>
          <w:bCs/>
          <w:color w:val="auto"/>
          <w:sz w:val="24"/>
        </w:rPr>
        <w:t>支持根据医技设备进行分类排号。</w:t>
      </w:r>
    </w:p>
    <w:p w14:paraId="3B2D8C25">
      <w:pPr>
        <w:pStyle w:val="94"/>
        <w:numPr>
          <w:ilvl w:val="0"/>
          <w:numId w:val="38"/>
        </w:numPr>
        <w:ind w:left="0" w:firstLine="480"/>
        <w:rPr>
          <w:rFonts w:cs="Arial"/>
          <w:bCs/>
          <w:color w:val="auto"/>
          <w:sz w:val="24"/>
        </w:rPr>
      </w:pPr>
      <w:r>
        <w:rPr>
          <w:rFonts w:cs="Arial"/>
          <w:bCs/>
          <w:color w:val="auto"/>
          <w:sz w:val="24"/>
        </w:rPr>
        <w:t>支持排号时读取患者申请单信息。</w:t>
      </w:r>
    </w:p>
    <w:p w14:paraId="371703C2">
      <w:pPr>
        <w:pStyle w:val="94"/>
        <w:numPr>
          <w:ilvl w:val="0"/>
          <w:numId w:val="38"/>
        </w:numPr>
        <w:ind w:left="0" w:firstLine="480"/>
        <w:rPr>
          <w:rFonts w:cs="Arial"/>
          <w:bCs/>
          <w:color w:val="auto"/>
          <w:sz w:val="24"/>
        </w:rPr>
      </w:pPr>
      <w:r>
        <w:rPr>
          <w:rFonts w:cs="Arial"/>
          <w:bCs/>
          <w:color w:val="auto"/>
          <w:sz w:val="24"/>
        </w:rPr>
        <w:t>支持按申请单进行分次排号。</w:t>
      </w:r>
    </w:p>
    <w:p w14:paraId="4B235C58">
      <w:pPr>
        <w:pStyle w:val="94"/>
        <w:numPr>
          <w:ilvl w:val="0"/>
          <w:numId w:val="38"/>
        </w:numPr>
        <w:ind w:left="0" w:firstLine="480"/>
        <w:rPr>
          <w:rFonts w:cs="Arial"/>
          <w:bCs/>
          <w:color w:val="auto"/>
          <w:sz w:val="24"/>
        </w:rPr>
      </w:pPr>
      <w:r>
        <w:rPr>
          <w:rFonts w:cs="Arial"/>
          <w:bCs/>
          <w:color w:val="auto"/>
          <w:sz w:val="24"/>
        </w:rPr>
        <w:t>支持实时查看已就诊人次信息、待检人次信息、已检人次信息。</w:t>
      </w:r>
    </w:p>
    <w:p w14:paraId="61F5D23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药房排号</w:t>
      </w:r>
      <w:bookmarkEnd w:id="128"/>
    </w:p>
    <w:p w14:paraId="28C8434E">
      <w:pPr>
        <w:pStyle w:val="94"/>
        <w:numPr>
          <w:ilvl w:val="0"/>
          <w:numId w:val="39"/>
        </w:numPr>
        <w:ind w:left="0" w:firstLine="480"/>
        <w:rPr>
          <w:rFonts w:cs="Arial"/>
          <w:bCs/>
          <w:color w:val="auto"/>
          <w:sz w:val="24"/>
        </w:rPr>
      </w:pPr>
      <w:r>
        <w:rPr>
          <w:rFonts w:hint="eastAsia" w:cs="Arial"/>
          <w:bCs/>
          <w:color w:val="auto"/>
          <w:sz w:val="24"/>
        </w:rPr>
        <w:t>支持根据发药量自动平均分配发药窗口。</w:t>
      </w:r>
    </w:p>
    <w:p w14:paraId="3BFAA2B5">
      <w:pPr>
        <w:pStyle w:val="94"/>
        <w:numPr>
          <w:ilvl w:val="0"/>
          <w:numId w:val="39"/>
        </w:numPr>
        <w:ind w:left="0" w:firstLine="480"/>
        <w:rPr>
          <w:rFonts w:cs="Arial"/>
          <w:bCs/>
          <w:color w:val="auto"/>
          <w:sz w:val="24"/>
        </w:rPr>
      </w:pPr>
      <w:r>
        <w:rPr>
          <w:rFonts w:cs="Arial"/>
          <w:bCs/>
          <w:color w:val="auto"/>
          <w:sz w:val="24"/>
        </w:rPr>
        <w:t>支持对接取号自助机，由取号自助机取号后，确认现场签到。</w:t>
      </w:r>
    </w:p>
    <w:p w14:paraId="333A90A5">
      <w:pPr>
        <w:pStyle w:val="14"/>
        <w:bidi w:val="0"/>
        <w:rPr>
          <w:color w:val="auto"/>
        </w:rPr>
      </w:pPr>
      <w:r>
        <w:rPr>
          <w:rFonts w:hint="eastAsia"/>
          <w:color w:val="auto"/>
          <w:lang w:val="en-US" w:eastAsia="zh-CN"/>
        </w:rPr>
        <w:t xml:space="preserve"> </w:t>
      </w:r>
      <w:r>
        <w:rPr>
          <w:rFonts w:hint="eastAsia"/>
          <w:color w:val="auto"/>
        </w:rPr>
        <w:t>诊间支付系统</w:t>
      </w:r>
    </w:p>
    <w:p w14:paraId="2F411D54">
      <w:pPr>
        <w:bidi w:val="0"/>
        <w:rPr>
          <w:color w:val="auto"/>
        </w:rPr>
      </w:pPr>
      <w:r>
        <w:rPr>
          <w:color w:val="auto"/>
        </w:rPr>
        <w:t>集成于医生工作站，支持医保对接及微信、支付宝等多渠道缴费，支付后自动生成电子凭证与发票，大幅缩减患者排队时间，优化诊疗流程效率。</w:t>
      </w:r>
    </w:p>
    <w:p w14:paraId="25363E5F">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0463831">
      <w:pPr>
        <w:pStyle w:val="94"/>
        <w:numPr>
          <w:ilvl w:val="0"/>
          <w:numId w:val="40"/>
        </w:numPr>
        <w:ind w:left="0" w:firstLine="480"/>
        <w:rPr>
          <w:color w:val="auto"/>
          <w:sz w:val="24"/>
        </w:rPr>
      </w:pPr>
      <w:r>
        <w:rPr>
          <w:color w:val="auto"/>
          <w:sz w:val="24"/>
        </w:rPr>
        <w:t>能够通过医生工作站调取诊间支付功能。</w:t>
      </w:r>
    </w:p>
    <w:p w14:paraId="3B3A1C75">
      <w:pPr>
        <w:pStyle w:val="94"/>
        <w:numPr>
          <w:ilvl w:val="0"/>
          <w:numId w:val="40"/>
        </w:numPr>
        <w:ind w:left="0" w:firstLine="480"/>
        <w:rPr>
          <w:color w:val="auto"/>
          <w:sz w:val="24"/>
        </w:rPr>
      </w:pPr>
      <w:r>
        <w:rPr>
          <w:color w:val="auto"/>
          <w:sz w:val="24"/>
        </w:rPr>
        <w:t>诊间支付支持卡付费、微信、支付宝等多种模式缴费。</w:t>
      </w:r>
    </w:p>
    <w:p w14:paraId="65BD1F7F">
      <w:pPr>
        <w:pStyle w:val="94"/>
        <w:numPr>
          <w:ilvl w:val="0"/>
          <w:numId w:val="40"/>
        </w:numPr>
        <w:ind w:left="0" w:firstLine="480"/>
        <w:rPr>
          <w:color w:val="auto"/>
          <w:sz w:val="24"/>
        </w:rPr>
      </w:pPr>
      <w:r>
        <w:rPr>
          <w:color w:val="auto"/>
          <w:sz w:val="24"/>
        </w:rPr>
        <w:t>诊间支付支持调取医保接口。</w:t>
      </w:r>
    </w:p>
    <w:p w14:paraId="3015F5D0">
      <w:pPr>
        <w:pStyle w:val="94"/>
        <w:numPr>
          <w:ilvl w:val="0"/>
          <w:numId w:val="40"/>
        </w:numPr>
        <w:ind w:left="0" w:firstLine="480"/>
        <w:rPr>
          <w:color w:val="auto"/>
          <w:sz w:val="24"/>
        </w:rPr>
      </w:pPr>
      <w:r>
        <w:rPr>
          <w:color w:val="auto"/>
          <w:sz w:val="24"/>
        </w:rPr>
        <w:t>支持诊间支付后自动生成缴费单据、电子发票。</w:t>
      </w:r>
    </w:p>
    <w:p w14:paraId="06E0E5E3">
      <w:pPr>
        <w:pStyle w:val="14"/>
        <w:bidi w:val="0"/>
        <w:rPr>
          <w:color w:val="auto"/>
        </w:rPr>
      </w:pPr>
      <w:r>
        <w:rPr>
          <w:rFonts w:hint="eastAsia"/>
          <w:color w:val="auto"/>
          <w:lang w:val="en-US" w:eastAsia="zh-CN"/>
        </w:rPr>
        <w:t xml:space="preserve"> 满</w:t>
      </w:r>
      <w:r>
        <w:rPr>
          <w:rFonts w:hint="eastAsia"/>
          <w:color w:val="auto"/>
        </w:rPr>
        <w:t>意度评价系统</w:t>
      </w:r>
    </w:p>
    <w:p w14:paraId="48D4DF02">
      <w:pPr>
        <w:bidi w:val="0"/>
        <w:rPr>
          <w:color w:val="auto"/>
        </w:rPr>
      </w:pPr>
      <w:r>
        <w:rPr>
          <w:color w:val="auto"/>
        </w:rPr>
        <w:t>提供灵活可配置的问卷模板，支持多题型、必填项及定向投放设置，结合智能检索功能，实时收集患者反馈，助力医院精准提升服务质量与管理水平。</w:t>
      </w:r>
    </w:p>
    <w:p w14:paraId="7C75DC7D">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497A600A">
      <w:pPr>
        <w:numPr>
          <w:ilvl w:val="0"/>
          <w:numId w:val="41"/>
        </w:numPr>
        <w:ind w:firstLine="480" w:firstLineChars="200"/>
        <w:rPr>
          <w:rFonts w:cs="宋体"/>
          <w:color w:val="auto"/>
        </w:rPr>
      </w:pPr>
      <w:r>
        <w:rPr>
          <w:rFonts w:hint="eastAsia" w:cs="宋体"/>
          <w:color w:val="auto"/>
        </w:rPr>
        <w:t>支持满意度</w:t>
      </w:r>
      <w:r>
        <w:rPr>
          <w:rFonts w:cs="宋体"/>
          <w:color w:val="auto"/>
        </w:rPr>
        <w:t>问卷模板自定义、新增</w:t>
      </w:r>
      <w:r>
        <w:rPr>
          <w:rFonts w:hint="eastAsia" w:cs="宋体"/>
          <w:color w:val="auto"/>
        </w:rPr>
        <w:t>和</w:t>
      </w:r>
      <w:r>
        <w:rPr>
          <w:rFonts w:cs="宋体"/>
          <w:color w:val="auto"/>
        </w:rPr>
        <w:t>修改；</w:t>
      </w:r>
    </w:p>
    <w:p w14:paraId="3D76C021">
      <w:pPr>
        <w:numPr>
          <w:ilvl w:val="0"/>
          <w:numId w:val="41"/>
        </w:numPr>
        <w:ind w:firstLine="480" w:firstLineChars="200"/>
        <w:rPr>
          <w:rFonts w:cs="宋体"/>
          <w:color w:val="auto"/>
        </w:rPr>
      </w:pPr>
      <w:r>
        <w:rPr>
          <w:rFonts w:hint="eastAsia" w:cs="宋体"/>
          <w:color w:val="auto"/>
        </w:rPr>
        <w:t>支持单选</w:t>
      </w:r>
      <w:r>
        <w:rPr>
          <w:rFonts w:cs="宋体"/>
          <w:color w:val="auto"/>
        </w:rPr>
        <w:t>、多选</w:t>
      </w:r>
      <w:r>
        <w:rPr>
          <w:rFonts w:hint="eastAsia" w:cs="宋体"/>
          <w:color w:val="auto"/>
        </w:rPr>
        <w:t>、填空、问答</w:t>
      </w:r>
      <w:r>
        <w:rPr>
          <w:rFonts w:cs="宋体"/>
          <w:color w:val="auto"/>
        </w:rPr>
        <w:t>等</w:t>
      </w:r>
      <w:r>
        <w:rPr>
          <w:rFonts w:hint="eastAsia" w:cs="宋体"/>
          <w:color w:val="auto"/>
        </w:rPr>
        <w:t>等</w:t>
      </w:r>
      <w:r>
        <w:rPr>
          <w:rFonts w:cs="宋体"/>
          <w:color w:val="auto"/>
        </w:rPr>
        <w:t>多种</w:t>
      </w:r>
      <w:r>
        <w:rPr>
          <w:rFonts w:hint="eastAsia" w:cs="宋体"/>
          <w:color w:val="auto"/>
        </w:rPr>
        <w:t>题型</w:t>
      </w:r>
      <w:r>
        <w:rPr>
          <w:rFonts w:cs="宋体"/>
          <w:color w:val="auto"/>
        </w:rPr>
        <w:t>设置；</w:t>
      </w:r>
    </w:p>
    <w:p w14:paraId="57110E3F">
      <w:pPr>
        <w:numPr>
          <w:ilvl w:val="0"/>
          <w:numId w:val="41"/>
        </w:numPr>
        <w:ind w:firstLine="480" w:firstLineChars="200"/>
        <w:rPr>
          <w:rFonts w:cs="宋体"/>
          <w:color w:val="auto"/>
        </w:rPr>
      </w:pPr>
      <w:r>
        <w:rPr>
          <w:rFonts w:hint="eastAsia" w:cs="宋体"/>
          <w:color w:val="auto"/>
        </w:rPr>
        <w:t>支持对调查</w:t>
      </w:r>
      <w:r>
        <w:rPr>
          <w:rFonts w:cs="宋体"/>
          <w:color w:val="auto"/>
        </w:rPr>
        <w:t>问卷的</w:t>
      </w:r>
      <w:r>
        <w:rPr>
          <w:rFonts w:hint="eastAsia" w:cs="宋体"/>
          <w:color w:val="auto"/>
        </w:rPr>
        <w:t>名称</w:t>
      </w:r>
      <w:r>
        <w:rPr>
          <w:rFonts w:cs="宋体"/>
          <w:color w:val="auto"/>
        </w:rPr>
        <w:t>、</w:t>
      </w:r>
      <w:r>
        <w:rPr>
          <w:rFonts w:hint="eastAsia" w:cs="宋体"/>
          <w:color w:val="auto"/>
        </w:rPr>
        <w:t>填写对象</w:t>
      </w:r>
      <w:r>
        <w:rPr>
          <w:rFonts w:cs="宋体"/>
          <w:color w:val="auto"/>
        </w:rPr>
        <w:t>、是否启用</w:t>
      </w:r>
      <w:r>
        <w:rPr>
          <w:rFonts w:hint="eastAsia" w:cs="宋体"/>
          <w:color w:val="auto"/>
        </w:rPr>
        <w:t>和</w:t>
      </w:r>
      <w:r>
        <w:rPr>
          <w:rFonts w:cs="宋体"/>
          <w:color w:val="auto"/>
        </w:rPr>
        <w:t>填写说明</w:t>
      </w:r>
      <w:r>
        <w:rPr>
          <w:rFonts w:hint="eastAsia" w:cs="宋体"/>
          <w:color w:val="auto"/>
        </w:rPr>
        <w:t>进行设置</w:t>
      </w:r>
      <w:r>
        <w:rPr>
          <w:rFonts w:cs="宋体"/>
          <w:color w:val="auto"/>
        </w:rPr>
        <w:t>；</w:t>
      </w:r>
    </w:p>
    <w:p w14:paraId="67EC1D5C">
      <w:pPr>
        <w:numPr>
          <w:ilvl w:val="0"/>
          <w:numId w:val="41"/>
        </w:numPr>
        <w:ind w:firstLine="480" w:firstLineChars="200"/>
        <w:rPr>
          <w:rFonts w:cs="宋体"/>
          <w:color w:val="auto"/>
        </w:rPr>
      </w:pPr>
      <w:r>
        <w:rPr>
          <w:rFonts w:hint="eastAsia" w:cs="宋体"/>
          <w:color w:val="auto"/>
        </w:rPr>
        <w:t>支持</w:t>
      </w:r>
      <w:r>
        <w:rPr>
          <w:rFonts w:cs="宋体"/>
          <w:color w:val="auto"/>
        </w:rPr>
        <w:t>设置</w:t>
      </w:r>
      <w:r>
        <w:rPr>
          <w:rFonts w:hint="eastAsia" w:cs="宋体"/>
          <w:color w:val="auto"/>
        </w:rPr>
        <w:t>满意度调查项目是否</w:t>
      </w:r>
      <w:r>
        <w:rPr>
          <w:rFonts w:cs="宋体"/>
          <w:color w:val="auto"/>
        </w:rPr>
        <w:t>为必填</w:t>
      </w:r>
      <w:r>
        <w:rPr>
          <w:rFonts w:hint="eastAsia" w:cs="宋体"/>
          <w:color w:val="auto"/>
        </w:rPr>
        <w:t>项</w:t>
      </w:r>
      <w:r>
        <w:rPr>
          <w:rFonts w:cs="宋体"/>
          <w:color w:val="auto"/>
        </w:rPr>
        <w:t>；</w:t>
      </w:r>
    </w:p>
    <w:p w14:paraId="48B62413">
      <w:pPr>
        <w:numPr>
          <w:ilvl w:val="0"/>
          <w:numId w:val="41"/>
        </w:numPr>
        <w:ind w:firstLine="480" w:firstLineChars="200"/>
        <w:rPr>
          <w:rFonts w:cs="宋体"/>
          <w:color w:val="auto"/>
        </w:rPr>
      </w:pPr>
      <w:r>
        <w:rPr>
          <w:rFonts w:hint="eastAsia" w:cs="宋体"/>
          <w:color w:val="auto"/>
        </w:rPr>
        <w:t>支持</w:t>
      </w:r>
      <w:r>
        <w:rPr>
          <w:rFonts w:cs="宋体"/>
          <w:color w:val="auto"/>
        </w:rPr>
        <w:t>设置模板</w:t>
      </w:r>
      <w:r>
        <w:rPr>
          <w:rFonts w:hint="eastAsia" w:cs="宋体"/>
          <w:color w:val="auto"/>
        </w:rPr>
        <w:t>使用范围；</w:t>
      </w:r>
    </w:p>
    <w:p w14:paraId="34BD8966">
      <w:pPr>
        <w:numPr>
          <w:ilvl w:val="0"/>
          <w:numId w:val="41"/>
        </w:numPr>
        <w:ind w:firstLine="480" w:firstLineChars="200"/>
        <w:rPr>
          <w:rFonts w:cs="宋体"/>
          <w:color w:val="auto"/>
        </w:rPr>
      </w:pPr>
      <w:r>
        <w:rPr>
          <w:rFonts w:hint="eastAsia" w:cs="宋体"/>
          <w:color w:val="auto"/>
        </w:rPr>
        <w:t>支持通过</w:t>
      </w:r>
      <w:r>
        <w:rPr>
          <w:rFonts w:cs="宋体"/>
          <w:color w:val="auto"/>
        </w:rPr>
        <w:t>名称、五笔</w:t>
      </w:r>
      <w:r>
        <w:rPr>
          <w:rFonts w:hint="eastAsia" w:cs="宋体"/>
          <w:color w:val="auto"/>
        </w:rPr>
        <w:t>码</w:t>
      </w:r>
      <w:r>
        <w:rPr>
          <w:rFonts w:cs="宋体"/>
          <w:color w:val="auto"/>
        </w:rPr>
        <w:t>和</w:t>
      </w:r>
      <w:r>
        <w:rPr>
          <w:rFonts w:hint="eastAsia" w:cs="宋体"/>
          <w:color w:val="auto"/>
        </w:rPr>
        <w:t>拼音</w:t>
      </w:r>
      <w:r>
        <w:rPr>
          <w:rFonts w:cs="宋体"/>
          <w:color w:val="auto"/>
        </w:rPr>
        <w:t>码进行检索；</w:t>
      </w:r>
    </w:p>
    <w:p w14:paraId="7A43F522">
      <w:pPr>
        <w:pStyle w:val="14"/>
        <w:bidi w:val="0"/>
        <w:rPr>
          <w:color w:val="auto"/>
        </w:rPr>
      </w:pPr>
      <w:r>
        <w:rPr>
          <w:rFonts w:hint="eastAsia"/>
          <w:color w:val="auto"/>
          <w:lang w:val="en-US" w:eastAsia="zh-CN"/>
        </w:rPr>
        <w:t xml:space="preserve"> </w:t>
      </w:r>
      <w:r>
        <w:rPr>
          <w:rFonts w:hint="eastAsia"/>
          <w:color w:val="auto"/>
        </w:rPr>
        <w:t>信息公开系统</w:t>
      </w:r>
    </w:p>
    <w:p w14:paraId="3BA11F6B">
      <w:pPr>
        <w:bidi w:val="0"/>
        <w:rPr>
          <w:color w:val="auto"/>
        </w:rPr>
      </w:pPr>
      <w:r>
        <w:rPr>
          <w:color w:val="auto"/>
        </w:rPr>
        <w:t>为患者提供多渠道便捷查询服务，涵盖医院概况、医生信息、医疗价格及便民服务等内容，同时支持医院管理部门对公开信息进行分类管理与审核，确保信息的准确性和时效性，提升医疗服务透明度与患者满意度。</w:t>
      </w:r>
    </w:p>
    <w:p w14:paraId="65569E2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61F237C">
      <w:pPr>
        <w:ind w:firstLine="482"/>
        <w:rPr>
          <w:rFonts w:cs="仿宋"/>
          <w:b/>
          <w:color w:val="auto"/>
        </w:rPr>
      </w:pPr>
      <w:r>
        <w:rPr>
          <w:rFonts w:hint="eastAsia" w:cs="仿宋"/>
          <w:b/>
          <w:color w:val="auto"/>
        </w:rPr>
        <w:t>信息查询</w:t>
      </w:r>
    </w:p>
    <w:p w14:paraId="2EA18B67">
      <w:pPr>
        <w:ind w:firstLine="480"/>
        <w:rPr>
          <w:color w:val="auto"/>
        </w:rPr>
      </w:pPr>
      <w:r>
        <w:rPr>
          <w:rFonts w:hint="eastAsia"/>
          <w:color w:val="auto"/>
        </w:rPr>
        <w:t>患者可通过医院网站、院内电子显示屏、智能终端、移动应用等多种途径查询医疗卫生机构对外公开的相关信息。</w:t>
      </w:r>
    </w:p>
    <w:p w14:paraId="01C812F0">
      <w:pPr>
        <w:ind w:firstLine="480"/>
        <w:rPr>
          <w:color w:val="auto"/>
        </w:rPr>
      </w:pPr>
      <w:r>
        <w:rPr>
          <w:rFonts w:hint="eastAsia"/>
          <w:color w:val="auto"/>
        </w:rPr>
        <w:t>医疗卫生机构信息查询。提供包括医疗卫生机构介绍、组织架构、医疗设备清单、医院最新动态等相关信息查询。</w:t>
      </w:r>
    </w:p>
    <w:p w14:paraId="72032A89">
      <w:pPr>
        <w:ind w:firstLine="480"/>
        <w:rPr>
          <w:color w:val="auto"/>
        </w:rPr>
      </w:pPr>
      <w:r>
        <w:rPr>
          <w:rFonts w:hint="eastAsia"/>
          <w:color w:val="auto"/>
        </w:rPr>
        <w:t>注册医生查询。可查询医院注册医生的详细信息,包括医生基本信息、注册时间、医生职称、专长介绍等信息。</w:t>
      </w:r>
    </w:p>
    <w:p w14:paraId="08E90DC5">
      <w:pPr>
        <w:ind w:firstLine="480"/>
        <w:rPr>
          <w:color w:val="auto"/>
        </w:rPr>
      </w:pPr>
      <w:r>
        <w:rPr>
          <w:rFonts w:hint="eastAsia"/>
          <w:color w:val="auto"/>
        </w:rPr>
        <w:t>医疗服务价格查询。提供医院药品价格、诊疗收费标准、贵重材料等相关付费项目信息的查询。</w:t>
      </w:r>
    </w:p>
    <w:p w14:paraId="1E4A5718">
      <w:pPr>
        <w:ind w:firstLine="480"/>
        <w:rPr>
          <w:color w:val="auto"/>
        </w:rPr>
      </w:pPr>
      <w:r>
        <w:rPr>
          <w:rFonts w:hint="eastAsia"/>
          <w:color w:val="auto"/>
        </w:rPr>
        <w:t>医院便民服务查询。提供便民服务项目内容查询,同时提供便民服务项目的操作流程和操作指南。</w:t>
      </w:r>
    </w:p>
    <w:p w14:paraId="5D39EB8D">
      <w:pPr>
        <w:ind w:firstLine="480"/>
        <w:rPr>
          <w:color w:val="auto"/>
        </w:rPr>
      </w:pPr>
      <w:r>
        <w:rPr>
          <w:rFonts w:hint="eastAsia"/>
          <w:color w:val="auto"/>
        </w:rPr>
        <w:t>其他查询。包括患者的病情告知制度、特殊诊疗服务流程、主要检查项目的预约与报告医疗服务基本情况、门诊服务流程等。</w:t>
      </w:r>
    </w:p>
    <w:p w14:paraId="32B33F65">
      <w:pPr>
        <w:ind w:firstLine="482"/>
        <w:rPr>
          <w:rFonts w:cs="仿宋"/>
          <w:b/>
          <w:color w:val="auto"/>
        </w:rPr>
      </w:pPr>
      <w:r>
        <w:rPr>
          <w:rFonts w:hint="eastAsia" w:cs="仿宋"/>
          <w:b/>
          <w:color w:val="auto"/>
        </w:rPr>
        <w:t>信息管理</w:t>
      </w:r>
    </w:p>
    <w:p w14:paraId="4FA6167D">
      <w:pPr>
        <w:ind w:firstLine="480"/>
        <w:rPr>
          <w:color w:val="auto"/>
        </w:rPr>
      </w:pPr>
      <w:r>
        <w:rPr>
          <w:rFonts w:hint="eastAsia"/>
          <w:color w:val="auto"/>
        </w:rPr>
        <w:t>信息分类。将公开的信息进行分类管理,例如分为医院概况、医院环境、行风建设、医防服务、服务告知、服务价格及收费等。</w:t>
      </w:r>
    </w:p>
    <w:p w14:paraId="714A3F10">
      <w:pPr>
        <w:ind w:firstLine="480"/>
        <w:rPr>
          <w:rFonts w:hint="eastAsia"/>
          <w:color w:val="auto"/>
        </w:rPr>
      </w:pPr>
      <w:r>
        <w:rPr>
          <w:rFonts w:hint="eastAsia"/>
          <w:color w:val="auto"/>
        </w:rPr>
        <w:t>信息上传和审核。医院管理部门将最新的医院信息上传至信息公开平台,并对上传至信息公开平台的信息进行审核。</w:t>
      </w:r>
    </w:p>
    <w:p w14:paraId="25337B6E">
      <w:pPr>
        <w:pStyle w:val="14"/>
        <w:bidi w:val="0"/>
        <w:rPr>
          <w:color w:val="auto"/>
        </w:rPr>
      </w:pPr>
      <w:r>
        <w:rPr>
          <w:rFonts w:hint="eastAsia"/>
          <w:color w:val="auto"/>
          <w:lang w:val="en-US" w:eastAsia="zh-CN"/>
        </w:rPr>
        <w:t xml:space="preserve"> </w:t>
      </w:r>
      <w:r>
        <w:rPr>
          <w:rFonts w:hint="eastAsia"/>
          <w:color w:val="auto"/>
        </w:rPr>
        <w:t>信息推送系统</w:t>
      </w:r>
    </w:p>
    <w:p w14:paraId="40AC56C0">
      <w:pPr>
        <w:bidi w:val="0"/>
        <w:rPr>
          <w:color w:val="auto"/>
        </w:rPr>
      </w:pPr>
      <w:r>
        <w:rPr>
          <w:color w:val="auto"/>
        </w:rPr>
        <w:t>提供灵活可靠的消息传输服务，具备消息过滤、状态追踪、失败预警及订阅端自主响应等功能，确保医疗业务消息高效、安全传递，同时不影响现有业务流程。</w:t>
      </w:r>
    </w:p>
    <w:p w14:paraId="7291635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47624980">
      <w:pPr>
        <w:ind w:firstLine="480"/>
        <w:rPr>
          <w:rFonts w:hint="eastAsia" w:eastAsia="宋体"/>
          <w:color w:val="auto"/>
          <w:lang w:eastAsia="zh-CN"/>
        </w:rPr>
      </w:pPr>
      <w:r>
        <w:rPr>
          <w:rFonts w:hint="eastAsia"/>
          <w:color w:val="auto"/>
        </w:rPr>
        <w:t>1.支持业务发送后处理，不影响现有流程操作</w:t>
      </w:r>
      <w:r>
        <w:rPr>
          <w:rFonts w:hint="eastAsia"/>
          <w:color w:val="auto"/>
          <w:lang w:eastAsia="zh-CN"/>
        </w:rPr>
        <w:t>。</w:t>
      </w:r>
    </w:p>
    <w:p w14:paraId="7BC40B95">
      <w:pPr>
        <w:ind w:firstLine="480"/>
        <w:rPr>
          <w:rFonts w:hint="eastAsia" w:eastAsia="宋体"/>
          <w:color w:val="auto"/>
          <w:lang w:eastAsia="zh-CN"/>
        </w:rPr>
      </w:pPr>
      <w:r>
        <w:rPr>
          <w:rFonts w:hint="eastAsia"/>
          <w:color w:val="auto"/>
        </w:rPr>
        <w:t>2.支持消息发送后，订阅端可自行决定是否响应消息(回调通知)</w:t>
      </w:r>
      <w:r>
        <w:rPr>
          <w:rFonts w:hint="eastAsia"/>
          <w:color w:val="auto"/>
          <w:lang w:eastAsia="zh-CN"/>
        </w:rPr>
        <w:t>。</w:t>
      </w:r>
    </w:p>
    <w:p w14:paraId="7572F78E">
      <w:pPr>
        <w:ind w:firstLine="480"/>
        <w:rPr>
          <w:rFonts w:hint="eastAsia" w:eastAsia="宋体"/>
          <w:color w:val="auto"/>
          <w:lang w:eastAsia="zh-CN"/>
        </w:rPr>
      </w:pPr>
      <w:r>
        <w:rPr>
          <w:rFonts w:hint="eastAsia"/>
          <w:color w:val="auto"/>
        </w:rPr>
        <w:t>3.支持消息发送失败，记录预警日志，不影响现有操作流程</w:t>
      </w:r>
      <w:r>
        <w:rPr>
          <w:rFonts w:hint="eastAsia"/>
          <w:color w:val="auto"/>
          <w:lang w:eastAsia="zh-CN"/>
        </w:rPr>
        <w:t>。</w:t>
      </w:r>
    </w:p>
    <w:p w14:paraId="4D211046">
      <w:pPr>
        <w:ind w:firstLine="480"/>
        <w:rPr>
          <w:rFonts w:hint="eastAsia" w:eastAsia="宋体"/>
          <w:color w:val="auto"/>
          <w:lang w:eastAsia="zh-CN"/>
        </w:rPr>
      </w:pPr>
      <w:r>
        <w:rPr>
          <w:rFonts w:hint="eastAsia"/>
          <w:color w:val="auto"/>
        </w:rPr>
        <w:t>4.支持追踪消息的发送状态和处理状态</w:t>
      </w:r>
      <w:r>
        <w:rPr>
          <w:rFonts w:hint="eastAsia"/>
          <w:color w:val="auto"/>
          <w:lang w:eastAsia="zh-CN"/>
        </w:rPr>
        <w:t>。</w:t>
      </w:r>
    </w:p>
    <w:p w14:paraId="3669CDA3">
      <w:pPr>
        <w:ind w:firstLine="480"/>
        <w:rPr>
          <w:rFonts w:hint="eastAsia" w:eastAsia="宋体"/>
          <w:color w:val="auto"/>
          <w:lang w:eastAsia="zh-CN"/>
        </w:rPr>
      </w:pPr>
      <w:r>
        <w:rPr>
          <w:rFonts w:hint="eastAsia"/>
          <w:color w:val="auto"/>
        </w:rPr>
        <w:t>5.支持限制消息长度，不允许超过1000字节</w:t>
      </w:r>
      <w:r>
        <w:rPr>
          <w:rFonts w:hint="eastAsia"/>
          <w:color w:val="auto"/>
          <w:lang w:eastAsia="zh-CN"/>
        </w:rPr>
        <w:t>。</w:t>
      </w:r>
    </w:p>
    <w:p w14:paraId="1C4CAD93">
      <w:pPr>
        <w:ind w:firstLine="480"/>
        <w:rPr>
          <w:rFonts w:hint="eastAsia" w:eastAsia="宋体"/>
          <w:color w:val="auto"/>
          <w:lang w:eastAsia="zh-CN"/>
        </w:rPr>
      </w:pPr>
      <w:r>
        <w:rPr>
          <w:color w:val="auto"/>
        </w:rPr>
        <w:t>6</w:t>
      </w:r>
      <w:r>
        <w:rPr>
          <w:rFonts w:hint="eastAsia"/>
          <w:color w:val="auto"/>
        </w:rPr>
        <w:t>.支持提供集成平台标准服务接口</w:t>
      </w:r>
      <w:r>
        <w:rPr>
          <w:rFonts w:hint="eastAsia"/>
          <w:color w:val="auto"/>
          <w:lang w:eastAsia="zh-CN"/>
        </w:rPr>
        <w:t>。</w:t>
      </w:r>
    </w:p>
    <w:p w14:paraId="1E7ACBE0">
      <w:pPr>
        <w:ind w:firstLine="480"/>
        <w:rPr>
          <w:color w:val="auto"/>
        </w:rPr>
      </w:pPr>
      <w:r>
        <w:rPr>
          <w:color w:val="auto"/>
        </w:rPr>
        <w:t>7</w:t>
      </w:r>
      <w:r>
        <w:rPr>
          <w:rFonts w:hint="eastAsia"/>
          <w:color w:val="auto"/>
        </w:rPr>
        <w:t>.支持在发送消息前进行过滤，去掉不必要的消息发送,如根据医疗单位类别等进行区分是否发送。</w:t>
      </w:r>
    </w:p>
    <w:p w14:paraId="676D8242">
      <w:pPr>
        <w:ind w:firstLine="480"/>
        <w:rPr>
          <w:color w:val="auto"/>
        </w:rPr>
      </w:pPr>
      <w:r>
        <w:rPr>
          <w:color w:val="auto"/>
        </w:rPr>
        <w:t>8</w:t>
      </w:r>
      <w:r>
        <w:rPr>
          <w:rFonts w:hint="eastAsia"/>
          <w:color w:val="auto"/>
        </w:rPr>
        <w:t>.支持3种消息推送的方式：webapi、webservice、插件。</w:t>
      </w:r>
    </w:p>
    <w:p w14:paraId="381A82EF">
      <w:pPr>
        <w:pStyle w:val="13"/>
        <w:bidi w:val="0"/>
        <w:ind w:left="1008" w:leftChars="0" w:hanging="1008" w:firstLineChars="0"/>
        <w:rPr>
          <w:color w:val="auto"/>
        </w:rPr>
      </w:pPr>
      <w:r>
        <w:rPr>
          <w:rFonts w:hint="eastAsia"/>
          <w:color w:val="auto"/>
          <w:lang w:val="en-US" w:eastAsia="zh-CN"/>
        </w:rPr>
        <w:t xml:space="preserve"> </w:t>
      </w:r>
      <w:r>
        <w:rPr>
          <w:rFonts w:hint="eastAsia"/>
          <w:color w:val="auto"/>
        </w:rPr>
        <w:t>急诊急救</w:t>
      </w:r>
      <w:r>
        <w:rPr>
          <w:rFonts w:hint="eastAsia"/>
          <w:color w:val="auto"/>
        </w:rPr>
        <w:tab/>
      </w:r>
    </w:p>
    <w:p w14:paraId="70590B27">
      <w:pPr>
        <w:pStyle w:val="14"/>
        <w:bidi w:val="0"/>
        <w:rPr>
          <w:color w:val="auto"/>
        </w:rPr>
      </w:pPr>
      <w:r>
        <w:rPr>
          <w:rFonts w:hint="eastAsia"/>
          <w:color w:val="auto"/>
        </w:rPr>
        <w:t>急诊分诊管理系统</w:t>
      </w:r>
    </w:p>
    <w:p w14:paraId="2E5F4A61">
      <w:pPr>
        <w:bidi w:val="0"/>
        <w:rPr>
          <w:color w:val="auto"/>
        </w:rPr>
      </w:pPr>
      <w:r>
        <w:rPr>
          <w:color w:val="auto"/>
        </w:rPr>
        <w:t>智能管理急诊患者就诊顺序，支持预约、现场及过号患者的动态排队调度，并实现床位分配、费用结算、转住院等全流程管理，同时提供门急诊留观病人病区化处理及120病房登记功能，全面提升急诊诊疗效率与秩序。</w:t>
      </w:r>
    </w:p>
    <w:p w14:paraId="76AC196B">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263FA6B">
      <w:pPr>
        <w:pStyle w:val="94"/>
        <w:ind w:firstLine="480"/>
        <w:rPr>
          <w:color w:val="auto"/>
          <w:sz w:val="24"/>
        </w:rPr>
      </w:pPr>
      <w:r>
        <w:rPr>
          <w:rFonts w:hint="eastAsia"/>
          <w:color w:val="auto"/>
          <w:sz w:val="24"/>
        </w:rPr>
        <w:t>与排队叫号系统无缝对接，支持顺序呼叫、重复呼叫、选择呼叫等。</w:t>
      </w:r>
    </w:p>
    <w:p w14:paraId="6B548B0F">
      <w:pPr>
        <w:pStyle w:val="94"/>
        <w:ind w:firstLine="480"/>
        <w:rPr>
          <w:color w:val="auto"/>
          <w:sz w:val="24"/>
        </w:rPr>
      </w:pPr>
      <w:r>
        <w:rPr>
          <w:rFonts w:hint="eastAsia"/>
          <w:color w:val="auto"/>
          <w:sz w:val="24"/>
        </w:rPr>
        <w:t>可自动处理预约挂号病人、现场挂号病人、过号病人的就诊排队次序。</w:t>
      </w:r>
    </w:p>
    <w:p w14:paraId="082E64BB">
      <w:pPr>
        <w:pStyle w:val="94"/>
        <w:ind w:firstLine="480"/>
        <w:rPr>
          <w:color w:val="auto"/>
          <w:sz w:val="24"/>
        </w:rPr>
      </w:pPr>
      <w:r>
        <w:rPr>
          <w:rFonts w:hint="eastAsia"/>
          <w:color w:val="auto"/>
          <w:sz w:val="24"/>
        </w:rPr>
        <w:t>可设置屏幕动态信息显示方式、分诊显示屏刷新频率、单屏显示行数、呼叫病人次数、呼叫病人模式。</w:t>
      </w:r>
    </w:p>
    <w:p w14:paraId="5F116B56">
      <w:pPr>
        <w:pStyle w:val="94"/>
        <w:ind w:firstLine="480"/>
        <w:rPr>
          <w:rFonts w:hint="eastAsia" w:eastAsia="宋体"/>
          <w:color w:val="auto"/>
          <w:sz w:val="24"/>
          <w:lang w:eastAsia="zh-CN"/>
        </w:rPr>
      </w:pPr>
      <w:r>
        <w:rPr>
          <w:rFonts w:hint="eastAsia"/>
          <w:color w:val="auto"/>
          <w:sz w:val="24"/>
        </w:rPr>
        <w:t>完成急诊病人的床位设置、登记、修改、退登记、换床、收退预交金、结账、转住院、查询报表等；门急诊留观病人病区化管理，包括医嘱复核处理、单据打印、医嘱核对总对、病人体症信息录入、护理病历书写、药品卫生材料请领、费用查询打印、病人换床转科出院操作等</w:t>
      </w:r>
      <w:r>
        <w:rPr>
          <w:rFonts w:hint="eastAsia"/>
          <w:color w:val="auto"/>
          <w:sz w:val="24"/>
          <w:lang w:eastAsia="zh-CN"/>
        </w:rPr>
        <w:t>。</w:t>
      </w:r>
    </w:p>
    <w:p w14:paraId="1361EAB1">
      <w:pPr>
        <w:pStyle w:val="94"/>
        <w:ind w:firstLine="480"/>
        <w:rPr>
          <w:color w:val="auto"/>
          <w:sz w:val="24"/>
        </w:rPr>
      </w:pPr>
      <w:r>
        <w:rPr>
          <w:rFonts w:hint="eastAsia"/>
          <w:color w:val="auto"/>
          <w:sz w:val="24"/>
        </w:rPr>
        <w:t>1.支持门诊转住院。</w:t>
      </w:r>
    </w:p>
    <w:p w14:paraId="68A15308">
      <w:pPr>
        <w:pStyle w:val="94"/>
        <w:ind w:firstLine="480"/>
        <w:rPr>
          <w:color w:val="auto"/>
          <w:sz w:val="24"/>
        </w:rPr>
      </w:pPr>
      <w:r>
        <w:rPr>
          <w:rFonts w:hint="eastAsia"/>
          <w:color w:val="auto"/>
          <w:sz w:val="24"/>
        </w:rPr>
        <w:t>2.留观室病人登记管理、病人就诊以及病人出院。</w:t>
      </w:r>
    </w:p>
    <w:p w14:paraId="5DCB9A19">
      <w:pPr>
        <w:pStyle w:val="94"/>
        <w:ind w:firstLine="480"/>
        <w:rPr>
          <w:color w:val="auto"/>
          <w:sz w:val="24"/>
        </w:rPr>
      </w:pPr>
      <w:r>
        <w:rPr>
          <w:rFonts w:hint="eastAsia"/>
          <w:color w:val="auto"/>
          <w:sz w:val="24"/>
        </w:rPr>
        <w:t>3.120病房登记，支持120急诊留观室病房化管理</w:t>
      </w:r>
      <w:r>
        <w:rPr>
          <w:color w:val="auto"/>
          <w:sz w:val="24"/>
        </w:rPr>
        <w:t>。</w:t>
      </w:r>
    </w:p>
    <w:p w14:paraId="08B2EBD4">
      <w:pPr>
        <w:pStyle w:val="14"/>
        <w:bidi w:val="0"/>
        <w:rPr>
          <w:color w:val="auto"/>
        </w:rPr>
      </w:pPr>
      <w:r>
        <w:rPr>
          <w:rFonts w:hint="eastAsia"/>
          <w:color w:val="auto"/>
        </w:rPr>
        <w:t>胸痛中心</w:t>
      </w:r>
    </w:p>
    <w:p w14:paraId="757C848C">
      <w:pPr>
        <w:pStyle w:val="94"/>
        <w:ind w:firstLine="480"/>
        <w:rPr>
          <w:color w:val="auto"/>
          <w:sz w:val="24"/>
        </w:rPr>
      </w:pPr>
      <w:r>
        <w:rPr>
          <w:color w:val="auto"/>
          <w:sz w:val="24"/>
        </w:rPr>
        <w:t>系统深度结合胸痛中心救治场景，科学地将胸痛中心救治全流程以临床路径为导向拆解为单项胸痛救治任务，并根据医院真实救治场景匹配到不同的医护角色，流程无缝衔接，简化每个医护人员操作。</w:t>
      </w:r>
    </w:p>
    <w:p w14:paraId="44A53EA2">
      <w:pPr>
        <w:pStyle w:val="94"/>
        <w:ind w:firstLine="480"/>
        <w:rPr>
          <w:color w:val="auto"/>
          <w:sz w:val="24"/>
        </w:rPr>
      </w:pPr>
      <w:r>
        <w:rPr>
          <w:rFonts w:hint="eastAsia"/>
          <w:color w:val="auto"/>
          <w:sz w:val="24"/>
        </w:rPr>
        <w:t>胸痛、卒中、创伤中心包含软件系统及手持终端、时间同步母钟硬件。</w:t>
      </w:r>
    </w:p>
    <w:p w14:paraId="6A583999">
      <w:pPr>
        <w:pStyle w:val="94"/>
        <w:ind w:firstLine="480"/>
        <w:rPr>
          <w:color w:val="auto"/>
          <w:sz w:val="24"/>
        </w:rPr>
      </w:pPr>
      <w:r>
        <w:rPr>
          <w:color w:val="auto"/>
          <w:sz w:val="24"/>
        </w:rPr>
        <w:t>系统同时可与POCT硬件设备对接，实现cTnl，D-dimer等心脏标志物检验结果自动同步，亦可结合IOT设备完成数据的自动采集，实时质控以及审核过程的数据溯源、避免了数据错填以及漏填的情况。系统可对接国家胸痛中心总部完成上报，并能在上报时智能提示数据极值及质控不合格数据，确保数据真实准确。</w:t>
      </w:r>
    </w:p>
    <w:p w14:paraId="0ACE53A3">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3F1F8C1">
      <w:pPr>
        <w:ind w:firstLine="482"/>
        <w:rPr>
          <w:b/>
          <w:bCs/>
          <w:color w:val="auto"/>
        </w:rPr>
      </w:pPr>
      <w:bookmarkStart w:id="129" w:name="_Toc150931644"/>
      <w:r>
        <w:rPr>
          <w:b/>
          <w:bCs/>
          <w:color w:val="auto"/>
        </w:rPr>
        <w:t>胸痛急救车端系统</w:t>
      </w:r>
      <w:bookmarkEnd w:id="129"/>
    </w:p>
    <w:p w14:paraId="09FB62C7">
      <w:pPr>
        <w:pStyle w:val="94"/>
        <w:ind w:firstLine="480"/>
        <w:rPr>
          <w:color w:val="auto"/>
          <w:sz w:val="24"/>
        </w:rPr>
      </w:pPr>
      <w:r>
        <w:rPr>
          <w:color w:val="auto"/>
          <w:sz w:val="24"/>
        </w:rPr>
        <w:t>胸痛急救车端系统旨在打通120救护与院内救治壁垒，实现院前与院内救治流程无缝对接，让救护车成为救治第一现场。在救护车上新建病患，采集患者基础信息、生命体征、检验检查，病史采集，进行院前诊断，并根据情况发起远程会诊；院内远程会诊结果及绕行指令返回车端，支持一键启动院内胸痛绿色通道。</w:t>
      </w:r>
    </w:p>
    <w:p w14:paraId="41038075">
      <w:pPr>
        <w:ind w:firstLine="482"/>
        <w:rPr>
          <w:b/>
          <w:bCs/>
          <w:color w:val="auto"/>
        </w:rPr>
      </w:pPr>
      <w:bookmarkStart w:id="130" w:name="_Toc150931645"/>
      <w:r>
        <w:rPr>
          <w:b/>
          <w:bCs/>
          <w:color w:val="auto"/>
        </w:rPr>
        <w:t>胸痛单元转诊辅助系统</w:t>
      </w:r>
      <w:bookmarkEnd w:id="130"/>
    </w:p>
    <w:p w14:paraId="7BFD8FD0">
      <w:pPr>
        <w:pStyle w:val="94"/>
        <w:ind w:firstLine="480"/>
        <w:rPr>
          <w:color w:val="auto"/>
          <w:sz w:val="24"/>
        </w:rPr>
      </w:pPr>
      <w:r>
        <w:rPr>
          <w:color w:val="auto"/>
          <w:sz w:val="24"/>
        </w:rPr>
        <w:t>针对胸痛中心签约网络医院，提供轻量级胸痛单元系统，基层医务人员通过微信小程序快速记录患者基层救治关键信息，同步心电图和POCT数据至上级医院。</w:t>
      </w:r>
    </w:p>
    <w:p w14:paraId="32DFE46F">
      <w:pPr>
        <w:ind w:firstLine="482"/>
        <w:rPr>
          <w:b/>
          <w:bCs/>
          <w:color w:val="auto"/>
        </w:rPr>
      </w:pPr>
      <w:bookmarkStart w:id="131" w:name="_Toc150931646"/>
      <w:r>
        <w:rPr>
          <w:b/>
          <w:bCs/>
          <w:color w:val="auto"/>
        </w:rPr>
        <w:t>胸痛绿色通道救治数据管理系统</w:t>
      </w:r>
      <w:bookmarkEnd w:id="131"/>
    </w:p>
    <w:p w14:paraId="4242BF8F">
      <w:pPr>
        <w:pStyle w:val="94"/>
        <w:ind w:firstLine="480"/>
        <w:rPr>
          <w:color w:val="auto"/>
          <w:sz w:val="24"/>
        </w:rPr>
      </w:pPr>
      <w:r>
        <w:rPr>
          <w:color w:val="auto"/>
          <w:sz w:val="24"/>
        </w:rPr>
        <w:t>胸痛绿色通道救治数据管理系统支持在移动端、专科工作站完成，最大程度方便医护人员使用。流程覆盖到急诊科、心内科、心电图室、导管室、CCU等胸痛所有救治场景的每一个环节。</w:t>
      </w:r>
    </w:p>
    <w:p w14:paraId="22F621EB">
      <w:pPr>
        <w:pStyle w:val="94"/>
        <w:ind w:firstLine="480"/>
        <w:rPr>
          <w:color w:val="auto"/>
          <w:sz w:val="24"/>
        </w:rPr>
      </w:pPr>
      <w:r>
        <w:rPr>
          <w:color w:val="auto"/>
          <w:sz w:val="24"/>
        </w:rPr>
        <w:t>胸痛绿色通道救治数据管理系统以急诊胸痛患者为中心，以急诊胸痛患者诊疗路径为主线，通过移动终端采集急诊胸痛患者全程详细的诊疗信息。救治过程中医护人员可以通过系统，实现患者救治过程中重要时间节点采集，检验检查结果反馈。支持对患者进行专科评分。</w:t>
      </w:r>
    </w:p>
    <w:p w14:paraId="6254936E">
      <w:pPr>
        <w:pStyle w:val="94"/>
        <w:ind w:firstLine="480"/>
        <w:rPr>
          <w:color w:val="auto"/>
          <w:sz w:val="24"/>
        </w:rPr>
      </w:pPr>
      <w:r>
        <w:rPr>
          <w:color w:val="auto"/>
          <w:sz w:val="24"/>
        </w:rPr>
        <w:t>通过胸痛专科工作站实现胸痛数据的补录功能，完整胸痛病历数据保存，提供可溯源的纸质报告打印功能，报告打印支持医院自定义格式，支持PDF保存；提供胸痛记录数据管理入口，实现胸痛记录的查询检索。</w:t>
      </w:r>
    </w:p>
    <w:p w14:paraId="6EBB3065">
      <w:pPr>
        <w:ind w:firstLine="482"/>
        <w:rPr>
          <w:b/>
          <w:bCs/>
          <w:color w:val="auto"/>
        </w:rPr>
      </w:pPr>
      <w:bookmarkStart w:id="132" w:name="_Toc150931647"/>
      <w:r>
        <w:rPr>
          <w:b/>
          <w:bCs/>
          <w:color w:val="auto"/>
        </w:rPr>
        <w:t>胸痛绿色通道救治协同应用</w:t>
      </w:r>
      <w:bookmarkEnd w:id="132"/>
    </w:p>
    <w:p w14:paraId="3C0119F7">
      <w:pPr>
        <w:autoSpaceDE w:val="0"/>
        <w:autoSpaceDN w:val="0"/>
        <w:ind w:firstLine="480"/>
        <w:rPr>
          <w:color w:val="auto"/>
          <w:lang w:val="zh-CN" w:bidi="zh-CN"/>
        </w:rPr>
      </w:pPr>
      <w:r>
        <w:rPr>
          <w:color w:val="auto"/>
          <w:lang w:val="zh-CN" w:bidi="zh-CN"/>
        </w:rPr>
        <w:t>为保证急救信息能准确及时地传递到相关急救人员手中，系统具备多渠道、多方式、多频次的通知通告能力。</w:t>
      </w:r>
    </w:p>
    <w:p w14:paraId="632F652D">
      <w:pPr>
        <w:autoSpaceDE w:val="0"/>
        <w:autoSpaceDN w:val="0"/>
        <w:ind w:firstLine="480"/>
        <w:rPr>
          <w:color w:val="auto"/>
          <w:lang w:val="zh-CN" w:bidi="zh-CN"/>
        </w:rPr>
      </w:pPr>
      <w:r>
        <w:rPr>
          <w:color w:val="auto"/>
          <w:lang w:val="zh-CN" w:bidi="zh-CN"/>
        </w:rPr>
        <w:t>系统实现病患救治过程任意场景，实现同步通知多科室、多名医护人员，同步所有救治信息并进行记录。系统支持智能通话、短信、应用端报警多种形式的消息推送，实现跨终端的消息实时推送目标，避免救治延误，可促使救治团队快速反应，提高救治效率。</w:t>
      </w:r>
    </w:p>
    <w:p w14:paraId="25CDF5BF">
      <w:pPr>
        <w:ind w:firstLine="482"/>
        <w:rPr>
          <w:rFonts w:ascii="宋体" w:hAnsi="宋体" w:eastAsia="宋体" w:cs="Times New Roman"/>
          <w:b/>
          <w:bCs/>
          <w:color w:val="auto"/>
        </w:rPr>
      </w:pPr>
      <w:bookmarkStart w:id="133" w:name="_Toc150931648"/>
      <w:r>
        <w:rPr>
          <w:rFonts w:ascii="宋体" w:hAnsi="宋体" w:eastAsia="宋体" w:cs="Times New Roman"/>
          <w:b/>
          <w:bCs/>
          <w:color w:val="auto"/>
        </w:rPr>
        <w:t>胸痛患者时间采集管理(基于IOT)</w:t>
      </w:r>
      <w:bookmarkEnd w:id="133"/>
    </w:p>
    <w:p w14:paraId="3DE677D1">
      <w:pPr>
        <w:bidi w:val="0"/>
        <w:rPr>
          <w:rFonts w:hint="eastAsia" w:ascii="宋体" w:hAnsi="宋体"/>
          <w:color w:val="auto"/>
        </w:rPr>
      </w:pPr>
      <w:r>
        <w:rPr>
          <w:color w:val="auto"/>
        </w:rPr>
        <w:t>基于物联网(Internet of Things，缩写为IOT，)又称传感网，将无线射频识别（RFID）装置与互联网结合起来而形成的一个巨大网络。患者时间采集管理，将在急诊科、彩超室（选配）、溶栓室（选配）、导管室、CCU部署RFID装置，患者戴定位手环，系统自动采集患者到达急诊科、彩超室（选配）、溶栓室（选配）、导管室、CCU就医全程时间节点，方便救治数据质量管理，优化救治流程。</w:t>
      </w:r>
    </w:p>
    <w:p w14:paraId="75EECE8A">
      <w:pPr>
        <w:ind w:firstLine="482"/>
        <w:rPr>
          <w:rFonts w:ascii="宋体" w:hAnsi="宋体" w:eastAsia="宋体" w:cs="Times New Roman"/>
          <w:b/>
          <w:bCs/>
          <w:color w:val="auto"/>
        </w:rPr>
      </w:pPr>
      <w:bookmarkStart w:id="134" w:name="_Toc150931649"/>
      <w:r>
        <w:rPr>
          <w:rFonts w:ascii="宋体" w:hAnsi="宋体" w:eastAsia="宋体" w:cs="Times New Roman"/>
          <w:b/>
          <w:bCs/>
          <w:color w:val="auto"/>
        </w:rPr>
        <w:t>胸痛危急值预警系统</w:t>
      </w:r>
      <w:bookmarkEnd w:id="134"/>
    </w:p>
    <w:p w14:paraId="2BDD496F">
      <w:pPr>
        <w:bidi w:val="0"/>
        <w:rPr>
          <w:rFonts w:hint="eastAsia" w:ascii="宋体" w:hAnsi="宋体" w:eastAsia="宋体" w:cs="Times New Roman"/>
          <w:color w:val="auto"/>
        </w:rPr>
      </w:pPr>
      <w:r>
        <w:rPr>
          <w:rFonts w:ascii="宋体" w:hAnsi="宋体" w:eastAsia="宋体" w:cs="Times New Roman"/>
          <w:color w:val="auto"/>
        </w:rPr>
        <w:t>急性心肌梗死是胸痛病患中最为危急的一类，每延迟救治一分钟都会对心肌造成不可逆的损伤，对于这一类胸痛患者的救治是刻不容缓的。系统通过搭建危急值预警体系，对这一类危急患者进行智能预警。</w:t>
      </w:r>
    </w:p>
    <w:p w14:paraId="21B8CDE0">
      <w:pPr>
        <w:bidi w:val="0"/>
        <w:rPr>
          <w:rFonts w:hint="eastAsia" w:ascii="宋体" w:hAnsi="宋体" w:eastAsia="宋体" w:cs="Times New Roman"/>
          <w:color w:val="auto"/>
        </w:rPr>
      </w:pPr>
      <w:r>
        <w:rPr>
          <w:rFonts w:ascii="宋体" w:hAnsi="宋体" w:eastAsia="宋体" w:cs="Times New Roman"/>
          <w:color w:val="auto"/>
        </w:rPr>
        <w:t>心肌标志物预警：肌钙蛋白，肌酸激酶同工酶和肌红蛋白等心肌标志物对于心肌梗死有很高的特异性，系统自动获取POCT检测数据后会进行智能判断，对于心肌标志物检测值异常患者进行警报标识，提示医务人员紧急处理，避免错过时间窗。</w:t>
      </w:r>
    </w:p>
    <w:p w14:paraId="306EFBEC">
      <w:pPr>
        <w:bidi w:val="0"/>
        <w:rPr>
          <w:rFonts w:hint="eastAsia" w:ascii="宋体" w:hAnsi="宋体" w:eastAsia="宋体" w:cs="Times New Roman"/>
          <w:color w:val="auto"/>
        </w:rPr>
      </w:pPr>
      <w:r>
        <w:rPr>
          <w:rFonts w:ascii="宋体" w:hAnsi="宋体" w:eastAsia="宋体" w:cs="Times New Roman"/>
          <w:color w:val="auto"/>
        </w:rPr>
        <w:t>心电图异常预警：系统会自动识别心电图诊断结果，对于心肌缺血，心肌梗死等情况进行警报标识，提示医务人员紧急处理，避免错过时间窗。</w:t>
      </w:r>
    </w:p>
    <w:p w14:paraId="12756FB1">
      <w:pPr>
        <w:ind w:firstLine="482"/>
        <w:rPr>
          <w:b/>
          <w:bCs/>
          <w:color w:val="auto"/>
        </w:rPr>
      </w:pPr>
      <w:bookmarkStart w:id="135" w:name="_Toc150931650"/>
      <w:r>
        <w:rPr>
          <w:b/>
          <w:bCs/>
          <w:color w:val="auto"/>
        </w:rPr>
        <w:t>胸痛中心数据分析与质控系统</w:t>
      </w:r>
      <w:bookmarkEnd w:id="135"/>
    </w:p>
    <w:p w14:paraId="2AF4A0F6">
      <w:pPr>
        <w:bidi w:val="0"/>
        <w:rPr>
          <w:rFonts w:hint="eastAsia" w:ascii="宋体" w:hAnsi="宋体" w:eastAsia="宋体" w:cs="Times New Roman"/>
          <w:color w:val="auto"/>
        </w:rPr>
      </w:pPr>
      <w:r>
        <w:rPr>
          <w:rFonts w:ascii="宋体" w:hAnsi="宋体" w:eastAsia="宋体" w:cs="Times New Roman"/>
          <w:color w:val="auto"/>
        </w:rPr>
        <w:t>胸痛病患急救过程数据的详细记录是为了提升医院的整体救治能力，在基础数据上合理细致的分析统计是能发现问题做出改进的基础，系统匹配最新胸痛总部质控指标，质控报告支持订阅公众号推送质控月度报告，邮件订阅，及时通知，帮助医院各层级客户定时掌握中心建设和运行情况。</w:t>
      </w:r>
    </w:p>
    <w:p w14:paraId="7F69EEFF">
      <w:pPr>
        <w:bidi w:val="0"/>
        <w:rPr>
          <w:rFonts w:hint="eastAsia" w:ascii="宋体" w:hAnsi="宋体" w:eastAsia="宋体" w:cs="Times New Roman"/>
          <w:color w:val="auto"/>
        </w:rPr>
      </w:pPr>
      <w:r>
        <w:rPr>
          <w:rFonts w:ascii="宋体" w:hAnsi="宋体" w:eastAsia="宋体" w:cs="Times New Roman"/>
          <w:color w:val="auto"/>
        </w:rPr>
        <w:t>胸痛中心数据分析与质控系统支持查看胸痛中心病患数据统计、质控指标和系统使用情况分析。</w:t>
      </w:r>
    </w:p>
    <w:p w14:paraId="2D2293FC">
      <w:pPr>
        <w:bidi w:val="0"/>
        <w:rPr>
          <w:rFonts w:hint="eastAsia" w:ascii="宋体" w:hAnsi="宋体" w:eastAsia="宋体" w:cs="Times New Roman"/>
          <w:color w:val="auto"/>
        </w:rPr>
      </w:pPr>
      <w:r>
        <w:rPr>
          <w:rFonts w:ascii="宋体" w:hAnsi="宋体" w:eastAsia="宋体" w:cs="Times New Roman"/>
          <w:color w:val="auto"/>
        </w:rPr>
        <w:t>数据统计分别胸痛患者新建病患统计、按诊断类型统计、按救治措施统计。</w:t>
      </w:r>
      <w:bookmarkStart w:id="136" w:name="_Toc765"/>
      <w:bookmarkStart w:id="137" w:name="_Toc9877"/>
    </w:p>
    <w:bookmarkEnd w:id="136"/>
    <w:bookmarkEnd w:id="137"/>
    <w:p w14:paraId="611FC923">
      <w:pPr>
        <w:bidi w:val="0"/>
        <w:rPr>
          <w:rFonts w:ascii="宋体" w:hAnsi="宋体" w:eastAsia="宋体" w:cs="Times New Roman"/>
          <w:color w:val="auto"/>
        </w:rPr>
      </w:pPr>
      <w:r>
        <w:rPr>
          <w:rFonts w:ascii="宋体" w:hAnsi="宋体" w:eastAsia="宋体" w:cs="Times New Roman"/>
          <w:color w:val="auto"/>
        </w:rPr>
        <w:t>质控指标区分院内全量数据质控和上报数据质控，在满足院内全量救治数据质控要求的同时也能满足胸痛中心要求，确保院内信息化与中心数据一致。质控指标支持胸痛中心在认证阶段质控指标和常态化运行的质控指标。</w:t>
      </w:r>
    </w:p>
    <w:p w14:paraId="4DBFC3C9">
      <w:pPr>
        <w:ind w:firstLine="480"/>
        <w:rPr>
          <w:color w:val="auto"/>
        </w:rPr>
      </w:pPr>
      <w:r>
        <w:rPr>
          <w:color w:val="auto"/>
        </w:rPr>
        <w:t>1) 胸痛中心认证质控指标包括：</w:t>
      </w:r>
    </w:p>
    <w:p w14:paraId="5954193F">
      <w:pPr>
        <w:ind w:firstLine="480"/>
        <w:rPr>
          <w:rFonts w:hint="eastAsia" w:eastAsia="宋体"/>
          <w:color w:val="auto"/>
          <w:lang w:eastAsia="zh-CN"/>
        </w:rPr>
      </w:pPr>
      <w:r>
        <w:rPr>
          <w:color w:val="auto"/>
        </w:rPr>
        <w:t>对于自行来院或拨打本地120经救护车入院的所有急性胸痛患者，缩短了从首次医疗接触到完成首份心电图时间，且要求月平均小于10分钟</w:t>
      </w:r>
      <w:r>
        <w:rPr>
          <w:rFonts w:hint="eastAsia"/>
          <w:color w:val="auto"/>
          <w:lang w:eastAsia="zh-CN"/>
        </w:rPr>
        <w:t>；</w:t>
      </w:r>
    </w:p>
    <w:p w14:paraId="0F59A052">
      <w:pPr>
        <w:ind w:firstLine="480"/>
        <w:rPr>
          <w:rFonts w:hint="eastAsia" w:eastAsia="宋体"/>
          <w:color w:val="auto"/>
          <w:lang w:eastAsia="zh-CN"/>
        </w:rPr>
      </w:pPr>
      <w:r>
        <w:rPr>
          <w:color w:val="auto"/>
        </w:rPr>
        <w:t>对于STEMI患者，缩短了从完成首份心电图至确诊的时间，且要求月平均小于10分钟</w:t>
      </w:r>
      <w:r>
        <w:rPr>
          <w:rFonts w:hint="eastAsia"/>
          <w:color w:val="auto"/>
          <w:lang w:eastAsia="zh-CN"/>
        </w:rPr>
        <w:t>；</w:t>
      </w:r>
    </w:p>
    <w:p w14:paraId="28FF1883">
      <w:pPr>
        <w:ind w:firstLine="480"/>
        <w:rPr>
          <w:rFonts w:hint="eastAsia" w:eastAsia="宋体"/>
          <w:color w:val="auto"/>
          <w:lang w:eastAsia="zh-CN"/>
        </w:rPr>
      </w:pPr>
      <w:r>
        <w:rPr>
          <w:color w:val="auto"/>
        </w:rPr>
        <w:t>经救护车（包括呼叫本地120入院及由非PCI医院转诊患者）入院的STEMI患者，从急救现场或救护车远程传输心电图至胸痛中心（实时传输或微信等形式传输，但必须在云平台有客观记录）的比例不低于30%且在过去6个月内呈现增加趋势</w:t>
      </w:r>
      <w:r>
        <w:rPr>
          <w:rFonts w:hint="eastAsia"/>
          <w:color w:val="auto"/>
          <w:lang w:eastAsia="zh-CN"/>
        </w:rPr>
        <w:t>；</w:t>
      </w:r>
    </w:p>
    <w:p w14:paraId="1998B4B9">
      <w:pPr>
        <w:ind w:firstLine="480"/>
        <w:rPr>
          <w:rFonts w:hint="eastAsia" w:eastAsia="宋体"/>
          <w:color w:val="auto"/>
          <w:lang w:eastAsia="zh-CN"/>
        </w:rPr>
      </w:pPr>
      <w:r>
        <w:rPr>
          <w:color w:val="auto"/>
        </w:rPr>
        <w:t>建立了床旁快速检测肌钙蛋白方法，从抽血完成到获取报告时间不超过20分钟</w:t>
      </w:r>
      <w:r>
        <w:rPr>
          <w:rFonts w:hint="eastAsia"/>
          <w:color w:val="auto"/>
          <w:lang w:eastAsia="zh-CN"/>
        </w:rPr>
        <w:t>；</w:t>
      </w:r>
    </w:p>
    <w:p w14:paraId="41FD5A6A">
      <w:pPr>
        <w:ind w:firstLine="480"/>
        <w:rPr>
          <w:rFonts w:hint="eastAsia" w:eastAsia="宋体"/>
          <w:color w:val="auto"/>
          <w:lang w:eastAsia="zh-CN"/>
        </w:rPr>
      </w:pPr>
      <w:r>
        <w:rPr>
          <w:color w:val="auto"/>
        </w:rPr>
        <w:t>发病至首次医疗接触在12小时以内的STEMI患者实施再灌注救治的比例不低于75%</w:t>
      </w:r>
      <w:r>
        <w:rPr>
          <w:rFonts w:hint="eastAsia"/>
          <w:color w:val="auto"/>
          <w:lang w:eastAsia="zh-CN"/>
        </w:rPr>
        <w:t>；</w:t>
      </w:r>
    </w:p>
    <w:p w14:paraId="1FD7D5CF">
      <w:pPr>
        <w:ind w:firstLine="480"/>
        <w:rPr>
          <w:rFonts w:hint="eastAsia" w:eastAsia="宋体"/>
          <w:color w:val="auto"/>
          <w:lang w:eastAsia="zh-CN"/>
        </w:rPr>
      </w:pPr>
      <w:r>
        <w:rPr>
          <w:color w:val="auto"/>
        </w:rPr>
        <w:t>对于接受PPCI治疗的STEMI患者，月平均入门-导丝通过时间不超过90分钟，且达标率不低于75%；若当前无法达到，则应呈现改进趋势，且应制订促进持续改进的措施，确保在通过认证后1年内逐步达到上述要求</w:t>
      </w:r>
      <w:r>
        <w:rPr>
          <w:rFonts w:hint="eastAsia"/>
          <w:color w:val="auto"/>
          <w:lang w:eastAsia="zh-CN"/>
        </w:rPr>
        <w:t>；</w:t>
      </w:r>
    </w:p>
    <w:p w14:paraId="151DB6DA">
      <w:pPr>
        <w:ind w:firstLine="480"/>
        <w:rPr>
          <w:rFonts w:hint="eastAsia" w:eastAsia="宋体"/>
          <w:color w:val="auto"/>
          <w:lang w:eastAsia="zh-CN"/>
        </w:rPr>
      </w:pPr>
      <w:r>
        <w:rPr>
          <w:color w:val="auto"/>
        </w:rPr>
        <w:t>网络医院转至本院实施转运PCI的STEMI患者首次医疗接触到导丝通过时间应在120分钟以内，月平均达标率不低于50%</w:t>
      </w:r>
      <w:r>
        <w:rPr>
          <w:rFonts w:hint="eastAsia"/>
          <w:color w:val="auto"/>
          <w:lang w:eastAsia="zh-CN"/>
        </w:rPr>
        <w:t>；</w:t>
      </w:r>
    </w:p>
    <w:p w14:paraId="0D8ED12B">
      <w:pPr>
        <w:ind w:firstLine="480"/>
        <w:rPr>
          <w:rFonts w:hint="eastAsia" w:eastAsia="宋体"/>
          <w:color w:val="auto"/>
          <w:lang w:eastAsia="zh-CN"/>
        </w:rPr>
      </w:pPr>
      <w:r>
        <w:rPr>
          <w:color w:val="auto"/>
        </w:rPr>
        <w:t>导管室激活时间小于30分钟</w:t>
      </w:r>
      <w:r>
        <w:rPr>
          <w:rFonts w:hint="eastAsia"/>
          <w:color w:val="auto"/>
          <w:lang w:eastAsia="zh-CN"/>
        </w:rPr>
        <w:t>；</w:t>
      </w:r>
    </w:p>
    <w:p w14:paraId="0803088C">
      <w:pPr>
        <w:ind w:firstLine="480"/>
        <w:rPr>
          <w:rFonts w:hint="eastAsia" w:eastAsia="宋体"/>
          <w:color w:val="auto"/>
          <w:lang w:eastAsia="zh-CN"/>
        </w:rPr>
      </w:pPr>
      <w:r>
        <w:rPr>
          <w:color w:val="auto"/>
        </w:rPr>
        <w:t>经救护车入院（包括呼叫本地120入院及由非PCI医院转诊患者）且接受PPCI治疗的STEMI患者，绕行急诊和CCU直达导管室的比例不低于50%，且呈现增高趋势</w:t>
      </w:r>
      <w:r>
        <w:rPr>
          <w:rFonts w:hint="eastAsia"/>
          <w:color w:val="auto"/>
          <w:lang w:eastAsia="zh-CN"/>
        </w:rPr>
        <w:t>；</w:t>
      </w:r>
    </w:p>
    <w:p w14:paraId="480D8CC5">
      <w:pPr>
        <w:ind w:firstLine="480"/>
        <w:rPr>
          <w:rFonts w:hint="eastAsia" w:eastAsia="宋体"/>
          <w:color w:val="auto"/>
          <w:lang w:eastAsia="zh-CN"/>
        </w:rPr>
      </w:pPr>
      <w:r>
        <w:rPr>
          <w:color w:val="auto"/>
        </w:rPr>
        <w:t>自行来院且接受PPCI治疗的STEMI患者，绕行CCU从急诊科直接送入导管室的比例不低于75%，且呈现增高趋势</w:t>
      </w:r>
      <w:r>
        <w:rPr>
          <w:rFonts w:hint="eastAsia"/>
          <w:color w:val="auto"/>
          <w:lang w:eastAsia="zh-CN"/>
        </w:rPr>
        <w:t>；</w:t>
      </w:r>
    </w:p>
    <w:p w14:paraId="01EAC6F7">
      <w:pPr>
        <w:ind w:firstLine="480"/>
        <w:rPr>
          <w:rFonts w:hint="eastAsia" w:eastAsia="宋体"/>
          <w:color w:val="auto"/>
          <w:lang w:eastAsia="zh-CN"/>
        </w:rPr>
      </w:pPr>
      <w:r>
        <w:rPr>
          <w:color w:val="auto"/>
        </w:rPr>
        <w:t>溶栓后患者（包含网络医院，120及本院）24小时内早期造影的比例不低于75%</w:t>
      </w:r>
      <w:r>
        <w:rPr>
          <w:rFonts w:hint="eastAsia"/>
          <w:color w:val="auto"/>
          <w:lang w:eastAsia="zh-CN"/>
        </w:rPr>
        <w:t>；</w:t>
      </w:r>
    </w:p>
    <w:p w14:paraId="01AFC210">
      <w:pPr>
        <w:ind w:firstLine="480"/>
        <w:rPr>
          <w:rFonts w:hint="eastAsia" w:eastAsia="宋体"/>
          <w:color w:val="auto"/>
          <w:lang w:eastAsia="zh-CN"/>
        </w:rPr>
      </w:pPr>
      <w:r>
        <w:rPr>
          <w:color w:val="auto"/>
        </w:rPr>
        <w:t>所有STEMI患者的死亡率已降低</w:t>
      </w:r>
      <w:r>
        <w:rPr>
          <w:rFonts w:hint="eastAsia"/>
          <w:color w:val="auto"/>
          <w:lang w:eastAsia="zh-CN"/>
        </w:rPr>
        <w:t>；</w:t>
      </w:r>
    </w:p>
    <w:p w14:paraId="7076B4C5">
      <w:pPr>
        <w:ind w:firstLine="480"/>
        <w:rPr>
          <w:rFonts w:hint="eastAsia" w:eastAsia="宋体"/>
          <w:color w:val="auto"/>
          <w:lang w:eastAsia="zh-CN"/>
        </w:rPr>
      </w:pPr>
      <w:r>
        <w:rPr>
          <w:color w:val="auto"/>
        </w:rPr>
        <w:t>初步诊断为NSETMI/UA的患者实施危险分层评估的比例达到100%</w:t>
      </w:r>
      <w:r>
        <w:rPr>
          <w:rFonts w:hint="eastAsia"/>
          <w:color w:val="auto"/>
          <w:lang w:eastAsia="zh-CN"/>
        </w:rPr>
        <w:t>；</w:t>
      </w:r>
    </w:p>
    <w:p w14:paraId="690129CC">
      <w:pPr>
        <w:ind w:firstLine="480"/>
        <w:rPr>
          <w:rFonts w:hint="eastAsia" w:eastAsia="宋体"/>
          <w:color w:val="auto"/>
          <w:lang w:eastAsia="zh-CN"/>
        </w:rPr>
      </w:pPr>
      <w:r>
        <w:rPr>
          <w:color w:val="auto"/>
        </w:rPr>
        <w:t>所有危险分层评估极高危的NSTEMI/UA患者，从入门后（首次评估为极高危者）或者病情变化后（再次评估为极高危者）2小时内实施紧急PCI的比例在增加，且不低于50%</w:t>
      </w:r>
      <w:r>
        <w:rPr>
          <w:rFonts w:hint="eastAsia"/>
          <w:color w:val="auto"/>
          <w:lang w:eastAsia="zh-CN"/>
        </w:rPr>
        <w:t>；</w:t>
      </w:r>
    </w:p>
    <w:p w14:paraId="592C927B">
      <w:pPr>
        <w:ind w:firstLine="480"/>
        <w:rPr>
          <w:rFonts w:hint="eastAsia" w:eastAsia="宋体"/>
          <w:color w:val="auto"/>
          <w:lang w:eastAsia="zh-CN"/>
        </w:rPr>
      </w:pPr>
      <w:r>
        <w:rPr>
          <w:color w:val="auto"/>
        </w:rPr>
        <w:t>所有危险分层评估高危NSTEMI/UA患者，从入门后（首次评估为高危者）或者病情变化后（再次评估为高危者）24小时内实施早期介入治疗的比例在增加，且不低于50%</w:t>
      </w:r>
      <w:r>
        <w:rPr>
          <w:rFonts w:hint="eastAsia"/>
          <w:color w:val="auto"/>
          <w:lang w:eastAsia="zh-CN"/>
        </w:rPr>
        <w:t>；</w:t>
      </w:r>
    </w:p>
    <w:p w14:paraId="202278DB">
      <w:pPr>
        <w:ind w:firstLine="480"/>
        <w:rPr>
          <w:rFonts w:hint="eastAsia" w:eastAsia="宋体"/>
          <w:color w:val="auto"/>
          <w:lang w:eastAsia="zh-CN"/>
        </w:rPr>
      </w:pPr>
      <w:r>
        <w:rPr>
          <w:color w:val="auto"/>
        </w:rPr>
        <w:t>全部ACS患者院内死亡率在降低</w:t>
      </w:r>
      <w:r>
        <w:rPr>
          <w:rFonts w:hint="eastAsia"/>
          <w:color w:val="auto"/>
          <w:lang w:eastAsia="zh-CN"/>
        </w:rPr>
        <w:t>；</w:t>
      </w:r>
    </w:p>
    <w:p w14:paraId="41A6B429">
      <w:pPr>
        <w:ind w:firstLine="480"/>
        <w:rPr>
          <w:rFonts w:hint="eastAsia" w:eastAsia="宋体"/>
          <w:color w:val="auto"/>
          <w:lang w:eastAsia="zh-CN"/>
        </w:rPr>
      </w:pPr>
      <w:r>
        <w:rPr>
          <w:color w:val="auto"/>
        </w:rPr>
        <w:t>全部ACS患者院内心力衰竭发生率在降低</w:t>
      </w:r>
      <w:r>
        <w:rPr>
          <w:rFonts w:hint="eastAsia"/>
          <w:color w:val="auto"/>
          <w:lang w:eastAsia="zh-CN"/>
        </w:rPr>
        <w:t>；</w:t>
      </w:r>
    </w:p>
    <w:p w14:paraId="6C06D0C3">
      <w:pPr>
        <w:ind w:firstLine="480"/>
        <w:rPr>
          <w:rFonts w:hint="eastAsia" w:eastAsia="宋体"/>
          <w:color w:val="auto"/>
          <w:lang w:eastAsia="zh-CN"/>
        </w:rPr>
      </w:pPr>
      <w:r>
        <w:rPr>
          <w:color w:val="auto"/>
        </w:rPr>
        <w:t>所有ACS患者从确诊到负荷量双抗给药时间在10分钟以内，有缩短趋势</w:t>
      </w:r>
      <w:r>
        <w:rPr>
          <w:rFonts w:hint="eastAsia"/>
          <w:color w:val="auto"/>
          <w:lang w:eastAsia="zh-CN"/>
        </w:rPr>
        <w:t>；</w:t>
      </w:r>
    </w:p>
    <w:p w14:paraId="66B41601">
      <w:pPr>
        <w:ind w:firstLine="480"/>
        <w:rPr>
          <w:rFonts w:hint="eastAsia" w:eastAsia="宋体"/>
          <w:color w:val="auto"/>
          <w:lang w:eastAsia="zh-CN"/>
        </w:rPr>
      </w:pPr>
      <w:r>
        <w:rPr>
          <w:color w:val="auto"/>
        </w:rPr>
        <w:t>所有STEMI患者（除使用第一代溶栓药者外）从确诊到静脉肝素抗凝给药时间在10分钟以内</w:t>
      </w:r>
      <w:r>
        <w:rPr>
          <w:rFonts w:hint="eastAsia"/>
          <w:color w:val="auto"/>
          <w:lang w:eastAsia="zh-CN"/>
        </w:rPr>
        <w:t>；</w:t>
      </w:r>
    </w:p>
    <w:p w14:paraId="5339B307">
      <w:pPr>
        <w:ind w:firstLine="480"/>
        <w:rPr>
          <w:rFonts w:hint="eastAsia" w:eastAsia="宋体"/>
          <w:color w:val="auto"/>
          <w:lang w:eastAsia="zh-CN"/>
        </w:rPr>
      </w:pPr>
      <w:r>
        <w:rPr>
          <w:color w:val="auto"/>
        </w:rPr>
        <w:t>对于溶栓（包括本院溶栓及转诊医院溶栓）治疗者，D-to-N时间缩短</w:t>
      </w:r>
      <w:r>
        <w:rPr>
          <w:rFonts w:hint="eastAsia"/>
          <w:color w:val="auto"/>
          <w:lang w:eastAsia="zh-CN"/>
        </w:rPr>
        <w:t>；</w:t>
      </w:r>
    </w:p>
    <w:p w14:paraId="7623AE1A">
      <w:pPr>
        <w:ind w:firstLine="480"/>
        <w:rPr>
          <w:rFonts w:hint="eastAsia" w:eastAsia="宋体"/>
          <w:color w:val="auto"/>
          <w:lang w:eastAsia="zh-CN"/>
        </w:rPr>
      </w:pPr>
      <w:r>
        <w:rPr>
          <w:color w:val="auto"/>
        </w:rPr>
        <w:t>对于溶栓（包括本院溶栓及转诊医院溶栓）治疗者，FMC-to-N时间缩短</w:t>
      </w:r>
      <w:r>
        <w:rPr>
          <w:rFonts w:hint="eastAsia"/>
          <w:color w:val="auto"/>
          <w:lang w:eastAsia="zh-CN"/>
        </w:rPr>
        <w:t>；</w:t>
      </w:r>
    </w:p>
    <w:p w14:paraId="0513BA09">
      <w:pPr>
        <w:ind w:firstLine="480"/>
        <w:rPr>
          <w:rFonts w:hint="eastAsia" w:eastAsia="宋体"/>
          <w:color w:val="auto"/>
          <w:lang w:eastAsia="zh-CN"/>
        </w:rPr>
      </w:pPr>
      <w:r>
        <w:rPr>
          <w:color w:val="auto"/>
        </w:rPr>
        <w:t>对于网络医院实施转运PCI患者，在网络医院的door-inanddoor-out(入门到出门）的时间在30分钟以内，若当前达不到，应有缩短趋势</w:t>
      </w:r>
      <w:r>
        <w:rPr>
          <w:rFonts w:hint="eastAsia"/>
          <w:color w:val="auto"/>
          <w:lang w:eastAsia="zh-CN"/>
        </w:rPr>
        <w:t>；</w:t>
      </w:r>
    </w:p>
    <w:p w14:paraId="28C26A7A">
      <w:pPr>
        <w:ind w:firstLine="480"/>
        <w:rPr>
          <w:rFonts w:hint="eastAsia" w:eastAsia="宋体"/>
          <w:color w:val="auto"/>
          <w:lang w:eastAsia="zh-CN"/>
        </w:rPr>
      </w:pPr>
      <w:r>
        <w:rPr>
          <w:color w:val="auto"/>
        </w:rPr>
        <w:t>STEMI患者中呼叫120入院的比例在增加</w:t>
      </w:r>
      <w:r>
        <w:rPr>
          <w:rFonts w:hint="eastAsia"/>
          <w:color w:val="auto"/>
          <w:lang w:eastAsia="zh-CN"/>
        </w:rPr>
        <w:t>；</w:t>
      </w:r>
    </w:p>
    <w:p w14:paraId="202A0A46">
      <w:pPr>
        <w:ind w:firstLine="480"/>
        <w:rPr>
          <w:rFonts w:hint="eastAsia" w:eastAsia="宋体"/>
          <w:color w:val="auto"/>
          <w:lang w:eastAsia="zh-CN"/>
        </w:rPr>
      </w:pPr>
      <w:r>
        <w:rPr>
          <w:color w:val="auto"/>
        </w:rPr>
        <w:t>STEMI患者发病后2小时内就诊的比例在增加</w:t>
      </w:r>
      <w:r>
        <w:rPr>
          <w:rFonts w:hint="eastAsia"/>
          <w:color w:val="auto"/>
          <w:lang w:eastAsia="zh-CN"/>
        </w:rPr>
        <w:t>；</w:t>
      </w:r>
    </w:p>
    <w:p w14:paraId="28C8313C">
      <w:pPr>
        <w:ind w:firstLine="480"/>
        <w:rPr>
          <w:rFonts w:hint="eastAsia" w:eastAsia="宋体"/>
          <w:color w:val="auto"/>
          <w:lang w:eastAsia="zh-CN"/>
        </w:rPr>
      </w:pPr>
      <w:r>
        <w:rPr>
          <w:color w:val="auto"/>
        </w:rPr>
        <w:t>主动脉或肺动脉CTA完成时间有缩短趋势（怀疑主动脉夹层或肺动脉栓塞的患者，计算从通知CT室到CT室完成准备的时间，要求小于30分钟）</w:t>
      </w:r>
      <w:r>
        <w:rPr>
          <w:rFonts w:hint="eastAsia"/>
          <w:color w:val="auto"/>
          <w:lang w:eastAsia="zh-CN"/>
        </w:rPr>
        <w:t>。</w:t>
      </w:r>
    </w:p>
    <w:p w14:paraId="537CAC90">
      <w:pPr>
        <w:ind w:firstLine="480"/>
        <w:rPr>
          <w:color w:val="auto"/>
        </w:rPr>
      </w:pPr>
      <w:r>
        <w:rPr>
          <w:color w:val="auto"/>
        </w:rPr>
        <w:t>2) 常态化质控指标包括：</w:t>
      </w:r>
    </w:p>
    <w:p w14:paraId="3F36C456">
      <w:pPr>
        <w:ind w:firstLine="480"/>
        <w:rPr>
          <w:rFonts w:hint="eastAsia" w:eastAsia="宋体"/>
          <w:color w:val="auto"/>
          <w:lang w:eastAsia="zh-CN"/>
        </w:rPr>
      </w:pPr>
      <w:r>
        <w:rPr>
          <w:color w:val="auto"/>
        </w:rPr>
        <w:t>对于自行来院或拨打本地120经救护车入院的所有急性胸痛患者，缩短了从首次医疗接触到完成首份心电图时间，且要求月平均小于10分钟</w:t>
      </w:r>
      <w:r>
        <w:rPr>
          <w:rFonts w:hint="eastAsia"/>
          <w:color w:val="auto"/>
          <w:lang w:eastAsia="zh-CN"/>
        </w:rPr>
        <w:t>；</w:t>
      </w:r>
    </w:p>
    <w:p w14:paraId="3DBDAEE1">
      <w:pPr>
        <w:ind w:firstLine="480"/>
        <w:rPr>
          <w:rFonts w:hint="eastAsia" w:eastAsia="宋体"/>
          <w:color w:val="auto"/>
          <w:lang w:eastAsia="zh-CN"/>
        </w:rPr>
      </w:pPr>
      <w:r>
        <w:rPr>
          <w:color w:val="auto"/>
        </w:rPr>
        <w:t>经救护车（包括呼叫本地120入院及由非PCI医院转诊患者）入院的STEMI患者，从急救现场或救护车远程传输心电图至胸痛中心（实时传输或微信等形式传输，但必须在云平台有客观记录）的比例不低于30%且在过去6个月内呈现增加趋势</w:t>
      </w:r>
      <w:r>
        <w:rPr>
          <w:rFonts w:hint="eastAsia"/>
          <w:color w:val="auto"/>
          <w:lang w:eastAsia="zh-CN"/>
        </w:rPr>
        <w:t>；</w:t>
      </w:r>
    </w:p>
    <w:p w14:paraId="729EA050">
      <w:pPr>
        <w:ind w:firstLine="480"/>
        <w:rPr>
          <w:rFonts w:hint="eastAsia" w:eastAsia="宋体"/>
          <w:color w:val="auto"/>
          <w:lang w:eastAsia="zh-CN"/>
        </w:rPr>
      </w:pPr>
      <w:r>
        <w:rPr>
          <w:color w:val="auto"/>
        </w:rPr>
        <w:t>发病至首次医疗接触在12小时以内的STEMI患者实施再灌注救治的比例不低于75%</w:t>
      </w:r>
      <w:r>
        <w:rPr>
          <w:rFonts w:hint="eastAsia"/>
          <w:color w:val="auto"/>
          <w:lang w:eastAsia="zh-CN"/>
        </w:rPr>
        <w:t>；</w:t>
      </w:r>
    </w:p>
    <w:p w14:paraId="614B840A">
      <w:pPr>
        <w:ind w:firstLine="480"/>
        <w:rPr>
          <w:rFonts w:hint="eastAsia" w:eastAsia="宋体"/>
          <w:color w:val="auto"/>
          <w:lang w:eastAsia="zh-CN"/>
        </w:rPr>
      </w:pPr>
      <w:r>
        <w:rPr>
          <w:color w:val="auto"/>
        </w:rPr>
        <w:t>对于接受PPCI治疗的STEMI患者，月平均入门-导丝通过时间不超过90分钟，且达标率不低于75%；若当前无法达到，则应呈现改进趋势，且应制订促进持续改进的措施，确保在通过认证后1年内逐步达到上述要求</w:t>
      </w:r>
      <w:r>
        <w:rPr>
          <w:rFonts w:hint="eastAsia"/>
          <w:color w:val="auto"/>
          <w:lang w:eastAsia="zh-CN"/>
        </w:rPr>
        <w:t>；</w:t>
      </w:r>
    </w:p>
    <w:p w14:paraId="462B0543">
      <w:pPr>
        <w:ind w:firstLine="480"/>
        <w:rPr>
          <w:rFonts w:hint="eastAsia" w:eastAsia="宋体"/>
          <w:color w:val="auto"/>
          <w:lang w:eastAsia="zh-CN"/>
        </w:rPr>
      </w:pPr>
      <w:r>
        <w:rPr>
          <w:color w:val="auto"/>
        </w:rPr>
        <w:t>网络医院转至本院实施转运PCI的STEMI患者首次医疗接触到导丝通过时间应在120分钟以内，月平均达标率不低于50%</w:t>
      </w:r>
      <w:r>
        <w:rPr>
          <w:rFonts w:hint="eastAsia"/>
          <w:color w:val="auto"/>
          <w:lang w:eastAsia="zh-CN"/>
        </w:rPr>
        <w:t>；</w:t>
      </w:r>
    </w:p>
    <w:p w14:paraId="1BF3F3A4">
      <w:pPr>
        <w:ind w:firstLine="480"/>
        <w:rPr>
          <w:rFonts w:hint="eastAsia" w:eastAsia="宋体"/>
          <w:color w:val="auto"/>
          <w:lang w:eastAsia="zh-CN"/>
        </w:rPr>
      </w:pPr>
      <w:r>
        <w:rPr>
          <w:color w:val="auto"/>
        </w:rPr>
        <w:t>自行来院且接受PPCI治疗的STEMI患者，绕行CCU从急诊科直接送入导管室的比例不低于75%，且呈现增高趋势</w:t>
      </w:r>
      <w:r>
        <w:rPr>
          <w:rFonts w:hint="eastAsia"/>
          <w:color w:val="auto"/>
          <w:lang w:eastAsia="zh-CN"/>
        </w:rPr>
        <w:t>；</w:t>
      </w:r>
    </w:p>
    <w:p w14:paraId="1C8A9B76">
      <w:pPr>
        <w:ind w:firstLine="480"/>
        <w:rPr>
          <w:rFonts w:hint="eastAsia" w:eastAsia="宋体"/>
          <w:color w:val="auto"/>
          <w:lang w:eastAsia="zh-CN"/>
        </w:rPr>
      </w:pPr>
      <w:r>
        <w:rPr>
          <w:color w:val="auto"/>
        </w:rPr>
        <w:t>对于网络医院实施转运PCI患者，在网络医院的door-in and door-out(入门到出门）的时间在30分钟以内，若当前达不到，应有缩短趋势</w:t>
      </w:r>
      <w:r>
        <w:rPr>
          <w:rFonts w:hint="eastAsia"/>
          <w:color w:val="auto"/>
          <w:lang w:eastAsia="zh-CN"/>
        </w:rPr>
        <w:t>；</w:t>
      </w:r>
    </w:p>
    <w:p w14:paraId="594B343B">
      <w:pPr>
        <w:ind w:firstLine="480"/>
        <w:rPr>
          <w:rFonts w:hint="eastAsia" w:eastAsia="宋体"/>
          <w:color w:val="auto"/>
          <w:lang w:eastAsia="zh-CN"/>
        </w:rPr>
      </w:pPr>
      <w:r>
        <w:rPr>
          <w:color w:val="auto"/>
        </w:rPr>
        <w:t>STEMI患者发病后2小时内就诊的比例在增加</w:t>
      </w:r>
      <w:r>
        <w:rPr>
          <w:rFonts w:hint="eastAsia"/>
          <w:color w:val="auto"/>
          <w:lang w:eastAsia="zh-CN"/>
        </w:rPr>
        <w:t>；</w:t>
      </w:r>
    </w:p>
    <w:p w14:paraId="3273BA20">
      <w:pPr>
        <w:ind w:firstLine="480"/>
        <w:rPr>
          <w:rFonts w:hint="eastAsia" w:eastAsia="宋体"/>
          <w:color w:val="auto"/>
          <w:lang w:eastAsia="zh-CN"/>
        </w:rPr>
      </w:pPr>
      <w:r>
        <w:rPr>
          <w:color w:val="auto"/>
        </w:rPr>
        <w:t>高危胸痛患者数据填报量</w:t>
      </w:r>
      <w:r>
        <w:rPr>
          <w:rFonts w:hint="eastAsia"/>
          <w:color w:val="auto"/>
          <w:lang w:eastAsia="zh-CN"/>
        </w:rPr>
        <w:t>；</w:t>
      </w:r>
    </w:p>
    <w:p w14:paraId="2CD76630">
      <w:pPr>
        <w:ind w:firstLine="480"/>
        <w:rPr>
          <w:rFonts w:hint="eastAsia" w:eastAsia="宋体"/>
          <w:color w:val="auto"/>
          <w:lang w:eastAsia="zh-CN"/>
        </w:rPr>
      </w:pPr>
      <w:r>
        <w:rPr>
          <w:color w:val="auto"/>
        </w:rPr>
        <w:t>数据库管理时效性：及时建档率</w:t>
      </w:r>
      <w:r>
        <w:rPr>
          <w:rFonts w:hint="eastAsia"/>
          <w:color w:val="auto"/>
          <w:lang w:eastAsia="zh-CN"/>
        </w:rPr>
        <w:t>；</w:t>
      </w:r>
    </w:p>
    <w:p w14:paraId="2BB86C5C">
      <w:pPr>
        <w:ind w:firstLine="480"/>
        <w:rPr>
          <w:color w:val="auto"/>
        </w:rPr>
      </w:pPr>
      <w:r>
        <w:rPr>
          <w:color w:val="auto"/>
        </w:rPr>
        <w:t>系统使用情况分析：对系统实际使用情况进行统计分析，掌握系统实际使用情况，用数据来定位问题、分析问题，找出系统落地难题，以采取有针对性的措施进行改进，让系统更好贴合临床救治场景，切实服务于医生与患者。</w:t>
      </w:r>
    </w:p>
    <w:p w14:paraId="79B74329">
      <w:pPr>
        <w:ind w:firstLine="482"/>
        <w:rPr>
          <w:b/>
          <w:bCs/>
          <w:color w:val="auto"/>
        </w:rPr>
      </w:pPr>
      <w:bookmarkStart w:id="138" w:name="_bookmark31"/>
      <w:bookmarkEnd w:id="138"/>
      <w:bookmarkStart w:id="139" w:name="_Toc31266"/>
      <w:bookmarkStart w:id="140" w:name="_Toc9629"/>
      <w:bookmarkStart w:id="141" w:name="_Toc150931651"/>
      <w:r>
        <w:rPr>
          <w:b/>
          <w:bCs/>
          <w:color w:val="auto"/>
        </w:rPr>
        <w:t>胸痛</w:t>
      </w:r>
      <w:bookmarkEnd w:id="139"/>
      <w:bookmarkEnd w:id="140"/>
      <w:r>
        <w:rPr>
          <w:b/>
          <w:bCs/>
          <w:color w:val="auto"/>
        </w:rPr>
        <w:t>多媒体大屏综合展示系统</w:t>
      </w:r>
      <w:bookmarkEnd w:id="141"/>
    </w:p>
    <w:p w14:paraId="1101CEF0">
      <w:pPr>
        <w:ind w:firstLine="480"/>
        <w:rPr>
          <w:color w:val="auto"/>
        </w:rPr>
      </w:pPr>
      <w:r>
        <w:rPr>
          <w:color w:val="auto"/>
        </w:rPr>
        <w:t>胸痛多媒体大屏综合展示系统可实时展示医院胸痛中心所有接诊病人诊疗时间节点和诊疗状态，救治量及救治方式统计、绿色通道关键指标达标情况、救治质量、胸痛病因占比和转归信息。</w:t>
      </w:r>
    </w:p>
    <w:p w14:paraId="3C02C570">
      <w:pPr>
        <w:ind w:firstLine="482"/>
        <w:rPr>
          <w:b/>
          <w:bCs/>
          <w:color w:val="auto"/>
        </w:rPr>
      </w:pPr>
      <w:bookmarkStart w:id="142" w:name="_Toc150931652"/>
      <w:r>
        <w:rPr>
          <w:b/>
          <w:bCs/>
          <w:color w:val="auto"/>
        </w:rPr>
        <w:t>胸痛中心直报系统</w:t>
      </w:r>
      <w:bookmarkEnd w:id="142"/>
    </w:p>
    <w:p w14:paraId="5970369E">
      <w:pPr>
        <w:ind w:firstLine="480"/>
        <w:rPr>
          <w:color w:val="auto"/>
        </w:rPr>
      </w:pPr>
      <w:r>
        <w:rPr>
          <w:color w:val="auto"/>
        </w:rPr>
        <w:t>胸痛中心直报系统支持通过人工或系统审核校验后，将胸痛患者的档案自动上传至国家胸痛中心数据填报平台，完成胸痛中心认证标准所要求有效信息的准确录入。基于内置规则库，进行合规及有效性检查并予以提示。支持上报纠错功能，上报数据时自动提示数据缺失项，数据极值以及质控不合格数据，注明错误原因并能快速跳转相应字段位置进行检查校对。</w:t>
      </w:r>
    </w:p>
    <w:p w14:paraId="3F75FB74">
      <w:pPr>
        <w:pStyle w:val="14"/>
        <w:bidi w:val="0"/>
        <w:rPr>
          <w:color w:val="auto"/>
        </w:rPr>
      </w:pPr>
      <w:r>
        <w:rPr>
          <w:rFonts w:hint="eastAsia"/>
          <w:color w:val="auto"/>
        </w:rPr>
        <w:t>卒中中心</w:t>
      </w:r>
    </w:p>
    <w:p w14:paraId="39BD2174">
      <w:pPr>
        <w:ind w:firstLine="480"/>
        <w:rPr>
          <w:color w:val="auto"/>
          <w:shd w:val="clear" w:color="auto" w:fill="FFFFFF"/>
        </w:rPr>
      </w:pPr>
      <w:r>
        <w:rPr>
          <w:color w:val="auto"/>
          <w:shd w:val="clear" w:color="auto" w:fill="FFFFFF"/>
        </w:rPr>
        <w:t>卒中急救管理系统覆盖缺血及出血性卒中救治流程，可结合IOT设备完成关键时间节点的自动采集，实时质控以及审核过程的数据溯源、避免了数据错填以及漏填的情况，系统亦可对接国家脑防委完成上报，确保数据真实准确。通过本系统可解决急性卒中患者救治全流程中“绿道流程不通畅”，“手工记录数据错填漏填”等问题，起到优化急危重症中心绿道救治流程，节省医护及数据上报人员工作量，提高关键指标录入效率及准确率的作用。</w:t>
      </w:r>
    </w:p>
    <w:p w14:paraId="1F4C64E9">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4DF78508">
      <w:pPr>
        <w:ind w:firstLine="482"/>
        <w:rPr>
          <w:b/>
          <w:bCs/>
          <w:color w:val="auto"/>
        </w:rPr>
      </w:pPr>
      <w:bookmarkStart w:id="143" w:name="_Toc150931658"/>
      <w:r>
        <w:rPr>
          <w:b/>
          <w:bCs/>
          <w:color w:val="auto"/>
        </w:rPr>
        <w:t>卒中急救车端系统</w:t>
      </w:r>
      <w:bookmarkEnd w:id="143"/>
    </w:p>
    <w:p w14:paraId="288F7B98">
      <w:pPr>
        <w:ind w:firstLine="480"/>
        <w:rPr>
          <w:color w:val="auto"/>
          <w:shd w:val="clear" w:color="auto" w:fill="FFFFFF"/>
        </w:rPr>
      </w:pPr>
      <w:r>
        <w:rPr>
          <w:color w:val="auto"/>
          <w:shd w:val="clear" w:color="auto" w:fill="FFFFFF"/>
        </w:rPr>
        <w:t>卒中急救车端系统旨在打通120救护与院内救治壁垒，实现院前与院内救治流程无缝对接，让救护车成为救治第一现场。在救护车上新建病患，采集患者基础信息、生命体征、检验检查，病史采集和脑卒中专科评分，进行院前诊断，并根据情况发起远程会诊；院内远程会诊结果及绕行指令返回车端，支持一键启动院内卒中绿色通道。</w:t>
      </w:r>
    </w:p>
    <w:p w14:paraId="37FD2E70">
      <w:pPr>
        <w:ind w:firstLine="482"/>
        <w:rPr>
          <w:b/>
          <w:bCs/>
          <w:color w:val="auto"/>
        </w:rPr>
      </w:pPr>
      <w:bookmarkStart w:id="144" w:name="_Toc150931659"/>
      <w:r>
        <w:rPr>
          <w:b/>
          <w:bCs/>
          <w:color w:val="auto"/>
        </w:rPr>
        <w:t>卒中站点转诊辅助系统</w:t>
      </w:r>
      <w:bookmarkEnd w:id="144"/>
    </w:p>
    <w:p w14:paraId="11A13EAF">
      <w:pPr>
        <w:ind w:firstLine="480"/>
        <w:rPr>
          <w:color w:val="auto"/>
          <w:shd w:val="clear" w:color="auto" w:fill="FFFFFF"/>
        </w:rPr>
      </w:pPr>
      <w:r>
        <w:rPr>
          <w:color w:val="auto"/>
          <w:shd w:val="clear" w:color="auto" w:fill="FFFFFF"/>
        </w:rPr>
        <w:t>针对卒中中心签约网络医院，提供轻量级卒中站点系统，基层医务人员通过微信小程序快速记录患者基层救治关键信息，并实时同步至上级医院。</w:t>
      </w:r>
    </w:p>
    <w:p w14:paraId="2EE6DD95">
      <w:pPr>
        <w:ind w:firstLine="482"/>
        <w:rPr>
          <w:b/>
          <w:bCs/>
          <w:color w:val="auto"/>
        </w:rPr>
      </w:pPr>
      <w:bookmarkStart w:id="145" w:name="_Toc150931660"/>
      <w:r>
        <w:rPr>
          <w:b/>
          <w:bCs/>
          <w:color w:val="auto"/>
        </w:rPr>
        <w:t>卒中绿色通道救治数据管理系统</w:t>
      </w:r>
      <w:bookmarkEnd w:id="145"/>
    </w:p>
    <w:p w14:paraId="0B639CFD">
      <w:pPr>
        <w:ind w:firstLine="480"/>
        <w:rPr>
          <w:color w:val="auto"/>
          <w:shd w:val="clear" w:color="auto" w:fill="FFFFFF"/>
        </w:rPr>
      </w:pPr>
      <w:r>
        <w:rPr>
          <w:color w:val="auto"/>
          <w:shd w:val="clear" w:color="auto" w:fill="FFFFFF"/>
        </w:rPr>
        <w:t>卒中绿色通道救治数据管理系统支持在移动端、专科工作站完成，最大程度方便医护人员使用。流程覆盖到急诊科、神内科、CT室、溶栓室、介入室、EICU等所有救治场景的每一个环节，能够满足标准化卒中防治中心要求的关键医疗行为的记录。</w:t>
      </w:r>
    </w:p>
    <w:p w14:paraId="51843439">
      <w:pPr>
        <w:ind w:firstLine="480"/>
        <w:rPr>
          <w:color w:val="auto"/>
          <w:shd w:val="clear" w:color="auto" w:fill="FFFFFF"/>
        </w:rPr>
      </w:pPr>
      <w:r>
        <w:rPr>
          <w:color w:val="auto"/>
          <w:shd w:val="clear" w:color="auto" w:fill="FFFFFF"/>
        </w:rPr>
        <w:t>系统以急诊脑卒中患者为中心，以急诊脑卒中患者诊疗路径为主线，通过移动终端采集急诊卒中患者全程详细的诊疗信息。救治过程中医护人员可以通过系统，实现患者救治过程中重要时间节点采集，智能通知相关科室，检验检查结果反馈。支持对患者进行专科评分。</w:t>
      </w:r>
    </w:p>
    <w:p w14:paraId="279B67AD">
      <w:pPr>
        <w:ind w:firstLine="480"/>
        <w:rPr>
          <w:color w:val="auto"/>
          <w:shd w:val="clear" w:color="auto" w:fill="FFFFFF"/>
        </w:rPr>
      </w:pPr>
      <w:r>
        <w:rPr>
          <w:color w:val="auto"/>
          <w:shd w:val="clear" w:color="auto" w:fill="FFFFFF"/>
        </w:rPr>
        <w:t>基于卒中全流程救治过程中产生的数据，包括卒中患者基本信息、诊断病因、术后转归情况等，分析并明确本院接诊的脑卒中患者的发病情况、年龄分布、死亡率、救治率、溶栓率等分布，为卒中专病研究提供有力支持。</w:t>
      </w:r>
    </w:p>
    <w:p w14:paraId="337F7363">
      <w:pPr>
        <w:ind w:firstLine="482"/>
        <w:rPr>
          <w:b/>
          <w:bCs/>
          <w:color w:val="auto"/>
        </w:rPr>
      </w:pPr>
      <w:bookmarkStart w:id="146" w:name="_Toc150931661"/>
      <w:r>
        <w:rPr>
          <w:b/>
          <w:bCs/>
          <w:color w:val="auto"/>
        </w:rPr>
        <w:t>卒中绿色通道救治协同应用</w:t>
      </w:r>
      <w:bookmarkEnd w:id="146"/>
    </w:p>
    <w:p w14:paraId="77C0E0EB">
      <w:pPr>
        <w:ind w:firstLine="480"/>
        <w:rPr>
          <w:color w:val="auto"/>
          <w:shd w:val="clear" w:color="auto" w:fill="FFFFFF"/>
        </w:rPr>
      </w:pPr>
      <w:r>
        <w:rPr>
          <w:color w:val="auto"/>
          <w:shd w:val="clear" w:color="auto" w:fill="FFFFFF"/>
        </w:rPr>
        <w:t>为保证急救信息能准确及时地传递到相关急救人员手中，系统需要具备多渠道、多方式、多频次的通知通告能力。</w:t>
      </w:r>
    </w:p>
    <w:p w14:paraId="2D3D544D">
      <w:pPr>
        <w:ind w:firstLine="480"/>
        <w:rPr>
          <w:color w:val="auto"/>
          <w:shd w:val="clear" w:color="auto" w:fill="FFFFFF"/>
        </w:rPr>
      </w:pPr>
      <w:r>
        <w:rPr>
          <w:color w:val="auto"/>
          <w:shd w:val="clear" w:color="auto" w:fill="FFFFFF"/>
        </w:rPr>
        <w:t>系统实现病患救治过程任意场景，实现同步通知多科室、多名医护人员，同步所有救治信息并进行记录。系统支持智能通话、短信、应用端报警多种形式的消息推送，实现跨终端的消息实时推送目标，避免救治延误，可促使救治团队快速反应，提高救治效率。</w:t>
      </w:r>
    </w:p>
    <w:p w14:paraId="4B48E36D">
      <w:pPr>
        <w:ind w:firstLine="482"/>
        <w:rPr>
          <w:b/>
          <w:bCs/>
          <w:color w:val="auto"/>
        </w:rPr>
      </w:pPr>
      <w:bookmarkStart w:id="147" w:name="_Toc150931662"/>
      <w:r>
        <w:rPr>
          <w:b/>
          <w:bCs/>
          <w:color w:val="auto"/>
        </w:rPr>
        <w:t>卒中患者时间采集管理(基于IOT)</w:t>
      </w:r>
      <w:bookmarkEnd w:id="147"/>
    </w:p>
    <w:p w14:paraId="1BBEDCA7">
      <w:pPr>
        <w:ind w:firstLine="480"/>
        <w:rPr>
          <w:color w:val="auto"/>
          <w:lang w:val="zh-CN" w:bidi="zh-CN"/>
        </w:rPr>
      </w:pPr>
      <w:r>
        <w:rPr>
          <w:color w:val="auto"/>
          <w:shd w:val="clear" w:color="auto" w:fill="FFFFFF"/>
        </w:rPr>
        <w:t>基于物联网(InternetofThings，缩写为IOT，)又称传感网，将无线射频识别（RFID）装置与互联网结合起来而形成的一个巨大网络。患者时间采集管理，将在急诊科、CT室、溶栓室、介入室、NICU（选配）部署RFID装置，患者戴定位手环，经过定位基站后通过有源RFID标签腕带和感应距离可调的传感器，自动记录卒中绿色通道中患者救治关键环节的执行情况，自动采集患者到达急诊科、CT室、溶栓室、介入室、NICU（选配）就医全程时间节点，方便救治数据质量管理，优化救治流程。</w:t>
      </w:r>
    </w:p>
    <w:p w14:paraId="4F0668F1">
      <w:pPr>
        <w:ind w:firstLine="482"/>
        <w:rPr>
          <w:b/>
          <w:bCs/>
          <w:color w:val="auto"/>
        </w:rPr>
      </w:pPr>
      <w:bookmarkStart w:id="148" w:name="_Toc150931663"/>
      <w:r>
        <w:rPr>
          <w:b/>
          <w:bCs/>
          <w:color w:val="auto"/>
        </w:rPr>
        <w:t>卒中中心数据分析与质控系统</w:t>
      </w:r>
      <w:bookmarkEnd w:id="148"/>
    </w:p>
    <w:p w14:paraId="0066E8B8">
      <w:pPr>
        <w:ind w:firstLine="480"/>
        <w:rPr>
          <w:color w:val="auto"/>
          <w:shd w:val="clear" w:color="auto" w:fill="FFFFFF"/>
        </w:rPr>
      </w:pPr>
      <w:r>
        <w:rPr>
          <w:color w:val="auto"/>
          <w:shd w:val="clear" w:color="auto" w:fill="FFFFFF"/>
        </w:rPr>
        <w:t>卒中中心数据分析与质控系统是对医疗服务活动的有效记录，根据各时间节点，反复评估和评价卒中救治方式的有效性，进而为进一步优化急救流程、建立长久有效的救治路径、科学有效的考评医护人员绩效提供有力依据。</w:t>
      </w:r>
    </w:p>
    <w:p w14:paraId="23741321">
      <w:pPr>
        <w:ind w:firstLine="480"/>
        <w:rPr>
          <w:color w:val="auto"/>
          <w:shd w:val="clear" w:color="auto" w:fill="FFFFFF"/>
        </w:rPr>
      </w:pPr>
      <w:r>
        <w:rPr>
          <w:color w:val="auto"/>
          <w:shd w:val="clear" w:color="auto" w:fill="FFFFFF"/>
        </w:rPr>
        <w:t>数据分析部分提供查看数据概览，可以查看卒中中心病患数据分类统计、脑梗死患者分析、脑出血患者分类统计及质控达标情况、动脉瘤患者分析和系统使用情况、颈动脉狭窄患者分析，卒中患者按照新增病患类型，诊断类型救治措施做统计，多维统计患者救治情况。</w:t>
      </w:r>
    </w:p>
    <w:p w14:paraId="2776F110">
      <w:pPr>
        <w:widowControl/>
        <w:ind w:firstLine="480"/>
        <w:rPr>
          <w:color w:val="auto"/>
        </w:rPr>
      </w:pPr>
      <w:r>
        <w:rPr>
          <w:color w:val="auto"/>
        </w:rPr>
        <w:t>质控指标区分院内全量数据质控和上报数据质控，在满足院内全量救治数据质控要求的同时也能满足卒中中心要求，确保院内信息化与中心数据一致。质控指标</w:t>
      </w:r>
      <w:r>
        <w:rPr>
          <w:color w:val="auto"/>
          <w:lang w:bidi="ar"/>
        </w:rPr>
        <w:t>包含：</w:t>
      </w:r>
    </w:p>
    <w:p w14:paraId="3A55413D">
      <w:pPr>
        <w:numPr>
          <w:ilvl w:val="0"/>
          <w:numId w:val="42"/>
        </w:numPr>
        <w:ind w:left="0" w:firstLine="480" w:firstLineChars="200"/>
        <w:rPr>
          <w:color w:val="auto"/>
          <w:lang w:val="zh-CN" w:bidi="zh-CN"/>
        </w:rPr>
      </w:pPr>
      <w:r>
        <w:rPr>
          <w:color w:val="auto"/>
          <w:lang w:val="zh-CN" w:bidi="zh-CN"/>
        </w:rPr>
        <w:t>脑防委卒中中心质控指标</w:t>
      </w:r>
    </w:p>
    <w:p w14:paraId="60716DBE">
      <w:pPr>
        <w:numPr>
          <w:ilvl w:val="0"/>
          <w:numId w:val="43"/>
        </w:numPr>
        <w:ind w:left="5" w:leftChars="0" w:firstLine="475" w:firstLineChars="0"/>
        <w:rPr>
          <w:color w:val="auto"/>
          <w:kern w:val="0"/>
          <w:lang w:bidi="ar"/>
        </w:rPr>
      </w:pPr>
      <w:r>
        <w:rPr>
          <w:color w:val="auto"/>
          <w:kern w:val="0"/>
          <w:lang w:bidi="ar"/>
        </w:rPr>
        <w:t>上月/季/年度急性卒中（非溶栓/取栓）患者完成NIHSS评分比率</w:t>
      </w:r>
      <w:r>
        <w:rPr>
          <w:rFonts w:hint="eastAsia"/>
          <w:color w:val="auto"/>
          <w:kern w:val="0"/>
          <w:lang w:eastAsia="zh-CN" w:bidi="ar"/>
        </w:rPr>
        <w:t>。</w:t>
      </w:r>
    </w:p>
    <w:p w14:paraId="7917B36C">
      <w:pPr>
        <w:numPr>
          <w:ilvl w:val="0"/>
          <w:numId w:val="43"/>
        </w:numPr>
        <w:ind w:left="5" w:leftChars="0" w:firstLine="475" w:firstLineChars="0"/>
        <w:rPr>
          <w:color w:val="auto"/>
          <w:kern w:val="0"/>
          <w:lang w:bidi="ar"/>
        </w:rPr>
      </w:pPr>
      <w:r>
        <w:rPr>
          <w:color w:val="auto"/>
          <w:kern w:val="0"/>
          <w:lang w:bidi="ar"/>
        </w:rPr>
        <w:t>上月/季/年度完成静脉溶栓例数</w:t>
      </w:r>
      <w:r>
        <w:rPr>
          <w:rFonts w:hint="eastAsia"/>
          <w:color w:val="auto"/>
          <w:kern w:val="0"/>
          <w:lang w:eastAsia="zh-CN" w:bidi="ar"/>
        </w:rPr>
        <w:t>。</w:t>
      </w:r>
    </w:p>
    <w:p w14:paraId="5A4A66B3">
      <w:pPr>
        <w:numPr>
          <w:ilvl w:val="0"/>
          <w:numId w:val="43"/>
        </w:numPr>
        <w:ind w:left="5" w:leftChars="0" w:firstLine="475" w:firstLineChars="0"/>
        <w:rPr>
          <w:color w:val="auto"/>
          <w:kern w:val="0"/>
          <w:lang w:bidi="ar"/>
        </w:rPr>
      </w:pPr>
      <w:r>
        <w:rPr>
          <w:color w:val="auto"/>
          <w:kern w:val="0"/>
          <w:lang w:bidi="ar"/>
        </w:rPr>
        <w:t>上月/季/年度入院到开始静脉溶栓治疗时间（DNT）中位数</w:t>
      </w:r>
      <w:r>
        <w:rPr>
          <w:rFonts w:hint="eastAsia"/>
          <w:color w:val="auto"/>
          <w:kern w:val="0"/>
          <w:lang w:eastAsia="zh-CN" w:bidi="ar"/>
        </w:rPr>
        <w:t>。</w:t>
      </w:r>
    </w:p>
    <w:p w14:paraId="65B9E920">
      <w:pPr>
        <w:numPr>
          <w:ilvl w:val="0"/>
          <w:numId w:val="43"/>
        </w:numPr>
        <w:ind w:left="5" w:leftChars="0" w:firstLine="475" w:firstLineChars="0"/>
        <w:rPr>
          <w:color w:val="auto"/>
          <w:kern w:val="0"/>
          <w:lang w:bidi="ar"/>
        </w:rPr>
      </w:pPr>
      <w:r>
        <w:rPr>
          <w:color w:val="auto"/>
          <w:kern w:val="0"/>
          <w:lang w:bidi="ar"/>
        </w:rPr>
        <w:t>上月/季/年度入院到股动脉穿刺时间（DPT）中位数</w:t>
      </w:r>
      <w:r>
        <w:rPr>
          <w:rFonts w:hint="eastAsia"/>
          <w:color w:val="auto"/>
          <w:kern w:val="0"/>
          <w:lang w:eastAsia="zh-CN" w:bidi="ar"/>
        </w:rPr>
        <w:t>。</w:t>
      </w:r>
    </w:p>
    <w:p w14:paraId="0BF6DFF9">
      <w:pPr>
        <w:numPr>
          <w:ilvl w:val="0"/>
          <w:numId w:val="43"/>
        </w:numPr>
        <w:ind w:left="5" w:leftChars="0" w:firstLine="475" w:firstLineChars="0"/>
        <w:rPr>
          <w:color w:val="auto"/>
          <w:kern w:val="0"/>
          <w:lang w:bidi="ar"/>
        </w:rPr>
      </w:pPr>
      <w:r>
        <w:rPr>
          <w:color w:val="auto"/>
          <w:kern w:val="0"/>
          <w:lang w:bidi="ar"/>
        </w:rPr>
        <w:t>上月/季/年度在院神内病房急性脑卒中患者（未溶栓/取栓）完成NIHSS评分者所占比率</w:t>
      </w:r>
      <w:r>
        <w:rPr>
          <w:rFonts w:hint="eastAsia"/>
          <w:color w:val="auto"/>
          <w:kern w:val="0"/>
          <w:lang w:eastAsia="zh-CN" w:bidi="ar"/>
        </w:rPr>
        <w:t>。</w:t>
      </w:r>
    </w:p>
    <w:p w14:paraId="2FA18256">
      <w:pPr>
        <w:numPr>
          <w:ilvl w:val="0"/>
          <w:numId w:val="43"/>
        </w:numPr>
        <w:ind w:left="5" w:leftChars="0" w:firstLine="475" w:firstLineChars="0"/>
        <w:rPr>
          <w:color w:val="auto"/>
          <w:kern w:val="0"/>
          <w:lang w:bidi="ar"/>
        </w:rPr>
      </w:pPr>
      <w:r>
        <w:rPr>
          <w:color w:val="auto"/>
          <w:kern w:val="0"/>
          <w:lang w:bidi="ar"/>
        </w:rPr>
        <w:t>上月/季/年度住院卒中患者完成病情程度量化评估的比率</w:t>
      </w:r>
      <w:r>
        <w:rPr>
          <w:rFonts w:hint="eastAsia"/>
          <w:color w:val="auto"/>
          <w:kern w:val="0"/>
          <w:lang w:eastAsia="zh-CN" w:bidi="ar"/>
        </w:rPr>
        <w:t>。</w:t>
      </w:r>
    </w:p>
    <w:p w14:paraId="7A055BAC">
      <w:pPr>
        <w:numPr>
          <w:ilvl w:val="0"/>
          <w:numId w:val="43"/>
        </w:numPr>
        <w:ind w:left="5" w:leftChars="0" w:firstLine="475" w:firstLineChars="0"/>
        <w:rPr>
          <w:color w:val="auto"/>
          <w:kern w:val="0"/>
          <w:lang w:bidi="ar"/>
        </w:rPr>
      </w:pPr>
      <w:r>
        <w:rPr>
          <w:color w:val="auto"/>
          <w:kern w:val="0"/>
          <w:lang w:bidi="ar"/>
        </w:rPr>
        <w:t>上月/季/年度住院缺血性卒中患者依据脑防委制定的相关规范开展治疗及早期康复方案</w:t>
      </w:r>
      <w:r>
        <w:rPr>
          <w:rFonts w:hint="eastAsia"/>
          <w:color w:val="auto"/>
          <w:kern w:val="0"/>
          <w:lang w:eastAsia="zh-CN" w:bidi="ar"/>
        </w:rPr>
        <w:t>。</w:t>
      </w:r>
    </w:p>
    <w:p w14:paraId="137B5DE9">
      <w:pPr>
        <w:numPr>
          <w:ilvl w:val="0"/>
          <w:numId w:val="43"/>
        </w:numPr>
        <w:ind w:left="5" w:leftChars="0" w:firstLine="475" w:firstLineChars="0"/>
        <w:rPr>
          <w:color w:val="auto"/>
          <w:kern w:val="0"/>
          <w:lang w:bidi="ar"/>
        </w:rPr>
      </w:pPr>
      <w:r>
        <w:rPr>
          <w:color w:val="auto"/>
          <w:kern w:val="0"/>
          <w:lang w:bidi="ar"/>
        </w:rPr>
        <w:t>上月/季/年度缺血性卒中患者完成脑、颈血管CTA和/或MRA，或血管超声等检查评估的完成率（48h内）</w:t>
      </w:r>
      <w:r>
        <w:rPr>
          <w:rFonts w:hint="eastAsia"/>
          <w:color w:val="auto"/>
          <w:kern w:val="0"/>
          <w:lang w:eastAsia="zh-CN" w:bidi="ar"/>
        </w:rPr>
        <w:t>。</w:t>
      </w:r>
    </w:p>
    <w:p w14:paraId="145BA5FB">
      <w:pPr>
        <w:numPr>
          <w:ilvl w:val="0"/>
          <w:numId w:val="43"/>
        </w:numPr>
        <w:ind w:left="5" w:leftChars="0" w:firstLine="475" w:firstLineChars="0"/>
        <w:rPr>
          <w:color w:val="auto"/>
          <w:kern w:val="0"/>
          <w:lang w:bidi="ar"/>
        </w:rPr>
      </w:pPr>
      <w:r>
        <w:rPr>
          <w:color w:val="auto"/>
          <w:kern w:val="0"/>
          <w:lang w:bidi="ar"/>
        </w:rPr>
        <w:t>上月/季/年度完成急性缺血性卒中介入再通例数（桥接或直接取栓）</w:t>
      </w:r>
      <w:r>
        <w:rPr>
          <w:rFonts w:hint="eastAsia"/>
          <w:color w:val="auto"/>
          <w:kern w:val="0"/>
          <w:lang w:eastAsia="zh-CN" w:bidi="ar"/>
        </w:rPr>
        <w:t>。</w:t>
      </w:r>
    </w:p>
    <w:p w14:paraId="594E0E59">
      <w:pPr>
        <w:numPr>
          <w:ilvl w:val="0"/>
          <w:numId w:val="43"/>
        </w:numPr>
        <w:ind w:left="5" w:leftChars="0" w:firstLine="475" w:firstLineChars="0"/>
        <w:rPr>
          <w:color w:val="auto"/>
          <w:kern w:val="0"/>
          <w:lang w:bidi="ar"/>
        </w:rPr>
      </w:pPr>
      <w:r>
        <w:rPr>
          <w:color w:val="auto"/>
          <w:kern w:val="0"/>
          <w:lang w:bidi="ar"/>
        </w:rPr>
        <w:t>上月/季/年度完成CAS手术例数</w:t>
      </w:r>
      <w:r>
        <w:rPr>
          <w:rFonts w:hint="eastAsia"/>
          <w:color w:val="auto"/>
          <w:kern w:val="0"/>
          <w:lang w:eastAsia="zh-CN" w:bidi="ar"/>
        </w:rPr>
        <w:t>。</w:t>
      </w:r>
    </w:p>
    <w:p w14:paraId="25F8E157">
      <w:pPr>
        <w:numPr>
          <w:ilvl w:val="0"/>
          <w:numId w:val="43"/>
        </w:numPr>
        <w:ind w:left="5" w:leftChars="0" w:firstLine="475" w:firstLineChars="0"/>
        <w:rPr>
          <w:color w:val="auto"/>
          <w:kern w:val="0"/>
          <w:lang w:bidi="ar"/>
        </w:rPr>
      </w:pPr>
      <w:r>
        <w:rPr>
          <w:color w:val="auto"/>
          <w:kern w:val="0"/>
          <w:lang w:bidi="ar"/>
        </w:rPr>
        <w:t>上月/季/年度CAS/CEA手术例数的比例</w:t>
      </w:r>
      <w:r>
        <w:rPr>
          <w:rFonts w:hint="eastAsia"/>
          <w:color w:val="auto"/>
          <w:kern w:val="0"/>
          <w:lang w:eastAsia="zh-CN" w:bidi="ar"/>
        </w:rPr>
        <w:t>。</w:t>
      </w:r>
    </w:p>
    <w:p w14:paraId="1FD82872">
      <w:pPr>
        <w:numPr>
          <w:ilvl w:val="0"/>
          <w:numId w:val="43"/>
        </w:numPr>
        <w:ind w:left="5" w:leftChars="0" w:firstLine="475" w:firstLineChars="0"/>
        <w:rPr>
          <w:color w:val="auto"/>
          <w:kern w:val="0"/>
          <w:lang w:bidi="ar"/>
        </w:rPr>
      </w:pPr>
      <w:r>
        <w:rPr>
          <w:color w:val="auto"/>
          <w:kern w:val="0"/>
          <w:lang w:bidi="ar"/>
        </w:rPr>
        <w:t>上月/季/年度复杂脑血管病技术开展例数</w:t>
      </w:r>
      <w:r>
        <w:rPr>
          <w:rFonts w:hint="eastAsia"/>
          <w:color w:val="auto"/>
          <w:kern w:val="0"/>
          <w:lang w:eastAsia="zh-CN" w:bidi="ar"/>
        </w:rPr>
        <w:t>。</w:t>
      </w:r>
    </w:p>
    <w:p w14:paraId="1EA31530">
      <w:pPr>
        <w:numPr>
          <w:ilvl w:val="0"/>
          <w:numId w:val="43"/>
        </w:numPr>
        <w:ind w:left="5" w:leftChars="0" w:firstLine="475" w:firstLineChars="0"/>
        <w:rPr>
          <w:color w:val="auto"/>
          <w:kern w:val="0"/>
          <w:lang w:bidi="ar"/>
        </w:rPr>
      </w:pPr>
      <w:r>
        <w:rPr>
          <w:color w:val="auto"/>
          <w:kern w:val="0"/>
          <w:lang w:bidi="ar"/>
        </w:rPr>
        <w:t>上月/季/年度开展复合手术病例数</w:t>
      </w:r>
      <w:r>
        <w:rPr>
          <w:rFonts w:hint="eastAsia"/>
          <w:color w:val="auto"/>
          <w:kern w:val="0"/>
          <w:lang w:eastAsia="zh-CN" w:bidi="ar"/>
        </w:rPr>
        <w:t>。</w:t>
      </w:r>
    </w:p>
    <w:p w14:paraId="75FF0A33">
      <w:pPr>
        <w:numPr>
          <w:ilvl w:val="0"/>
          <w:numId w:val="43"/>
        </w:numPr>
        <w:ind w:left="5" w:leftChars="0" w:firstLine="475" w:firstLineChars="0"/>
        <w:rPr>
          <w:rFonts w:ascii="宋体" w:hAnsi="宋体" w:eastAsia="宋体" w:cs="Times New Roman"/>
          <w:color w:val="auto"/>
          <w:kern w:val="0"/>
          <w:lang w:bidi="ar"/>
        </w:rPr>
      </w:pPr>
      <w:r>
        <w:rPr>
          <w:rFonts w:ascii="宋体" w:hAnsi="宋体" w:eastAsia="宋体" w:cs="Times New Roman"/>
          <w:color w:val="auto"/>
          <w:kern w:val="0"/>
          <w:lang w:bidi="ar"/>
        </w:rPr>
        <w:t>近1年颅内动脉瘤血管内或开颅夹闭治疗例数</w:t>
      </w:r>
      <w:r>
        <w:rPr>
          <w:rFonts w:hint="eastAsia" w:cs="Times New Roman"/>
          <w:color w:val="auto"/>
          <w:kern w:val="0"/>
          <w:lang w:eastAsia="zh-CN" w:bidi="ar"/>
        </w:rPr>
        <w:t>。</w:t>
      </w:r>
    </w:p>
    <w:p w14:paraId="429D15D8">
      <w:pPr>
        <w:numPr>
          <w:ilvl w:val="0"/>
          <w:numId w:val="43"/>
        </w:numPr>
        <w:ind w:left="5" w:leftChars="0" w:firstLine="475" w:firstLineChars="0"/>
        <w:rPr>
          <w:rFonts w:ascii="宋体" w:hAnsi="宋体" w:eastAsia="宋体" w:cs="Times New Roman"/>
          <w:color w:val="auto"/>
          <w:kern w:val="0"/>
          <w:lang w:bidi="ar"/>
        </w:rPr>
      </w:pPr>
      <w:r>
        <w:rPr>
          <w:rFonts w:ascii="宋体" w:hAnsi="宋体" w:eastAsia="宋体" w:cs="Times New Roman"/>
          <w:color w:val="auto"/>
          <w:kern w:val="0"/>
          <w:lang w:bidi="ar"/>
        </w:rPr>
        <w:t>近2年累计完成CEA手术例数</w:t>
      </w:r>
      <w:r>
        <w:rPr>
          <w:rFonts w:hint="eastAsia" w:cs="Times New Roman"/>
          <w:color w:val="auto"/>
          <w:kern w:val="0"/>
          <w:lang w:eastAsia="zh-CN" w:bidi="ar"/>
        </w:rPr>
        <w:t>。</w:t>
      </w:r>
    </w:p>
    <w:p w14:paraId="7A8C62DF">
      <w:pPr>
        <w:numPr>
          <w:ilvl w:val="0"/>
          <w:numId w:val="43"/>
        </w:numPr>
        <w:ind w:left="5" w:leftChars="0" w:firstLine="475" w:firstLineChars="0"/>
        <w:rPr>
          <w:rFonts w:ascii="宋体" w:hAnsi="宋体" w:eastAsia="宋体" w:cs="Times New Roman"/>
          <w:color w:val="auto"/>
          <w:kern w:val="0"/>
          <w:lang w:bidi="ar"/>
        </w:rPr>
      </w:pPr>
      <w:r>
        <w:rPr>
          <w:rFonts w:ascii="宋体" w:hAnsi="宋体" w:eastAsia="宋体" w:cs="Times New Roman"/>
          <w:color w:val="auto"/>
          <w:kern w:val="0"/>
          <w:lang w:bidi="ar"/>
        </w:rPr>
        <w:t>上月/季/年度动脉瘤性蛛网膜下腔出血完成对患者病情严重程度量化评估情况</w:t>
      </w:r>
      <w:r>
        <w:rPr>
          <w:rFonts w:hint="eastAsia" w:cs="Times New Roman"/>
          <w:color w:val="auto"/>
          <w:kern w:val="0"/>
          <w:lang w:eastAsia="zh-CN" w:bidi="ar"/>
        </w:rPr>
        <w:t>。</w:t>
      </w:r>
    </w:p>
    <w:p w14:paraId="70BBF068">
      <w:pPr>
        <w:numPr>
          <w:ilvl w:val="0"/>
          <w:numId w:val="43"/>
        </w:numPr>
        <w:ind w:left="5" w:leftChars="0" w:firstLine="475" w:firstLineChars="0"/>
        <w:rPr>
          <w:rFonts w:ascii="宋体" w:hAnsi="宋体" w:eastAsia="宋体" w:cs="Times New Roman"/>
          <w:color w:val="auto"/>
          <w:kern w:val="0"/>
          <w:lang w:bidi="ar"/>
        </w:rPr>
      </w:pPr>
      <w:r>
        <w:rPr>
          <w:rFonts w:ascii="宋体" w:hAnsi="宋体" w:eastAsia="宋体" w:cs="Times New Roman"/>
          <w:color w:val="auto"/>
          <w:kern w:val="0"/>
          <w:lang w:bidi="ar"/>
        </w:rPr>
        <w:t>上月/季/年度动脉瘤性蛛网膜下腔出血完成对患者入院48h内开展DSA/MRA/CTA病因性检查及治疗的完成情况</w:t>
      </w:r>
      <w:r>
        <w:rPr>
          <w:rFonts w:hint="eastAsia" w:cs="Times New Roman"/>
          <w:color w:val="auto"/>
          <w:kern w:val="0"/>
          <w:lang w:eastAsia="zh-CN" w:bidi="ar"/>
        </w:rPr>
        <w:t>。</w:t>
      </w:r>
    </w:p>
    <w:p w14:paraId="784B6F81">
      <w:pPr>
        <w:numPr>
          <w:ilvl w:val="0"/>
          <w:numId w:val="42"/>
        </w:numPr>
        <w:ind w:left="0" w:firstLine="480" w:firstLineChars="200"/>
        <w:rPr>
          <w:color w:val="auto"/>
        </w:rPr>
      </w:pPr>
      <w:r>
        <w:rPr>
          <w:color w:val="auto"/>
        </w:rPr>
        <w:t>脑梗死医疗质控指标包括：</w:t>
      </w:r>
    </w:p>
    <w:p w14:paraId="26DED1F8">
      <w:pPr>
        <w:ind w:firstLine="480"/>
        <w:rPr>
          <w:color w:val="auto"/>
        </w:rPr>
      </w:pPr>
      <w:r>
        <w:rPr>
          <w:color w:val="auto"/>
        </w:rPr>
        <w:t>1.神经功能缺损评估率</w:t>
      </w:r>
    </w:p>
    <w:p w14:paraId="29C30E04">
      <w:pPr>
        <w:ind w:firstLine="480"/>
        <w:rPr>
          <w:color w:val="auto"/>
        </w:rPr>
      </w:pPr>
      <w:r>
        <w:rPr>
          <w:color w:val="auto"/>
        </w:rPr>
        <w:t>2.急诊就诊30分钟内完成头颅CT影像学检查率</w:t>
      </w:r>
    </w:p>
    <w:p w14:paraId="79DA0B90">
      <w:pPr>
        <w:ind w:firstLine="480"/>
        <w:rPr>
          <w:color w:val="auto"/>
        </w:rPr>
      </w:pPr>
      <w:r>
        <w:rPr>
          <w:color w:val="auto"/>
        </w:rPr>
        <w:t>3.急诊就诊45分钟内临床实验室诊断率</w:t>
      </w:r>
    </w:p>
    <w:p w14:paraId="613B8AC0">
      <w:pPr>
        <w:ind w:firstLine="480"/>
        <w:rPr>
          <w:color w:val="auto"/>
        </w:rPr>
      </w:pPr>
      <w:r>
        <w:rPr>
          <w:color w:val="auto"/>
        </w:rPr>
        <w:t>4.发病4.5小时以内rt-PA静脉溶栓率</w:t>
      </w:r>
    </w:p>
    <w:p w14:paraId="6958DA1E">
      <w:pPr>
        <w:ind w:firstLine="480"/>
        <w:rPr>
          <w:color w:val="auto"/>
        </w:rPr>
      </w:pPr>
      <w:r>
        <w:rPr>
          <w:color w:val="auto"/>
        </w:rPr>
        <w:t>5.静脉溶栓的急性脑梗死患者到院到给药时间小于60分钟的比率</w:t>
      </w:r>
    </w:p>
    <w:p w14:paraId="7B053EBD">
      <w:pPr>
        <w:ind w:firstLine="480"/>
        <w:rPr>
          <w:color w:val="auto"/>
        </w:rPr>
      </w:pPr>
      <w:r>
        <w:rPr>
          <w:color w:val="auto"/>
        </w:rPr>
        <w:t>6.发病6小时内急性前循环大血管闭塞性脑梗死患者血管内机械取栓率</w:t>
      </w:r>
    </w:p>
    <w:p w14:paraId="6FA12292">
      <w:pPr>
        <w:ind w:firstLine="480"/>
        <w:rPr>
          <w:color w:val="auto"/>
        </w:rPr>
      </w:pPr>
      <w:r>
        <w:rPr>
          <w:color w:val="auto"/>
        </w:rPr>
        <w:t>7.入院48小时内抗血小板药物治疗率</w:t>
      </w:r>
    </w:p>
    <w:p w14:paraId="272A7556">
      <w:pPr>
        <w:ind w:firstLine="480"/>
        <w:rPr>
          <w:color w:val="auto"/>
        </w:rPr>
      </w:pPr>
      <w:r>
        <w:rPr>
          <w:color w:val="auto"/>
        </w:rPr>
        <w:t>8.发病24小时内非致残性脑梗死患者双重强化抗血小板药物治疗率</w:t>
      </w:r>
    </w:p>
    <w:p w14:paraId="3D500838">
      <w:pPr>
        <w:ind w:firstLine="480"/>
        <w:rPr>
          <w:color w:val="auto"/>
        </w:rPr>
      </w:pPr>
      <w:r>
        <w:rPr>
          <w:color w:val="auto"/>
        </w:rPr>
        <w:t>9.入院48小时内不能自行行走的脑梗死患者深静脉血栓预防率</w:t>
      </w:r>
    </w:p>
    <w:p w14:paraId="2523A322">
      <w:pPr>
        <w:ind w:firstLine="480"/>
        <w:rPr>
          <w:color w:val="auto"/>
        </w:rPr>
      </w:pPr>
      <w:r>
        <w:rPr>
          <w:color w:val="auto"/>
        </w:rPr>
        <w:t>10.住院1周内血管评价率</w:t>
      </w:r>
    </w:p>
    <w:p w14:paraId="7516CB7E">
      <w:pPr>
        <w:ind w:firstLine="480"/>
        <w:rPr>
          <w:color w:val="auto"/>
        </w:rPr>
      </w:pPr>
      <w:r>
        <w:rPr>
          <w:color w:val="auto"/>
        </w:rPr>
        <w:t>11.住院期间非心源性脑梗死患者他汀类药物治疗率</w:t>
      </w:r>
    </w:p>
    <w:p w14:paraId="36C962C7">
      <w:pPr>
        <w:ind w:firstLine="480"/>
        <w:rPr>
          <w:color w:val="auto"/>
        </w:rPr>
      </w:pPr>
      <w:r>
        <w:rPr>
          <w:color w:val="auto"/>
        </w:rPr>
        <w:t>12.住院期间合并房颤的脑梗死患者抗凝治疗率</w:t>
      </w:r>
    </w:p>
    <w:p w14:paraId="69F77346">
      <w:pPr>
        <w:ind w:firstLine="480"/>
        <w:rPr>
          <w:color w:val="auto"/>
        </w:rPr>
      </w:pPr>
      <w:r>
        <w:rPr>
          <w:color w:val="auto"/>
        </w:rPr>
        <w:t>13.吞咽功能筛查率</w:t>
      </w:r>
    </w:p>
    <w:p w14:paraId="515718EF">
      <w:pPr>
        <w:ind w:firstLine="480"/>
        <w:rPr>
          <w:color w:val="auto"/>
        </w:rPr>
      </w:pPr>
      <w:r>
        <w:rPr>
          <w:color w:val="auto"/>
        </w:rPr>
        <w:t>14.康复评估率</w:t>
      </w:r>
    </w:p>
    <w:p w14:paraId="6279A6F8">
      <w:pPr>
        <w:ind w:firstLine="480"/>
        <w:rPr>
          <w:color w:val="auto"/>
        </w:rPr>
      </w:pPr>
      <w:r>
        <w:rPr>
          <w:color w:val="auto"/>
        </w:rPr>
        <w:t>15.出院时脑梗死患者抗栓治疗率</w:t>
      </w:r>
    </w:p>
    <w:p w14:paraId="663457A7">
      <w:pPr>
        <w:ind w:firstLine="480"/>
        <w:rPr>
          <w:color w:val="auto"/>
        </w:rPr>
      </w:pPr>
      <w:r>
        <w:rPr>
          <w:color w:val="auto"/>
        </w:rPr>
        <w:t>15.出院时脑梗死患者他汀药物治疗率</w:t>
      </w:r>
    </w:p>
    <w:p w14:paraId="4374B881">
      <w:pPr>
        <w:ind w:firstLine="480"/>
        <w:rPr>
          <w:color w:val="auto"/>
        </w:rPr>
      </w:pPr>
      <w:r>
        <w:rPr>
          <w:color w:val="auto"/>
        </w:rPr>
        <w:t>16.出院时合并高血压的脑梗死患者降压治疗率</w:t>
      </w:r>
    </w:p>
    <w:p w14:paraId="3C7D4D30">
      <w:pPr>
        <w:ind w:firstLine="480"/>
        <w:rPr>
          <w:color w:val="auto"/>
        </w:rPr>
      </w:pPr>
      <w:r>
        <w:rPr>
          <w:color w:val="auto"/>
        </w:rPr>
        <w:t>16.出院时合并糖尿病的脑梗死患者降糖药物治疗率</w:t>
      </w:r>
    </w:p>
    <w:p w14:paraId="301C24CF">
      <w:pPr>
        <w:ind w:firstLine="480"/>
        <w:rPr>
          <w:color w:val="auto"/>
        </w:rPr>
      </w:pPr>
      <w:r>
        <w:rPr>
          <w:color w:val="auto"/>
        </w:rPr>
        <w:t>16.出院时合并房颤的脑梗死患者抗凝治疗率</w:t>
      </w:r>
    </w:p>
    <w:p w14:paraId="28BE2D7E">
      <w:pPr>
        <w:ind w:firstLine="480"/>
        <w:rPr>
          <w:color w:val="auto"/>
        </w:rPr>
      </w:pPr>
      <w:r>
        <w:rPr>
          <w:color w:val="auto"/>
        </w:rPr>
        <w:t>17. 脑梗死患者住院死亡率</w:t>
      </w:r>
    </w:p>
    <w:p w14:paraId="2A80FF6E">
      <w:pPr>
        <w:ind w:firstLine="480"/>
        <w:rPr>
          <w:color w:val="auto"/>
        </w:rPr>
      </w:pPr>
      <w:r>
        <w:rPr>
          <w:color w:val="auto"/>
        </w:rPr>
        <w:t>18.发病24小时内脑梗死患者血管内治疗率</w:t>
      </w:r>
    </w:p>
    <w:p w14:paraId="6AD63135">
      <w:pPr>
        <w:ind w:firstLine="480"/>
        <w:rPr>
          <w:color w:val="auto"/>
        </w:rPr>
      </w:pPr>
      <w:r>
        <w:rPr>
          <w:color w:val="auto"/>
        </w:rPr>
        <w:t>19.发病24小时内脑梗死患者血管内治疗术前影像学评估率</w:t>
      </w:r>
    </w:p>
    <w:p w14:paraId="730766AE">
      <w:pPr>
        <w:ind w:firstLine="480"/>
        <w:rPr>
          <w:color w:val="auto"/>
        </w:rPr>
      </w:pPr>
      <w:r>
        <w:rPr>
          <w:color w:val="auto"/>
        </w:rPr>
        <w:t>20.发病24小时内脑梗死患者行血管内治疗 90 分钟内完成动脉穿刺率</w:t>
      </w:r>
    </w:p>
    <w:p w14:paraId="06AB2C31">
      <w:pPr>
        <w:ind w:firstLine="480"/>
        <w:rPr>
          <w:color w:val="auto"/>
        </w:rPr>
      </w:pPr>
      <w:r>
        <w:rPr>
          <w:color w:val="auto"/>
        </w:rPr>
        <w:t>21.发病24小时内脑梗死患者行血管内治疗 60 分钟内成功再灌注率</w:t>
      </w:r>
    </w:p>
    <w:p w14:paraId="4D4EFC12">
      <w:pPr>
        <w:ind w:firstLine="480"/>
        <w:rPr>
          <w:color w:val="auto"/>
        </w:rPr>
      </w:pPr>
      <w:r>
        <w:rPr>
          <w:color w:val="auto"/>
        </w:rPr>
        <w:t>22.发病24小时内脑梗死患者行血管内治疗术后即刻再通率</w:t>
      </w:r>
    </w:p>
    <w:p w14:paraId="0304846E">
      <w:pPr>
        <w:ind w:firstLine="480"/>
        <w:rPr>
          <w:color w:val="auto"/>
        </w:rPr>
      </w:pPr>
      <w:r>
        <w:rPr>
          <w:color w:val="auto"/>
        </w:rPr>
        <w:t>23.发病24小时内脑梗死患者行血管内治疗术中新发部位栓塞发生率</w:t>
      </w:r>
    </w:p>
    <w:p w14:paraId="0EF705D2">
      <w:pPr>
        <w:ind w:firstLine="480"/>
        <w:rPr>
          <w:color w:val="auto"/>
        </w:rPr>
      </w:pPr>
      <w:r>
        <w:rPr>
          <w:color w:val="auto"/>
        </w:rPr>
        <w:t>24.发病24小时内脑梗死患者行血管内治疗术后症状性颅内出血发生率</w:t>
      </w:r>
    </w:p>
    <w:p w14:paraId="5B0ABD22">
      <w:pPr>
        <w:ind w:firstLine="480"/>
        <w:rPr>
          <w:color w:val="auto"/>
        </w:rPr>
      </w:pPr>
      <w:r>
        <w:rPr>
          <w:color w:val="auto"/>
        </w:rPr>
        <w:t>25.发病24小时内脑梗死患者行血管内治疗术后 90 天mRS评估率</w:t>
      </w:r>
    </w:p>
    <w:p w14:paraId="2AE6DC7A">
      <w:pPr>
        <w:ind w:firstLine="480"/>
        <w:rPr>
          <w:color w:val="auto"/>
        </w:rPr>
      </w:pPr>
      <w:r>
        <w:rPr>
          <w:color w:val="auto"/>
        </w:rPr>
        <w:t>26.发病24小时内脑梗死患者行血管内治疗术后 90 天良好神经功能预后率</w:t>
      </w:r>
    </w:p>
    <w:p w14:paraId="47C174CF">
      <w:pPr>
        <w:ind w:firstLine="480"/>
        <w:rPr>
          <w:color w:val="auto"/>
        </w:rPr>
      </w:pPr>
      <w:r>
        <w:rPr>
          <w:color w:val="auto"/>
        </w:rPr>
        <w:t>27.发病24小时内脑梗死患者行血管内治疗术后 90 天死亡率</w:t>
      </w:r>
    </w:p>
    <w:p w14:paraId="697B8EC8">
      <w:pPr>
        <w:ind w:firstLine="480"/>
        <w:rPr>
          <w:color w:val="auto"/>
        </w:rPr>
      </w:pPr>
      <w:r>
        <w:rPr>
          <w:color w:val="auto"/>
        </w:rPr>
        <w:t>27.发病24小时内脑梗死患者行血管内治疗术后住院期间死亡率</w:t>
      </w:r>
    </w:p>
    <w:p w14:paraId="4FDA6B36">
      <w:pPr>
        <w:ind w:firstLine="480"/>
        <w:rPr>
          <w:color w:val="auto"/>
        </w:rPr>
      </w:pPr>
      <w:r>
        <w:rPr>
          <w:color w:val="auto"/>
        </w:rPr>
        <w:t>28.脑梗死病患溶栓后 90 天内随访率</w:t>
      </w:r>
    </w:p>
    <w:p w14:paraId="1B6B5281">
      <w:pPr>
        <w:ind w:firstLine="480"/>
        <w:rPr>
          <w:color w:val="auto"/>
        </w:rPr>
      </w:pPr>
      <w:r>
        <w:rPr>
          <w:color w:val="auto"/>
        </w:rPr>
        <w:t>系统使用情况：对系统实际使用情况进行统计分析，掌握系统实际使用情况，用数据定位问题、分析问题，找出系统落地难题，以采取有针对性的措施进行改进，让系统更好贴合临床救治场景，切实服务于医生与患者。</w:t>
      </w:r>
    </w:p>
    <w:p w14:paraId="73149BC2">
      <w:pPr>
        <w:ind w:firstLine="482"/>
        <w:rPr>
          <w:b/>
          <w:bCs/>
          <w:color w:val="auto"/>
        </w:rPr>
      </w:pPr>
      <w:bookmarkStart w:id="149" w:name="_Toc150931664"/>
      <w:r>
        <w:rPr>
          <w:b/>
          <w:bCs/>
          <w:color w:val="auto"/>
        </w:rPr>
        <w:t>卒中多媒体大屏综合展示系统</w:t>
      </w:r>
      <w:bookmarkEnd w:id="149"/>
    </w:p>
    <w:p w14:paraId="1C67A530">
      <w:pPr>
        <w:ind w:firstLine="480"/>
        <w:rPr>
          <w:color w:val="auto"/>
        </w:rPr>
      </w:pPr>
      <w:r>
        <w:rPr>
          <w:color w:val="auto"/>
        </w:rPr>
        <w:t>卒中多媒体大屏综合展示系统可实时展示医院卒中中心所有接诊病人患者救治数量，年龄分布情况，性别分布情况，救治方式统计趋势，质控KPI指标达成情况，患者的救治质量，发病时长，结束救治转归信息。能够实时可视化了解中心运行状况，使得管理者对中心运行状况一目了然。</w:t>
      </w:r>
    </w:p>
    <w:p w14:paraId="25FF61DD">
      <w:pPr>
        <w:ind w:firstLine="482"/>
        <w:rPr>
          <w:b/>
          <w:bCs/>
          <w:color w:val="auto"/>
        </w:rPr>
      </w:pPr>
      <w:bookmarkStart w:id="150" w:name="_Toc150931665"/>
      <w:r>
        <w:rPr>
          <w:b/>
          <w:bCs/>
          <w:color w:val="auto"/>
        </w:rPr>
        <w:t>卒中中心直报系统</w:t>
      </w:r>
      <w:bookmarkEnd w:id="150"/>
    </w:p>
    <w:p w14:paraId="1E322D8F">
      <w:pPr>
        <w:ind w:firstLine="480"/>
        <w:rPr>
          <w:color w:val="auto"/>
        </w:rPr>
      </w:pPr>
      <w:r>
        <w:rPr>
          <w:color w:val="auto"/>
        </w:rPr>
        <w:t>卒中中心上报数据采集及直报系统支持通过人工或系统审核校验后将卒中患者的档案自动上传至国家卒中中心数据填报平台，完成卒中中心认证标准所要求有效信息的准确录入。基于内置规则库，进行合规及有效性检查并予以提示。支持上报纠错功能，上报数据时自动提示数据缺失项，数据极值以及质控不合格数据，注明错误原因并能快速跳转相应字段位置进行检查校对。</w:t>
      </w:r>
    </w:p>
    <w:p w14:paraId="74D9A357">
      <w:pPr>
        <w:pStyle w:val="14"/>
        <w:bidi w:val="0"/>
        <w:rPr>
          <w:color w:val="auto"/>
        </w:rPr>
      </w:pPr>
      <w:r>
        <w:rPr>
          <w:rFonts w:hint="eastAsia"/>
          <w:color w:val="auto"/>
        </w:rPr>
        <w:t>创伤中心</w:t>
      </w:r>
    </w:p>
    <w:p w14:paraId="74C599D9">
      <w:pPr>
        <w:ind w:firstLine="480"/>
        <w:rPr>
          <w:color w:val="auto"/>
        </w:rPr>
      </w:pPr>
      <w:r>
        <w:rPr>
          <w:color w:val="auto"/>
        </w:rPr>
        <w:t>创伤急救管理系统由车端急救系统、院内创伤急救系统以及数据平台组成。具有院前急救与院内救治之间的信息交换与预警联动功能，在创伤患者经120急救救护车转运到达医院前，能够完成患者基本信息及医疗信息传输，并提示根据创伤的严重程度启动相对应级别的预警和准备工作。系统诊断采用国家临床版2.0 ICD-10诊断编码，利于病种分类，满足院内病案对接需求。</w:t>
      </w:r>
    </w:p>
    <w:p w14:paraId="3041BF47">
      <w:pPr>
        <w:pStyle w:val="14"/>
        <w:bidi w:val="0"/>
        <w:rPr>
          <w:color w:val="auto"/>
        </w:rPr>
      </w:pPr>
      <w:bookmarkStart w:id="151" w:name="_Toc150931672"/>
      <w:r>
        <w:rPr>
          <w:rFonts w:hint="eastAsia"/>
          <w:color w:val="auto"/>
        </w:rPr>
        <w:t>门诊留观系统</w:t>
      </w:r>
    </w:p>
    <w:p w14:paraId="056ABB21">
      <w:pPr>
        <w:bidi w:val="0"/>
        <w:rPr>
          <w:color w:val="auto"/>
        </w:rPr>
      </w:pPr>
      <w:r>
        <w:rPr>
          <w:color w:val="auto"/>
        </w:rPr>
        <w:t>全面覆盖留观患者的入出转登记、床位管理、病历书写及医嘱执行等核心流程，实现从患者收治到诊疗护理的全流程数字化管理，提升急诊留观效率与医疗质量。系统通过自动化床位费用结算、标准化病历模板及医嘱闭环处理，确保临床操作规范性与数据可追溯性。</w:t>
      </w:r>
    </w:p>
    <w:p w14:paraId="73D5221E">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956DFE6">
      <w:pPr>
        <w:pStyle w:val="188"/>
        <w:spacing w:line="360" w:lineRule="auto"/>
        <w:ind w:firstLine="482" w:firstLineChars="200"/>
        <w:jc w:val="both"/>
        <w:rPr>
          <w:rFonts w:hint="eastAsia" w:ascii="宋体" w:hAnsi="宋体" w:eastAsia="宋体"/>
          <w:b/>
          <w:bCs/>
          <w:color w:val="auto"/>
          <w:sz w:val="24"/>
          <w:szCs w:val="24"/>
          <w:lang w:eastAsia="zh-CN"/>
        </w:rPr>
      </w:pPr>
      <w:r>
        <w:rPr>
          <w:rFonts w:ascii="宋体" w:hAnsi="宋体" w:eastAsia="宋体"/>
          <w:b/>
          <w:bCs/>
          <w:color w:val="auto"/>
          <w:sz w:val="24"/>
          <w:szCs w:val="24"/>
          <w:lang w:eastAsia="zh-CN"/>
        </w:rPr>
        <w:t xml:space="preserve">系统概述 </w:t>
      </w:r>
    </w:p>
    <w:p w14:paraId="5515899E">
      <w:pPr>
        <w:pStyle w:val="188"/>
        <w:spacing w:line="360" w:lineRule="auto"/>
        <w:ind w:firstLine="480" w:firstLineChars="200"/>
        <w:jc w:val="both"/>
        <w:rPr>
          <w:rFonts w:hint="eastAsia" w:ascii="宋体" w:hAnsi="宋体" w:eastAsia="宋体"/>
          <w:color w:val="auto"/>
          <w:sz w:val="24"/>
          <w:szCs w:val="24"/>
          <w:lang w:eastAsia="zh-CN"/>
        </w:rPr>
      </w:pPr>
      <w:r>
        <w:rPr>
          <w:rFonts w:ascii="宋体" w:hAnsi="宋体" w:eastAsia="宋体"/>
          <w:color w:val="auto"/>
          <w:sz w:val="24"/>
          <w:szCs w:val="24"/>
          <w:lang w:eastAsia="zh-CN"/>
        </w:rPr>
        <w:t xml:space="preserve">要求系统提供对留观患者实现病历、医嘱、会诊、转科、转院等处理。 </w:t>
      </w:r>
    </w:p>
    <w:p w14:paraId="032A36A0">
      <w:pPr>
        <w:pStyle w:val="188"/>
        <w:spacing w:line="360" w:lineRule="auto"/>
        <w:ind w:firstLine="482" w:firstLineChars="200"/>
        <w:jc w:val="both"/>
        <w:rPr>
          <w:rFonts w:hint="eastAsia" w:ascii="宋体" w:hAnsi="宋体" w:eastAsia="宋体"/>
          <w:b/>
          <w:bCs/>
          <w:color w:val="auto"/>
          <w:sz w:val="24"/>
          <w:szCs w:val="24"/>
          <w:lang w:eastAsia="zh-CN"/>
        </w:rPr>
      </w:pPr>
      <w:r>
        <w:rPr>
          <w:rFonts w:ascii="宋体" w:hAnsi="宋体" w:eastAsia="宋体"/>
          <w:b/>
          <w:bCs/>
          <w:color w:val="auto"/>
          <w:sz w:val="24"/>
          <w:szCs w:val="24"/>
          <w:lang w:eastAsia="zh-CN"/>
        </w:rPr>
        <w:t xml:space="preserve">功能要求 </w:t>
      </w:r>
    </w:p>
    <w:p w14:paraId="27D38609">
      <w:pPr>
        <w:pStyle w:val="188"/>
        <w:spacing w:line="360" w:lineRule="auto"/>
        <w:ind w:firstLine="480" w:firstLineChars="200"/>
        <w:jc w:val="both"/>
        <w:rPr>
          <w:rFonts w:hint="eastAsia" w:ascii="宋体" w:hAnsi="宋体" w:eastAsia="宋体"/>
          <w:color w:val="auto"/>
          <w:sz w:val="24"/>
          <w:szCs w:val="24"/>
          <w:lang w:eastAsia="zh-CN"/>
        </w:rPr>
      </w:pPr>
      <w:r>
        <w:rPr>
          <w:rFonts w:ascii="宋体" w:hAnsi="宋体" w:eastAsia="宋体"/>
          <w:color w:val="auto"/>
          <w:sz w:val="24"/>
          <w:szCs w:val="24"/>
          <w:lang w:eastAsia="zh-CN"/>
        </w:rPr>
        <w:t xml:space="preserve">功能要求：留观入出转登记、留观床位管理、留观病历书写、留观医嘱录入、核对及执行等。 </w:t>
      </w:r>
    </w:p>
    <w:p w14:paraId="2B0C6593">
      <w:pPr>
        <w:pStyle w:val="188"/>
        <w:spacing w:line="360" w:lineRule="auto"/>
        <w:ind w:firstLine="482" w:firstLineChars="200"/>
        <w:jc w:val="both"/>
        <w:rPr>
          <w:rFonts w:hint="eastAsia" w:ascii="宋体" w:hAnsi="宋体" w:eastAsia="宋体"/>
          <w:b/>
          <w:bCs/>
          <w:color w:val="auto"/>
          <w:sz w:val="24"/>
          <w:szCs w:val="24"/>
          <w:lang w:eastAsia="zh-CN"/>
        </w:rPr>
      </w:pPr>
      <w:r>
        <w:rPr>
          <w:rFonts w:ascii="宋体" w:hAnsi="宋体" w:eastAsia="宋体"/>
          <w:b/>
          <w:bCs/>
          <w:color w:val="auto"/>
          <w:sz w:val="24"/>
          <w:szCs w:val="24"/>
          <w:lang w:eastAsia="zh-CN"/>
        </w:rPr>
        <w:t>详细要求</w:t>
      </w:r>
    </w:p>
    <w:p w14:paraId="303C48E6">
      <w:pPr>
        <w:pStyle w:val="188"/>
        <w:spacing w:line="360" w:lineRule="auto"/>
        <w:ind w:firstLine="480" w:firstLineChars="200"/>
        <w:jc w:val="both"/>
        <w:rPr>
          <w:rFonts w:hint="eastAsia" w:ascii="宋体" w:hAnsi="宋体" w:eastAsia="宋体"/>
          <w:color w:val="auto"/>
          <w:sz w:val="24"/>
          <w:szCs w:val="24"/>
          <w:lang w:eastAsia="zh-CN"/>
        </w:rPr>
      </w:pPr>
      <w:r>
        <w:rPr>
          <w:rFonts w:ascii="宋体" w:hAnsi="宋体" w:eastAsia="宋体"/>
          <w:color w:val="auto"/>
          <w:sz w:val="24"/>
          <w:szCs w:val="24"/>
          <w:lang w:eastAsia="zh-CN"/>
        </w:rPr>
        <w:t xml:space="preserve">留观入出转登记：进行患者基本信息的采集和入出转留观室的手续办理。 </w:t>
      </w:r>
    </w:p>
    <w:p w14:paraId="76277F1F">
      <w:pPr>
        <w:pStyle w:val="188"/>
        <w:spacing w:line="360" w:lineRule="auto"/>
        <w:ind w:firstLine="460" w:firstLineChars="200"/>
        <w:jc w:val="both"/>
        <w:rPr>
          <w:rFonts w:hint="eastAsia" w:ascii="宋体" w:hAnsi="宋体" w:eastAsia="宋体"/>
          <w:color w:val="auto"/>
          <w:sz w:val="24"/>
          <w:szCs w:val="24"/>
          <w:lang w:eastAsia="zh-CN"/>
        </w:rPr>
      </w:pPr>
      <w:r>
        <w:rPr>
          <w:rFonts w:ascii="宋体" w:hAnsi="宋体" w:eastAsia="宋体"/>
          <w:color w:val="auto"/>
          <w:spacing w:val="-5"/>
          <w:sz w:val="24"/>
          <w:szCs w:val="24"/>
          <w:lang w:eastAsia="zh-CN"/>
        </w:rPr>
        <w:t>留观床位管理：维护床位属性和收费项目。提供床位使用情况一览表。支持转床。</w:t>
      </w:r>
      <w:r>
        <w:rPr>
          <w:rFonts w:ascii="宋体" w:hAnsi="宋体" w:eastAsia="宋体"/>
          <w:color w:val="auto"/>
          <w:sz w:val="24"/>
          <w:szCs w:val="24"/>
          <w:lang w:eastAsia="zh-CN"/>
        </w:rPr>
        <w:t xml:space="preserve">床位费用可自动收取。 </w:t>
      </w:r>
    </w:p>
    <w:p w14:paraId="02151C66">
      <w:pPr>
        <w:pStyle w:val="188"/>
        <w:spacing w:line="360" w:lineRule="auto"/>
        <w:ind w:firstLine="480" w:firstLineChars="200"/>
        <w:jc w:val="both"/>
        <w:rPr>
          <w:rFonts w:hint="eastAsia" w:ascii="宋体" w:hAnsi="宋体" w:eastAsia="宋体"/>
          <w:color w:val="auto"/>
          <w:sz w:val="24"/>
          <w:szCs w:val="24"/>
          <w:lang w:eastAsia="zh-CN"/>
        </w:rPr>
      </w:pPr>
      <w:r>
        <w:rPr>
          <w:rFonts w:ascii="宋体" w:hAnsi="宋体" w:eastAsia="宋体"/>
          <w:color w:val="auto"/>
          <w:sz w:val="24"/>
          <w:szCs w:val="24"/>
          <w:lang w:eastAsia="zh-CN"/>
        </w:rPr>
        <w:t xml:space="preserve">留观病历书写：留观病历书写内容包括留观问诊、留观体格检查、留观诊断、留观诊疗计划、留观诊疗过程记录。 </w:t>
      </w:r>
    </w:p>
    <w:p w14:paraId="3AC62635">
      <w:pPr>
        <w:pStyle w:val="188"/>
        <w:spacing w:line="360" w:lineRule="auto"/>
        <w:ind w:firstLine="480" w:firstLineChars="200"/>
        <w:jc w:val="both"/>
        <w:rPr>
          <w:rFonts w:hint="eastAsia" w:ascii="宋体" w:hAnsi="宋体" w:eastAsia="宋体"/>
          <w:color w:val="auto"/>
          <w:sz w:val="24"/>
          <w:szCs w:val="24"/>
          <w:lang w:eastAsia="zh-CN"/>
        </w:rPr>
      </w:pPr>
      <w:r>
        <w:rPr>
          <w:rFonts w:ascii="宋体" w:hAnsi="宋体" w:eastAsia="宋体"/>
          <w:color w:val="auto"/>
          <w:sz w:val="24"/>
          <w:szCs w:val="24"/>
          <w:lang w:eastAsia="zh-CN"/>
        </w:rPr>
        <w:t xml:space="preserve">留观护理病历：急诊留观室护士录入护理记录内容，其中包括：生命体征、病情观察、护理措施等内容。 </w:t>
      </w:r>
    </w:p>
    <w:p w14:paraId="07BE4802">
      <w:pPr>
        <w:pStyle w:val="188"/>
        <w:spacing w:line="360" w:lineRule="auto"/>
        <w:ind w:firstLine="480" w:firstLineChars="200"/>
        <w:jc w:val="both"/>
        <w:rPr>
          <w:rFonts w:hint="eastAsia" w:ascii="宋体" w:hAnsi="宋体" w:eastAsia="宋体"/>
          <w:color w:val="auto"/>
          <w:sz w:val="24"/>
          <w:szCs w:val="24"/>
          <w:lang w:eastAsia="zh-CN"/>
        </w:rPr>
      </w:pPr>
      <w:r>
        <w:rPr>
          <w:rFonts w:ascii="宋体" w:hAnsi="宋体" w:eastAsia="宋体"/>
          <w:color w:val="auto"/>
          <w:sz w:val="24"/>
          <w:szCs w:val="24"/>
          <w:lang w:eastAsia="zh-CN"/>
        </w:rPr>
        <w:t xml:space="preserve">留观医嘱录入、核对及执行：留观医嘱录入。留观医嘱开具后，由急诊护士核对后申请执行。 </w:t>
      </w:r>
    </w:p>
    <w:bookmarkEnd w:id="151"/>
    <w:p w14:paraId="0B46839F">
      <w:pPr>
        <w:pStyle w:val="13"/>
        <w:bidi w:val="0"/>
        <w:ind w:left="1008" w:leftChars="0" w:hanging="1008" w:firstLineChars="0"/>
        <w:rPr>
          <w:color w:val="auto"/>
        </w:rPr>
      </w:pPr>
      <w:r>
        <w:rPr>
          <w:rFonts w:hint="eastAsia"/>
          <w:color w:val="auto"/>
          <w:lang w:val="en-US" w:eastAsia="zh-CN"/>
        </w:rPr>
        <w:t xml:space="preserve"> 基础HIS</w:t>
      </w:r>
      <w:r>
        <w:rPr>
          <w:rFonts w:hint="eastAsia"/>
          <w:color w:val="auto"/>
        </w:rPr>
        <w:tab/>
      </w:r>
    </w:p>
    <w:p w14:paraId="1E22FC4D">
      <w:pPr>
        <w:pStyle w:val="14"/>
        <w:bidi w:val="0"/>
        <w:rPr>
          <w:color w:val="auto"/>
        </w:rPr>
      </w:pPr>
      <w:r>
        <w:rPr>
          <w:rFonts w:hint="eastAsia"/>
          <w:color w:val="auto"/>
          <w:lang w:val="en-US" w:eastAsia="zh-CN"/>
        </w:rPr>
        <w:t xml:space="preserve"> </w:t>
      </w:r>
      <w:r>
        <w:rPr>
          <w:rFonts w:hint="eastAsia"/>
          <w:color w:val="auto"/>
        </w:rPr>
        <w:t>门诊医师系统</w:t>
      </w:r>
    </w:p>
    <w:p w14:paraId="5066E024">
      <w:pPr>
        <w:bidi w:val="0"/>
        <w:rPr>
          <w:rFonts w:hint="default"/>
          <w:color w:val="auto"/>
        </w:rPr>
      </w:pPr>
      <w:r>
        <w:rPr>
          <w:rFonts w:hint="default"/>
          <w:color w:val="auto"/>
        </w:rPr>
        <w:t>集成患者信息管理、智能诊断辅助、医嘱处理及一体化应用，支持医保控费、合理用药审核、危急值处理等核心业务，通过流程优化与数据互通提升医生诊疗效率与医疗质量。系统以患者为中心，覆盖门诊全流程诊疗业务，通过智能提示及多系统协同，实现高效精准的临床决策支持与医疗服务管理。</w:t>
      </w:r>
    </w:p>
    <w:p w14:paraId="3AD6AAD7">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35F8221C">
      <w:pPr>
        <w:pStyle w:val="341"/>
        <w:spacing w:beforeLines="0"/>
        <w:ind w:firstLine="482"/>
        <w:rPr>
          <w:rFonts w:hint="eastAsia" w:ascii="宋体" w:hAnsi="宋体" w:cs="仿宋"/>
          <w:b/>
          <w:bCs/>
          <w:color w:val="auto"/>
          <w:sz w:val="24"/>
          <w:szCs w:val="24"/>
        </w:rPr>
      </w:pPr>
      <w:bookmarkStart w:id="152" w:name="_Toc106372958"/>
      <w:r>
        <w:rPr>
          <w:rFonts w:hint="eastAsia" w:ascii="宋体" w:hAnsi="宋体" w:cs="仿宋"/>
          <w:b/>
          <w:bCs/>
          <w:color w:val="auto"/>
          <w:sz w:val="24"/>
          <w:szCs w:val="24"/>
        </w:rPr>
        <w:t>基本功能</w:t>
      </w:r>
      <w:bookmarkEnd w:id="152"/>
    </w:p>
    <w:p w14:paraId="6FE0F270">
      <w:pPr>
        <w:pStyle w:val="94"/>
        <w:numPr>
          <w:ilvl w:val="0"/>
          <w:numId w:val="44"/>
        </w:numPr>
        <w:ind w:left="0" w:firstLine="480"/>
        <w:rPr>
          <w:rFonts w:cs="Arial"/>
          <w:bCs/>
          <w:color w:val="auto"/>
          <w:sz w:val="24"/>
        </w:rPr>
      </w:pPr>
      <w:bookmarkStart w:id="153" w:name="_Toc106372959"/>
      <w:r>
        <w:rPr>
          <w:rFonts w:cs="Arial"/>
          <w:bCs/>
          <w:color w:val="auto"/>
          <w:sz w:val="24"/>
        </w:rPr>
        <w:t>支持扫码或读卡获取病人基本信息：就诊卡号、姓名、性别、年龄、医保费用类别等。</w:t>
      </w:r>
    </w:p>
    <w:p w14:paraId="36FBA713">
      <w:pPr>
        <w:pStyle w:val="94"/>
        <w:numPr>
          <w:ilvl w:val="0"/>
          <w:numId w:val="44"/>
        </w:numPr>
        <w:ind w:left="0" w:firstLine="480"/>
        <w:rPr>
          <w:rFonts w:cs="Arial"/>
          <w:bCs/>
          <w:color w:val="auto"/>
          <w:sz w:val="24"/>
        </w:rPr>
      </w:pPr>
      <w:r>
        <w:rPr>
          <w:rFonts w:cs="Arial"/>
          <w:bCs/>
          <w:color w:val="auto"/>
          <w:sz w:val="24"/>
        </w:rPr>
        <w:t>支持患者基本信息修改。</w:t>
      </w:r>
    </w:p>
    <w:p w14:paraId="0E570015">
      <w:pPr>
        <w:pStyle w:val="94"/>
        <w:numPr>
          <w:ilvl w:val="0"/>
          <w:numId w:val="44"/>
        </w:numPr>
        <w:ind w:left="0" w:firstLine="480"/>
        <w:rPr>
          <w:rFonts w:cs="Arial"/>
          <w:bCs/>
          <w:color w:val="auto"/>
          <w:sz w:val="24"/>
        </w:rPr>
      </w:pPr>
      <w:r>
        <w:rPr>
          <w:rFonts w:cs="Arial"/>
          <w:bCs/>
          <w:color w:val="auto"/>
          <w:sz w:val="24"/>
        </w:rPr>
        <w:t>支持查询患者历史就诊信息：历史资料、主诉、现病史、既往史等。</w:t>
      </w:r>
    </w:p>
    <w:p w14:paraId="3FCCCE11">
      <w:pPr>
        <w:pStyle w:val="94"/>
        <w:numPr>
          <w:ilvl w:val="0"/>
          <w:numId w:val="44"/>
        </w:numPr>
        <w:ind w:left="0" w:firstLine="480"/>
        <w:rPr>
          <w:rFonts w:cs="Arial"/>
          <w:bCs/>
          <w:color w:val="auto"/>
          <w:sz w:val="24"/>
        </w:rPr>
      </w:pPr>
      <w:r>
        <w:rPr>
          <w:rFonts w:cs="Arial"/>
          <w:bCs/>
          <w:color w:val="auto"/>
          <w:sz w:val="24"/>
        </w:rPr>
        <w:t>支持根据不同医保类别给医生做出相关提示信息，包括全自付、部分自付、无自付，</w:t>
      </w:r>
      <w:r>
        <w:rPr>
          <w:rFonts w:hint="eastAsia" w:cs="Arial"/>
          <w:bCs/>
          <w:color w:val="auto"/>
          <w:sz w:val="24"/>
        </w:rPr>
        <w:t>系统对药品等的付费比例问题做出相应的提示供医生参考</w:t>
      </w:r>
      <w:r>
        <w:rPr>
          <w:rFonts w:cs="Arial"/>
          <w:bCs/>
          <w:color w:val="auto"/>
          <w:sz w:val="24"/>
        </w:rPr>
        <w:t>。</w:t>
      </w:r>
    </w:p>
    <w:p w14:paraId="797EEB92">
      <w:pPr>
        <w:pStyle w:val="94"/>
        <w:numPr>
          <w:ilvl w:val="0"/>
          <w:numId w:val="44"/>
        </w:numPr>
        <w:ind w:left="0" w:firstLine="480"/>
        <w:rPr>
          <w:rFonts w:cs="Arial"/>
          <w:bCs/>
          <w:color w:val="auto"/>
          <w:sz w:val="24"/>
        </w:rPr>
      </w:pPr>
      <w:r>
        <w:rPr>
          <w:rFonts w:cs="Arial"/>
          <w:bCs/>
          <w:color w:val="auto"/>
          <w:sz w:val="24"/>
        </w:rPr>
        <w:t>提供候诊列表，显示姓名、性别、年龄、预约类型、就诊流水号等。</w:t>
      </w:r>
    </w:p>
    <w:p w14:paraId="6975C638">
      <w:pPr>
        <w:pStyle w:val="94"/>
        <w:numPr>
          <w:ilvl w:val="0"/>
          <w:numId w:val="44"/>
        </w:numPr>
        <w:ind w:left="0" w:firstLine="480"/>
        <w:rPr>
          <w:rFonts w:cs="Arial"/>
          <w:bCs/>
          <w:color w:val="auto"/>
          <w:sz w:val="24"/>
        </w:rPr>
      </w:pPr>
      <w:r>
        <w:rPr>
          <w:rFonts w:hint="eastAsia" w:cs="Arial"/>
          <w:bCs/>
          <w:color w:val="auto"/>
          <w:sz w:val="24"/>
        </w:rPr>
        <w:t>支持门诊医生叫号队列中显示当前门诊医生待接诊队列。</w:t>
      </w:r>
    </w:p>
    <w:p w14:paraId="36EFA4B5">
      <w:pPr>
        <w:pStyle w:val="94"/>
        <w:numPr>
          <w:ilvl w:val="0"/>
          <w:numId w:val="44"/>
        </w:numPr>
        <w:ind w:left="0" w:firstLine="480"/>
        <w:rPr>
          <w:rFonts w:cs="Arial"/>
          <w:bCs/>
          <w:color w:val="auto"/>
          <w:sz w:val="24"/>
        </w:rPr>
      </w:pPr>
      <w:r>
        <w:rPr>
          <w:rFonts w:cs="Arial"/>
          <w:bCs/>
          <w:color w:val="auto"/>
          <w:sz w:val="24"/>
        </w:rPr>
        <w:t>支持</w:t>
      </w:r>
      <w:r>
        <w:rPr>
          <w:rFonts w:hint="eastAsia" w:cs="Arial"/>
          <w:bCs/>
          <w:color w:val="auto"/>
          <w:sz w:val="24"/>
        </w:rPr>
        <w:t>急诊、军人、网约等号会优先，普通号会按照正常队列显示排在后面。</w:t>
      </w:r>
    </w:p>
    <w:p w14:paraId="1E3B0EF9">
      <w:pPr>
        <w:pStyle w:val="94"/>
        <w:numPr>
          <w:ilvl w:val="0"/>
          <w:numId w:val="44"/>
        </w:numPr>
        <w:ind w:left="0" w:firstLine="480"/>
        <w:rPr>
          <w:rFonts w:cs="Arial"/>
          <w:bCs/>
          <w:color w:val="auto"/>
          <w:sz w:val="24"/>
        </w:rPr>
      </w:pPr>
      <w:r>
        <w:rPr>
          <w:rFonts w:cs="Arial"/>
          <w:bCs/>
          <w:color w:val="auto"/>
          <w:sz w:val="24"/>
        </w:rPr>
        <w:t>支持</w:t>
      </w:r>
      <w:r>
        <w:rPr>
          <w:rFonts w:hint="eastAsia" w:cs="Arial"/>
          <w:bCs/>
          <w:color w:val="auto"/>
          <w:sz w:val="24"/>
        </w:rPr>
        <w:t>医生点击界面叫号或者右键叫号(可重复叫号)即可，此时大屏会有语音播报。</w:t>
      </w:r>
    </w:p>
    <w:p w14:paraId="420EF4FF">
      <w:pPr>
        <w:pStyle w:val="94"/>
        <w:numPr>
          <w:ilvl w:val="0"/>
          <w:numId w:val="44"/>
        </w:numPr>
        <w:ind w:left="0" w:firstLine="480"/>
        <w:rPr>
          <w:rFonts w:cs="Arial"/>
          <w:bCs/>
          <w:color w:val="auto"/>
          <w:sz w:val="24"/>
        </w:rPr>
      </w:pPr>
      <w:r>
        <w:rPr>
          <w:rFonts w:cs="Arial"/>
          <w:bCs/>
          <w:color w:val="auto"/>
          <w:sz w:val="24"/>
        </w:rPr>
        <w:t>支持</w:t>
      </w:r>
      <w:r>
        <w:rPr>
          <w:rFonts w:hint="eastAsia" w:cs="Arial"/>
          <w:bCs/>
          <w:color w:val="auto"/>
          <w:sz w:val="24"/>
        </w:rPr>
        <w:t xml:space="preserve">叫号界面“恢复叫号”按钮针对与过号患者，点击恢复叫号，患者会重现出现在叫号大屏队列中。 </w:t>
      </w:r>
    </w:p>
    <w:p w14:paraId="609EC54E">
      <w:pPr>
        <w:pStyle w:val="94"/>
        <w:numPr>
          <w:ilvl w:val="0"/>
          <w:numId w:val="44"/>
        </w:numPr>
        <w:ind w:left="0" w:firstLine="480"/>
        <w:rPr>
          <w:rFonts w:cs="Arial"/>
          <w:bCs/>
          <w:color w:val="auto"/>
          <w:sz w:val="24"/>
        </w:rPr>
      </w:pPr>
      <w:r>
        <w:rPr>
          <w:rFonts w:cs="Arial"/>
          <w:bCs/>
          <w:color w:val="auto"/>
          <w:sz w:val="24"/>
        </w:rPr>
        <w:t>提供</w:t>
      </w:r>
      <w:r>
        <w:rPr>
          <w:rFonts w:hint="eastAsia" w:cs="Arial"/>
          <w:bCs/>
          <w:color w:val="auto"/>
          <w:sz w:val="24"/>
        </w:rPr>
        <w:t>预约就诊、转诊、续诊、回诊管理等功能。</w:t>
      </w:r>
    </w:p>
    <w:p w14:paraId="23C4D14B">
      <w:pPr>
        <w:pStyle w:val="94"/>
        <w:numPr>
          <w:ilvl w:val="0"/>
          <w:numId w:val="44"/>
        </w:numPr>
        <w:ind w:left="0" w:firstLine="480"/>
        <w:rPr>
          <w:rFonts w:cs="Arial"/>
          <w:bCs/>
          <w:color w:val="auto"/>
          <w:sz w:val="24"/>
        </w:rPr>
      </w:pPr>
      <w:r>
        <w:rPr>
          <w:rFonts w:hint="eastAsia" w:cs="Arial"/>
          <w:bCs/>
          <w:color w:val="auto"/>
          <w:sz w:val="24"/>
        </w:rPr>
        <w:t>根据参数控制，支持未挂号不允许就诊，或集成挂号功能，支持医生站挂号就诊两种模式。</w:t>
      </w:r>
    </w:p>
    <w:p w14:paraId="7EDA1B77">
      <w:pPr>
        <w:pStyle w:val="94"/>
        <w:numPr>
          <w:ilvl w:val="0"/>
          <w:numId w:val="44"/>
        </w:numPr>
        <w:ind w:left="0" w:firstLine="480"/>
        <w:rPr>
          <w:rFonts w:cs="Arial"/>
          <w:bCs/>
          <w:color w:val="auto"/>
          <w:sz w:val="24"/>
        </w:rPr>
      </w:pPr>
      <w:r>
        <w:rPr>
          <w:rFonts w:cs="Arial"/>
          <w:bCs/>
          <w:color w:val="auto"/>
          <w:sz w:val="24"/>
        </w:rPr>
        <w:t>支持门诊医生开立住院证并打印</w:t>
      </w:r>
      <w:r>
        <w:rPr>
          <w:rFonts w:hint="eastAsia" w:cs="Arial"/>
          <w:bCs/>
          <w:color w:val="auto"/>
          <w:sz w:val="24"/>
        </w:rPr>
        <w:t>，</w:t>
      </w:r>
      <w:r>
        <w:rPr>
          <w:rFonts w:cs="Arial"/>
          <w:bCs/>
          <w:color w:val="auto"/>
          <w:sz w:val="24"/>
        </w:rPr>
        <w:t>可填写建议预交金信息</w:t>
      </w:r>
      <w:r>
        <w:rPr>
          <w:rFonts w:hint="eastAsia" w:cs="Arial"/>
          <w:bCs/>
          <w:color w:val="auto"/>
          <w:sz w:val="24"/>
        </w:rPr>
        <w:t>，</w:t>
      </w:r>
      <w:r>
        <w:rPr>
          <w:rFonts w:cs="Arial"/>
          <w:bCs/>
          <w:color w:val="auto"/>
          <w:sz w:val="24"/>
        </w:rPr>
        <w:t>并实时了解各病区剩余床位数</w:t>
      </w:r>
      <w:r>
        <w:rPr>
          <w:rFonts w:hint="eastAsia" w:cs="Arial"/>
          <w:bCs/>
          <w:color w:val="auto"/>
          <w:sz w:val="24"/>
        </w:rPr>
        <w:t>，以及查看患者历史病历、检验检查信息。</w:t>
      </w:r>
    </w:p>
    <w:p w14:paraId="67049616">
      <w:pPr>
        <w:pStyle w:val="94"/>
        <w:numPr>
          <w:ilvl w:val="0"/>
          <w:numId w:val="44"/>
        </w:numPr>
        <w:ind w:left="0" w:firstLine="480"/>
        <w:rPr>
          <w:rFonts w:cs="Arial"/>
          <w:bCs/>
          <w:color w:val="auto"/>
          <w:sz w:val="24"/>
        </w:rPr>
      </w:pPr>
      <w:r>
        <w:rPr>
          <w:rFonts w:cs="Arial"/>
          <w:bCs/>
          <w:color w:val="auto"/>
          <w:sz w:val="24"/>
        </w:rPr>
        <w:t>支持诊间支付。</w:t>
      </w:r>
    </w:p>
    <w:p w14:paraId="52D066D2">
      <w:pPr>
        <w:pStyle w:val="94"/>
        <w:numPr>
          <w:ilvl w:val="0"/>
          <w:numId w:val="44"/>
        </w:numPr>
        <w:ind w:left="0" w:firstLine="480"/>
        <w:rPr>
          <w:rFonts w:cs="Arial"/>
          <w:bCs/>
          <w:color w:val="auto"/>
          <w:sz w:val="24"/>
        </w:rPr>
      </w:pPr>
      <w:r>
        <w:rPr>
          <w:rFonts w:cs="Arial"/>
          <w:bCs/>
          <w:color w:val="auto"/>
          <w:sz w:val="24"/>
        </w:rPr>
        <w:t>支持门诊患者退费流程控制。</w:t>
      </w:r>
    </w:p>
    <w:p w14:paraId="0F15A688">
      <w:pPr>
        <w:pStyle w:val="94"/>
        <w:numPr>
          <w:ilvl w:val="0"/>
          <w:numId w:val="44"/>
        </w:numPr>
        <w:ind w:left="0" w:firstLine="480"/>
        <w:rPr>
          <w:rFonts w:cs="Arial"/>
          <w:bCs/>
          <w:color w:val="auto"/>
          <w:sz w:val="24"/>
        </w:rPr>
      </w:pPr>
      <w:r>
        <w:rPr>
          <w:rFonts w:cs="Arial"/>
          <w:bCs/>
          <w:color w:val="auto"/>
          <w:sz w:val="24"/>
        </w:rPr>
        <w:t>支持查看患者门诊</w:t>
      </w:r>
      <w:r>
        <w:rPr>
          <w:rFonts w:hint="eastAsia" w:cs="Arial"/>
          <w:bCs/>
          <w:color w:val="auto"/>
          <w:sz w:val="24"/>
        </w:rPr>
        <w:t>3</w:t>
      </w:r>
      <w:r>
        <w:rPr>
          <w:rFonts w:cs="Arial"/>
          <w:bCs/>
          <w:color w:val="auto"/>
          <w:sz w:val="24"/>
        </w:rPr>
        <w:t>60视图。</w:t>
      </w:r>
    </w:p>
    <w:p w14:paraId="0AF76E21">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门诊诊断</w:t>
      </w:r>
      <w:bookmarkEnd w:id="153"/>
    </w:p>
    <w:p w14:paraId="5B2561AF">
      <w:pPr>
        <w:pStyle w:val="94"/>
        <w:numPr>
          <w:ilvl w:val="0"/>
          <w:numId w:val="45"/>
        </w:numPr>
        <w:ind w:left="0" w:firstLine="480"/>
        <w:rPr>
          <w:rFonts w:cs="Arial"/>
          <w:bCs/>
          <w:color w:val="auto"/>
          <w:sz w:val="24"/>
        </w:rPr>
      </w:pPr>
      <w:bookmarkStart w:id="154" w:name="_Toc106372960"/>
      <w:r>
        <w:rPr>
          <w:rFonts w:hint="eastAsia" w:cs="Arial"/>
          <w:bCs/>
          <w:color w:val="auto"/>
          <w:sz w:val="24"/>
        </w:rPr>
        <w:t>提供西医</w:t>
      </w:r>
      <w:r>
        <w:rPr>
          <w:rFonts w:cs="Arial"/>
          <w:bCs/>
          <w:color w:val="auto"/>
          <w:sz w:val="24"/>
        </w:rPr>
        <w:t>ICD10诊断码输入，提供个人常用、科室常用等便捷输入方式。</w:t>
      </w:r>
    </w:p>
    <w:p w14:paraId="6A1FEF5B">
      <w:pPr>
        <w:pStyle w:val="94"/>
        <w:numPr>
          <w:ilvl w:val="0"/>
          <w:numId w:val="45"/>
        </w:numPr>
        <w:ind w:left="0" w:firstLine="480"/>
        <w:rPr>
          <w:rFonts w:cs="Arial"/>
          <w:bCs/>
          <w:color w:val="auto"/>
          <w:sz w:val="24"/>
        </w:rPr>
      </w:pPr>
      <w:r>
        <w:rPr>
          <w:rFonts w:hint="eastAsia" w:cs="Arial"/>
          <w:bCs/>
          <w:color w:val="auto"/>
          <w:sz w:val="24"/>
        </w:rPr>
        <w:t>支持医生查看患者历次治疗的诊断信息，帮助医生对患者进行跟踪诊断等，提高医生看诊效率。</w:t>
      </w:r>
    </w:p>
    <w:p w14:paraId="3FF796B8">
      <w:pPr>
        <w:pStyle w:val="94"/>
        <w:numPr>
          <w:ilvl w:val="0"/>
          <w:numId w:val="45"/>
        </w:numPr>
        <w:ind w:left="0" w:firstLine="480"/>
        <w:rPr>
          <w:rFonts w:cs="Arial"/>
          <w:bCs/>
          <w:color w:val="auto"/>
          <w:sz w:val="24"/>
        </w:rPr>
      </w:pPr>
      <w:r>
        <w:rPr>
          <w:rFonts w:cs="Arial"/>
          <w:bCs/>
          <w:color w:val="auto"/>
          <w:sz w:val="24"/>
        </w:rPr>
        <w:t>支持在历史诊断中根据诊断类型进行分类</w:t>
      </w:r>
      <w:r>
        <w:rPr>
          <w:rFonts w:hint="eastAsia" w:cs="Arial"/>
          <w:bCs/>
          <w:color w:val="auto"/>
          <w:sz w:val="24"/>
        </w:rPr>
        <w:t>，</w:t>
      </w:r>
      <w:r>
        <w:rPr>
          <w:rFonts w:cs="Arial"/>
          <w:bCs/>
          <w:color w:val="auto"/>
          <w:sz w:val="24"/>
        </w:rPr>
        <w:t>区分中西医诊断</w:t>
      </w:r>
      <w:r>
        <w:rPr>
          <w:rFonts w:hint="eastAsia" w:cs="Arial"/>
          <w:bCs/>
          <w:color w:val="auto"/>
          <w:sz w:val="24"/>
        </w:rPr>
        <w:t>。</w:t>
      </w:r>
    </w:p>
    <w:p w14:paraId="00A49B45">
      <w:pPr>
        <w:pStyle w:val="94"/>
        <w:numPr>
          <w:ilvl w:val="0"/>
          <w:numId w:val="45"/>
        </w:numPr>
        <w:ind w:left="0" w:firstLine="480"/>
        <w:rPr>
          <w:rFonts w:cs="Arial"/>
          <w:bCs/>
          <w:color w:val="auto"/>
          <w:sz w:val="24"/>
        </w:rPr>
      </w:pPr>
      <w:r>
        <w:rPr>
          <w:rFonts w:cs="Arial"/>
          <w:bCs/>
          <w:color w:val="auto"/>
          <w:sz w:val="24"/>
        </w:rPr>
        <w:t>支持按照</w:t>
      </w:r>
      <w:r>
        <w:rPr>
          <w:rFonts w:hint="eastAsia" w:cs="Arial"/>
          <w:bCs/>
          <w:color w:val="auto"/>
          <w:sz w:val="24"/>
        </w:rPr>
        <w:t>时间倒序顺序</w:t>
      </w:r>
      <w:r>
        <w:rPr>
          <w:rFonts w:cs="Arial"/>
          <w:bCs/>
          <w:color w:val="auto"/>
          <w:sz w:val="24"/>
        </w:rPr>
        <w:t>展示患者历次</w:t>
      </w:r>
      <w:r>
        <w:rPr>
          <w:rFonts w:hint="eastAsia" w:cs="Arial"/>
          <w:bCs/>
          <w:color w:val="auto"/>
          <w:sz w:val="24"/>
        </w:rPr>
        <w:t>治疗</w:t>
      </w:r>
      <w:r>
        <w:rPr>
          <w:rFonts w:cs="Arial"/>
          <w:bCs/>
          <w:color w:val="auto"/>
          <w:sz w:val="24"/>
        </w:rPr>
        <w:t>的全部诊断信息</w:t>
      </w:r>
      <w:r>
        <w:rPr>
          <w:rFonts w:hint="eastAsia" w:cs="Arial"/>
          <w:bCs/>
          <w:color w:val="auto"/>
          <w:sz w:val="24"/>
        </w:rPr>
        <w:t>。</w:t>
      </w:r>
    </w:p>
    <w:p w14:paraId="5DB958E7">
      <w:pPr>
        <w:pStyle w:val="94"/>
        <w:numPr>
          <w:ilvl w:val="0"/>
          <w:numId w:val="45"/>
        </w:numPr>
        <w:ind w:left="0" w:firstLine="480"/>
        <w:rPr>
          <w:rFonts w:cs="Arial"/>
          <w:bCs/>
          <w:color w:val="auto"/>
          <w:sz w:val="24"/>
        </w:rPr>
      </w:pPr>
      <w:r>
        <w:rPr>
          <w:rFonts w:cs="Arial"/>
          <w:bCs/>
          <w:color w:val="auto"/>
          <w:sz w:val="24"/>
        </w:rPr>
        <w:t>诊断录入支持模糊查询。</w:t>
      </w:r>
    </w:p>
    <w:p w14:paraId="3E02143B">
      <w:pPr>
        <w:pStyle w:val="94"/>
        <w:numPr>
          <w:ilvl w:val="0"/>
          <w:numId w:val="45"/>
        </w:numPr>
        <w:ind w:left="0" w:firstLine="480"/>
        <w:rPr>
          <w:rFonts w:cs="Arial"/>
          <w:bCs/>
          <w:color w:val="auto"/>
          <w:sz w:val="24"/>
        </w:rPr>
      </w:pPr>
      <w:r>
        <w:rPr>
          <w:rFonts w:cs="Arial"/>
          <w:bCs/>
          <w:color w:val="auto"/>
          <w:sz w:val="24"/>
        </w:rPr>
        <w:t>支持定义医生常用词组</w:t>
      </w:r>
      <w:r>
        <w:rPr>
          <w:rFonts w:hint="eastAsia" w:cs="Arial"/>
          <w:bCs/>
          <w:color w:val="auto"/>
          <w:sz w:val="24"/>
        </w:rPr>
        <w:t>。</w:t>
      </w:r>
    </w:p>
    <w:p w14:paraId="115A9B4E">
      <w:pPr>
        <w:pStyle w:val="94"/>
        <w:numPr>
          <w:ilvl w:val="0"/>
          <w:numId w:val="45"/>
        </w:numPr>
        <w:ind w:left="0" w:firstLine="480"/>
        <w:rPr>
          <w:rFonts w:cs="Arial"/>
          <w:bCs/>
          <w:color w:val="auto"/>
          <w:sz w:val="24"/>
        </w:rPr>
      </w:pPr>
      <w:r>
        <w:rPr>
          <w:rFonts w:cs="Arial"/>
          <w:bCs/>
          <w:color w:val="auto"/>
          <w:sz w:val="24"/>
        </w:rPr>
        <w:t>支持添加诊断描述前缀</w:t>
      </w:r>
      <w:r>
        <w:rPr>
          <w:rFonts w:hint="eastAsia" w:cs="Arial"/>
          <w:bCs/>
          <w:color w:val="auto"/>
          <w:sz w:val="24"/>
        </w:rPr>
        <w:t>、</w:t>
      </w:r>
      <w:r>
        <w:rPr>
          <w:rFonts w:cs="Arial"/>
          <w:bCs/>
          <w:color w:val="auto"/>
          <w:sz w:val="24"/>
        </w:rPr>
        <w:t>后缀信息</w:t>
      </w:r>
      <w:r>
        <w:rPr>
          <w:rFonts w:hint="eastAsia" w:cs="Arial"/>
          <w:bCs/>
          <w:color w:val="auto"/>
          <w:sz w:val="24"/>
        </w:rPr>
        <w:t>。</w:t>
      </w:r>
    </w:p>
    <w:p w14:paraId="186C0A94">
      <w:pPr>
        <w:pStyle w:val="94"/>
        <w:numPr>
          <w:ilvl w:val="0"/>
          <w:numId w:val="45"/>
        </w:numPr>
        <w:ind w:left="0" w:firstLine="480"/>
        <w:rPr>
          <w:rFonts w:cs="Arial"/>
          <w:bCs/>
          <w:color w:val="auto"/>
          <w:sz w:val="24"/>
        </w:rPr>
      </w:pPr>
      <w:r>
        <w:rPr>
          <w:rFonts w:cs="Arial"/>
          <w:bCs/>
          <w:color w:val="auto"/>
          <w:sz w:val="24"/>
        </w:rPr>
        <w:t>常用诊断可根据医生使用</w:t>
      </w:r>
      <w:r>
        <w:rPr>
          <w:rFonts w:hint="eastAsia" w:cs="Arial"/>
          <w:bCs/>
          <w:color w:val="auto"/>
          <w:sz w:val="24"/>
        </w:rPr>
        <w:t>频率</w:t>
      </w:r>
      <w:r>
        <w:rPr>
          <w:rFonts w:cs="Arial"/>
          <w:bCs/>
          <w:color w:val="auto"/>
          <w:sz w:val="24"/>
        </w:rPr>
        <w:t>自动生成</w:t>
      </w:r>
      <w:r>
        <w:rPr>
          <w:rFonts w:hint="eastAsia" w:cs="Arial"/>
          <w:bCs/>
          <w:color w:val="auto"/>
          <w:sz w:val="24"/>
        </w:rPr>
        <w:t>，</w:t>
      </w:r>
      <w:r>
        <w:rPr>
          <w:rFonts w:cs="Arial"/>
          <w:bCs/>
          <w:color w:val="auto"/>
          <w:sz w:val="24"/>
        </w:rPr>
        <w:t>无需手工添加</w:t>
      </w:r>
      <w:r>
        <w:rPr>
          <w:rFonts w:hint="eastAsia" w:cs="Arial"/>
          <w:bCs/>
          <w:color w:val="auto"/>
          <w:sz w:val="24"/>
        </w:rPr>
        <w:t>。</w:t>
      </w:r>
    </w:p>
    <w:p w14:paraId="08E58454">
      <w:pPr>
        <w:pStyle w:val="94"/>
        <w:numPr>
          <w:ilvl w:val="0"/>
          <w:numId w:val="45"/>
        </w:numPr>
        <w:ind w:left="0" w:firstLine="480"/>
        <w:rPr>
          <w:rFonts w:cs="Arial"/>
          <w:bCs/>
          <w:color w:val="auto"/>
          <w:sz w:val="24"/>
        </w:rPr>
      </w:pPr>
      <w:r>
        <w:rPr>
          <w:rFonts w:cs="Arial"/>
          <w:bCs/>
          <w:color w:val="auto"/>
          <w:sz w:val="24"/>
        </w:rPr>
        <w:t>提供中医诊断字典录入功能，包括主病和证候等。</w:t>
      </w:r>
    </w:p>
    <w:p w14:paraId="3CD8AFE5">
      <w:pPr>
        <w:pStyle w:val="94"/>
        <w:numPr>
          <w:ilvl w:val="0"/>
          <w:numId w:val="45"/>
        </w:numPr>
        <w:ind w:left="0" w:firstLine="480"/>
        <w:rPr>
          <w:rFonts w:cs="Arial"/>
          <w:bCs/>
          <w:color w:val="auto"/>
          <w:sz w:val="24"/>
        </w:rPr>
      </w:pPr>
      <w:r>
        <w:rPr>
          <w:rFonts w:cs="Arial"/>
          <w:bCs/>
          <w:color w:val="auto"/>
          <w:sz w:val="24"/>
        </w:rPr>
        <w:t>支持逻辑规则效验，中医诊断必须同时包含病名和证候。</w:t>
      </w:r>
    </w:p>
    <w:p w14:paraId="42168D36">
      <w:pPr>
        <w:pStyle w:val="94"/>
        <w:numPr>
          <w:ilvl w:val="0"/>
          <w:numId w:val="45"/>
        </w:numPr>
        <w:ind w:left="0" w:firstLine="480"/>
        <w:rPr>
          <w:rFonts w:cs="Arial"/>
          <w:bCs/>
          <w:color w:val="auto"/>
          <w:sz w:val="24"/>
        </w:rPr>
      </w:pPr>
      <w:r>
        <w:rPr>
          <w:rFonts w:hint="eastAsia" w:cs="Arial"/>
          <w:bCs/>
          <w:color w:val="auto"/>
          <w:sz w:val="24"/>
        </w:rPr>
        <w:t>支持通过分类快速检索病名、证候。</w:t>
      </w:r>
    </w:p>
    <w:p w14:paraId="544077B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门诊问诊</w:t>
      </w:r>
      <w:bookmarkEnd w:id="154"/>
    </w:p>
    <w:p w14:paraId="2BC8C834">
      <w:pPr>
        <w:pStyle w:val="94"/>
        <w:numPr>
          <w:ilvl w:val="0"/>
          <w:numId w:val="46"/>
        </w:numPr>
        <w:ind w:left="0" w:firstLine="480"/>
        <w:rPr>
          <w:rFonts w:cs="Arial"/>
          <w:bCs/>
          <w:color w:val="auto"/>
          <w:sz w:val="24"/>
        </w:rPr>
      </w:pPr>
      <w:bookmarkStart w:id="155" w:name="_Toc106372961"/>
      <w:r>
        <w:rPr>
          <w:rFonts w:cs="Arial"/>
          <w:bCs/>
          <w:color w:val="auto"/>
          <w:sz w:val="24"/>
        </w:rPr>
        <w:t>提供问诊信息录入功能，如身高、体重、血压、呼吸、发病日期等信息。</w:t>
      </w:r>
    </w:p>
    <w:p w14:paraId="499F4DC5">
      <w:pPr>
        <w:pStyle w:val="94"/>
        <w:numPr>
          <w:ilvl w:val="0"/>
          <w:numId w:val="46"/>
        </w:numPr>
        <w:ind w:left="0" w:firstLine="480"/>
        <w:rPr>
          <w:rFonts w:cs="Arial"/>
          <w:bCs/>
          <w:color w:val="auto"/>
          <w:sz w:val="24"/>
        </w:rPr>
      </w:pPr>
      <w:r>
        <w:rPr>
          <w:rFonts w:cs="Arial"/>
          <w:bCs/>
          <w:color w:val="auto"/>
          <w:sz w:val="24"/>
        </w:rPr>
        <w:t>问诊内容可根据医院情况进行拓展</w:t>
      </w:r>
      <w:r>
        <w:rPr>
          <w:rFonts w:hint="eastAsia" w:cs="Arial"/>
          <w:bCs/>
          <w:color w:val="auto"/>
          <w:sz w:val="24"/>
        </w:rPr>
        <w:t>。</w:t>
      </w:r>
    </w:p>
    <w:p w14:paraId="32A23386">
      <w:pPr>
        <w:pStyle w:val="94"/>
        <w:numPr>
          <w:ilvl w:val="0"/>
          <w:numId w:val="46"/>
        </w:numPr>
        <w:ind w:left="0" w:firstLine="480"/>
        <w:rPr>
          <w:rFonts w:cs="Arial"/>
          <w:bCs/>
          <w:color w:val="auto"/>
          <w:sz w:val="24"/>
        </w:rPr>
      </w:pPr>
      <w:r>
        <w:rPr>
          <w:rFonts w:cs="Arial"/>
          <w:bCs/>
          <w:color w:val="auto"/>
          <w:sz w:val="24"/>
        </w:rPr>
        <w:t>问诊项目可根据情况设置必填或选填项</w:t>
      </w:r>
      <w:r>
        <w:rPr>
          <w:rFonts w:hint="eastAsia" w:cs="Arial"/>
          <w:bCs/>
          <w:color w:val="auto"/>
          <w:sz w:val="24"/>
        </w:rPr>
        <w:t>。</w:t>
      </w:r>
    </w:p>
    <w:p w14:paraId="5750E1CA">
      <w:pPr>
        <w:pStyle w:val="94"/>
        <w:numPr>
          <w:ilvl w:val="0"/>
          <w:numId w:val="46"/>
        </w:numPr>
        <w:ind w:left="0" w:firstLine="480"/>
        <w:rPr>
          <w:rFonts w:cs="Arial"/>
          <w:bCs/>
          <w:color w:val="auto"/>
          <w:sz w:val="24"/>
        </w:rPr>
      </w:pPr>
      <w:r>
        <w:rPr>
          <w:rFonts w:cs="Arial"/>
          <w:bCs/>
          <w:color w:val="auto"/>
          <w:sz w:val="24"/>
        </w:rPr>
        <w:t>提供门诊日志，查询就诊患者基本信息。</w:t>
      </w:r>
    </w:p>
    <w:p w14:paraId="02E1975D">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医嘱处理</w:t>
      </w:r>
      <w:bookmarkEnd w:id="155"/>
    </w:p>
    <w:p w14:paraId="48ED9394">
      <w:pPr>
        <w:pStyle w:val="94"/>
        <w:numPr>
          <w:ilvl w:val="0"/>
          <w:numId w:val="47"/>
        </w:numPr>
        <w:ind w:left="0" w:firstLine="480"/>
        <w:rPr>
          <w:rFonts w:cs="Arial"/>
          <w:bCs/>
          <w:color w:val="auto"/>
          <w:sz w:val="24"/>
        </w:rPr>
      </w:pPr>
      <w:bookmarkStart w:id="156" w:name="_Toc106372962"/>
      <w:r>
        <w:rPr>
          <w:rFonts w:hint="eastAsia" w:cs="Arial"/>
          <w:bCs/>
          <w:color w:val="auto"/>
          <w:sz w:val="24"/>
        </w:rPr>
        <w:t>提供与合理用药系统（</w:t>
      </w:r>
      <w:r>
        <w:rPr>
          <w:rFonts w:cs="Arial"/>
          <w:bCs/>
          <w:color w:val="auto"/>
          <w:sz w:val="24"/>
        </w:rPr>
        <w:t>PASS）的接口，在其支持下可进行处方配伍禁忌、不良反应、相互作用、剂量审核等合理用药审核。</w:t>
      </w:r>
    </w:p>
    <w:p w14:paraId="2C5B83C4">
      <w:pPr>
        <w:pStyle w:val="94"/>
        <w:numPr>
          <w:ilvl w:val="0"/>
          <w:numId w:val="47"/>
        </w:numPr>
        <w:ind w:left="0" w:firstLine="480"/>
        <w:rPr>
          <w:rFonts w:cs="Arial"/>
          <w:bCs/>
          <w:color w:val="auto"/>
          <w:sz w:val="24"/>
        </w:rPr>
      </w:pPr>
      <w:r>
        <w:rPr>
          <w:rFonts w:cs="Arial"/>
          <w:bCs/>
          <w:color w:val="auto"/>
          <w:sz w:val="24"/>
        </w:rPr>
        <w:t>支持门诊手术申请及门诊输血申请功能。</w:t>
      </w:r>
    </w:p>
    <w:p w14:paraId="029FCE32">
      <w:pPr>
        <w:pStyle w:val="94"/>
        <w:numPr>
          <w:ilvl w:val="0"/>
          <w:numId w:val="47"/>
        </w:numPr>
        <w:ind w:left="0" w:firstLine="480"/>
        <w:rPr>
          <w:rFonts w:cs="Arial"/>
          <w:bCs/>
          <w:color w:val="auto"/>
          <w:sz w:val="24"/>
        </w:rPr>
      </w:pPr>
      <w:r>
        <w:rPr>
          <w:rFonts w:cs="Arial"/>
          <w:bCs/>
          <w:color w:val="auto"/>
          <w:sz w:val="24"/>
        </w:rPr>
        <w:t>支持打印门诊</w:t>
      </w:r>
      <w:r>
        <w:rPr>
          <w:rFonts w:hint="eastAsia" w:cs="Arial"/>
          <w:bCs/>
          <w:color w:val="auto"/>
          <w:sz w:val="24"/>
        </w:rPr>
        <w:t>电子</w:t>
      </w:r>
      <w:r>
        <w:rPr>
          <w:rFonts w:cs="Arial"/>
          <w:bCs/>
          <w:color w:val="auto"/>
          <w:sz w:val="24"/>
        </w:rPr>
        <w:t>申请单</w:t>
      </w:r>
      <w:r>
        <w:rPr>
          <w:rFonts w:hint="eastAsia" w:cs="Arial"/>
          <w:bCs/>
          <w:color w:val="auto"/>
          <w:sz w:val="24"/>
        </w:rPr>
        <w:t>、</w:t>
      </w:r>
      <w:r>
        <w:rPr>
          <w:rFonts w:cs="Arial"/>
          <w:bCs/>
          <w:color w:val="auto"/>
          <w:sz w:val="24"/>
        </w:rPr>
        <w:t>导引单两种模式</w:t>
      </w:r>
      <w:r>
        <w:rPr>
          <w:rFonts w:hint="eastAsia" w:cs="Arial"/>
          <w:bCs/>
          <w:color w:val="auto"/>
          <w:sz w:val="24"/>
        </w:rPr>
        <w:t>。</w:t>
      </w:r>
    </w:p>
    <w:p w14:paraId="5CFAF1BD">
      <w:pPr>
        <w:pStyle w:val="94"/>
        <w:numPr>
          <w:ilvl w:val="0"/>
          <w:numId w:val="47"/>
        </w:numPr>
        <w:ind w:left="0" w:firstLine="480"/>
        <w:rPr>
          <w:rFonts w:cs="Arial"/>
          <w:bCs/>
          <w:color w:val="auto"/>
          <w:sz w:val="24"/>
        </w:rPr>
      </w:pPr>
      <w:r>
        <w:rPr>
          <w:rFonts w:cs="Arial"/>
          <w:bCs/>
          <w:color w:val="auto"/>
          <w:sz w:val="24"/>
        </w:rPr>
        <w:t>医嘱浏览支持摘要模式</w:t>
      </w:r>
      <w:r>
        <w:rPr>
          <w:rFonts w:hint="eastAsia" w:cs="Arial"/>
          <w:bCs/>
          <w:color w:val="auto"/>
          <w:sz w:val="24"/>
        </w:rPr>
        <w:t>、</w:t>
      </w:r>
      <w:r>
        <w:rPr>
          <w:rFonts w:cs="Arial"/>
          <w:bCs/>
          <w:color w:val="auto"/>
          <w:sz w:val="24"/>
        </w:rPr>
        <w:t>列表模式双模式</w:t>
      </w:r>
      <w:r>
        <w:rPr>
          <w:rFonts w:hint="eastAsia" w:cs="Arial"/>
          <w:bCs/>
          <w:color w:val="auto"/>
          <w:sz w:val="24"/>
        </w:rPr>
        <w:t>。</w:t>
      </w:r>
    </w:p>
    <w:p w14:paraId="0B8AE08A">
      <w:pPr>
        <w:pStyle w:val="94"/>
        <w:numPr>
          <w:ilvl w:val="0"/>
          <w:numId w:val="47"/>
        </w:numPr>
        <w:ind w:left="0" w:firstLine="480"/>
        <w:rPr>
          <w:rFonts w:cs="Arial"/>
          <w:bCs/>
          <w:color w:val="auto"/>
          <w:sz w:val="24"/>
        </w:rPr>
      </w:pPr>
      <w:r>
        <w:rPr>
          <w:rFonts w:cs="Arial"/>
          <w:bCs/>
          <w:color w:val="auto"/>
          <w:sz w:val="24"/>
        </w:rPr>
        <w:t>支持根据医生使用习惯配置不同的个人参数</w:t>
      </w:r>
      <w:r>
        <w:rPr>
          <w:rFonts w:hint="eastAsia" w:cs="Arial"/>
          <w:bCs/>
          <w:color w:val="auto"/>
          <w:sz w:val="24"/>
        </w:rPr>
        <w:t>。</w:t>
      </w:r>
    </w:p>
    <w:p w14:paraId="104B80D8">
      <w:pPr>
        <w:pStyle w:val="94"/>
        <w:numPr>
          <w:ilvl w:val="0"/>
          <w:numId w:val="47"/>
        </w:numPr>
        <w:ind w:left="0" w:firstLine="480"/>
        <w:rPr>
          <w:rFonts w:cs="Arial"/>
          <w:bCs/>
          <w:color w:val="auto"/>
          <w:sz w:val="24"/>
        </w:rPr>
      </w:pPr>
      <w:r>
        <w:rPr>
          <w:rFonts w:cs="Arial"/>
          <w:bCs/>
          <w:color w:val="auto"/>
          <w:sz w:val="24"/>
        </w:rPr>
        <w:t>支持定义医院、科室、个人不同等级的西药模板、诊疗模板、草药模板、常用药品模板，实现快速下达医嘱。</w:t>
      </w:r>
    </w:p>
    <w:p w14:paraId="0D2CFF06">
      <w:pPr>
        <w:pStyle w:val="94"/>
        <w:numPr>
          <w:ilvl w:val="0"/>
          <w:numId w:val="47"/>
        </w:numPr>
        <w:ind w:left="0" w:firstLine="480"/>
        <w:rPr>
          <w:rFonts w:cs="Arial"/>
          <w:bCs/>
          <w:color w:val="auto"/>
          <w:sz w:val="24"/>
        </w:rPr>
      </w:pPr>
      <w:r>
        <w:rPr>
          <w:rFonts w:cs="Arial"/>
          <w:bCs/>
          <w:color w:val="auto"/>
          <w:sz w:val="24"/>
        </w:rPr>
        <w:t>提供检查申请单、检验申请单勾选医嘱项目</w:t>
      </w:r>
      <w:r>
        <w:rPr>
          <w:rFonts w:hint="eastAsia" w:cs="Arial"/>
          <w:bCs/>
          <w:color w:val="auto"/>
          <w:sz w:val="24"/>
        </w:rPr>
        <w:t>快速下达检查、检查申请。</w:t>
      </w:r>
    </w:p>
    <w:p w14:paraId="1756DA7D">
      <w:pPr>
        <w:pStyle w:val="94"/>
        <w:numPr>
          <w:ilvl w:val="0"/>
          <w:numId w:val="47"/>
        </w:numPr>
        <w:ind w:left="0" w:firstLine="480"/>
        <w:rPr>
          <w:rFonts w:cs="Arial"/>
          <w:bCs/>
          <w:color w:val="auto"/>
          <w:sz w:val="24"/>
        </w:rPr>
      </w:pPr>
      <w:r>
        <w:rPr>
          <w:rFonts w:hint="eastAsia" w:cs="Arial"/>
          <w:bCs/>
          <w:color w:val="auto"/>
          <w:sz w:val="24"/>
        </w:rPr>
        <w:t>支持检验检查申请单格式与手工格式保持一致。</w:t>
      </w:r>
    </w:p>
    <w:p w14:paraId="2CFE3029">
      <w:pPr>
        <w:pStyle w:val="94"/>
        <w:numPr>
          <w:ilvl w:val="0"/>
          <w:numId w:val="47"/>
        </w:numPr>
        <w:ind w:left="0" w:firstLine="480"/>
        <w:rPr>
          <w:rFonts w:cs="Arial"/>
          <w:bCs/>
          <w:color w:val="auto"/>
          <w:sz w:val="24"/>
        </w:rPr>
      </w:pPr>
      <w:r>
        <w:rPr>
          <w:rFonts w:hint="eastAsia" w:cs="Arial"/>
          <w:bCs/>
          <w:color w:val="auto"/>
          <w:sz w:val="24"/>
        </w:rPr>
        <w:t>支持自动填写病情摘录及诊断到检验检查申请单。</w:t>
      </w:r>
    </w:p>
    <w:p w14:paraId="691493CA">
      <w:pPr>
        <w:pStyle w:val="94"/>
        <w:numPr>
          <w:ilvl w:val="0"/>
          <w:numId w:val="47"/>
        </w:numPr>
        <w:ind w:left="0" w:firstLine="480"/>
        <w:rPr>
          <w:rFonts w:cs="Arial"/>
          <w:bCs/>
          <w:color w:val="auto"/>
          <w:sz w:val="24"/>
        </w:rPr>
      </w:pPr>
      <w:r>
        <w:rPr>
          <w:rFonts w:cs="Arial"/>
          <w:bCs/>
          <w:color w:val="auto"/>
          <w:sz w:val="24"/>
        </w:rPr>
        <w:t>支持</w:t>
      </w:r>
      <w:r>
        <w:rPr>
          <w:rFonts w:hint="eastAsia" w:cs="Arial"/>
          <w:bCs/>
          <w:color w:val="auto"/>
          <w:sz w:val="24"/>
        </w:rPr>
        <w:t>检查申请单自动按部及类型计费。</w:t>
      </w:r>
    </w:p>
    <w:p w14:paraId="23AFC68E">
      <w:pPr>
        <w:pStyle w:val="94"/>
        <w:numPr>
          <w:ilvl w:val="0"/>
          <w:numId w:val="47"/>
        </w:numPr>
        <w:ind w:left="0" w:firstLine="480"/>
        <w:rPr>
          <w:rFonts w:cs="Arial"/>
          <w:bCs/>
          <w:color w:val="auto"/>
          <w:sz w:val="24"/>
        </w:rPr>
      </w:pPr>
      <w:r>
        <w:rPr>
          <w:rFonts w:hint="eastAsia" w:cs="Arial"/>
          <w:bCs/>
          <w:color w:val="auto"/>
          <w:sz w:val="24"/>
        </w:rPr>
        <w:t>中药处方支持经验方，自拟方，固定方等录入方式。</w:t>
      </w:r>
    </w:p>
    <w:p w14:paraId="5F0DB30B">
      <w:pPr>
        <w:pStyle w:val="94"/>
        <w:numPr>
          <w:ilvl w:val="0"/>
          <w:numId w:val="47"/>
        </w:numPr>
        <w:ind w:left="0" w:firstLine="480"/>
        <w:rPr>
          <w:rFonts w:cs="Arial"/>
          <w:bCs/>
          <w:color w:val="auto"/>
          <w:sz w:val="24"/>
        </w:rPr>
      </w:pPr>
      <w:r>
        <w:rPr>
          <w:rFonts w:cs="Arial"/>
          <w:bCs/>
          <w:color w:val="auto"/>
          <w:sz w:val="24"/>
        </w:rPr>
        <w:t>支持中药配方保密。</w:t>
      </w:r>
    </w:p>
    <w:p w14:paraId="1DFD5FC7">
      <w:pPr>
        <w:pStyle w:val="94"/>
        <w:numPr>
          <w:ilvl w:val="0"/>
          <w:numId w:val="47"/>
        </w:numPr>
        <w:ind w:left="0" w:firstLine="480"/>
        <w:rPr>
          <w:rFonts w:cs="Arial"/>
          <w:bCs/>
          <w:color w:val="auto"/>
          <w:sz w:val="24"/>
        </w:rPr>
      </w:pPr>
      <w:r>
        <w:rPr>
          <w:rFonts w:cs="Arial"/>
          <w:bCs/>
          <w:color w:val="auto"/>
          <w:sz w:val="24"/>
        </w:rPr>
        <w:t>支持单科特殊药物做出限制与提示。</w:t>
      </w:r>
    </w:p>
    <w:p w14:paraId="673BF807">
      <w:pPr>
        <w:pStyle w:val="94"/>
        <w:numPr>
          <w:ilvl w:val="0"/>
          <w:numId w:val="47"/>
        </w:numPr>
        <w:ind w:left="0" w:firstLine="480"/>
        <w:rPr>
          <w:rFonts w:cs="Arial"/>
          <w:bCs/>
          <w:color w:val="auto"/>
          <w:sz w:val="24"/>
        </w:rPr>
      </w:pPr>
      <w:r>
        <w:rPr>
          <w:rFonts w:cs="Arial"/>
          <w:bCs/>
          <w:color w:val="auto"/>
          <w:sz w:val="24"/>
        </w:rPr>
        <w:t>支持诊断与所开药的适应症、剂量等问题给出相应的提示与警示。</w:t>
      </w:r>
    </w:p>
    <w:p w14:paraId="178422F0">
      <w:pPr>
        <w:pStyle w:val="94"/>
        <w:numPr>
          <w:ilvl w:val="0"/>
          <w:numId w:val="47"/>
        </w:numPr>
        <w:ind w:left="0" w:firstLine="480"/>
        <w:rPr>
          <w:rFonts w:cs="Arial"/>
          <w:bCs/>
          <w:color w:val="auto"/>
          <w:sz w:val="24"/>
        </w:rPr>
      </w:pPr>
      <w:r>
        <w:rPr>
          <w:rFonts w:cs="Arial"/>
          <w:bCs/>
          <w:color w:val="auto"/>
          <w:sz w:val="24"/>
        </w:rPr>
        <w:t>支持毒麻药品、贵重药品提示。</w:t>
      </w:r>
    </w:p>
    <w:p w14:paraId="0A6DAC25">
      <w:pPr>
        <w:pStyle w:val="94"/>
        <w:numPr>
          <w:ilvl w:val="0"/>
          <w:numId w:val="47"/>
        </w:numPr>
        <w:ind w:left="0" w:firstLine="480"/>
        <w:rPr>
          <w:rFonts w:cs="Arial"/>
          <w:bCs/>
          <w:color w:val="auto"/>
          <w:sz w:val="24"/>
        </w:rPr>
      </w:pPr>
      <w:r>
        <w:rPr>
          <w:rFonts w:cs="Arial"/>
          <w:bCs/>
          <w:color w:val="auto"/>
          <w:sz w:val="24"/>
        </w:rPr>
        <w:t>支持下达药品医嘱时，可查看项目名称、规格、价格、医保费用类别、库存等信息。</w:t>
      </w:r>
    </w:p>
    <w:p w14:paraId="13A7CF47">
      <w:pPr>
        <w:pStyle w:val="94"/>
        <w:numPr>
          <w:ilvl w:val="0"/>
          <w:numId w:val="47"/>
        </w:numPr>
        <w:ind w:left="0" w:firstLine="480"/>
        <w:rPr>
          <w:rFonts w:cs="Arial"/>
          <w:bCs/>
          <w:color w:val="auto"/>
          <w:sz w:val="24"/>
        </w:rPr>
      </w:pPr>
      <w:r>
        <w:rPr>
          <w:rFonts w:cs="Arial"/>
          <w:bCs/>
          <w:color w:val="auto"/>
          <w:sz w:val="24"/>
        </w:rPr>
        <w:t>支持下达药品医嘱时，不显示无库存药品。</w:t>
      </w:r>
    </w:p>
    <w:p w14:paraId="706A8287">
      <w:pPr>
        <w:pStyle w:val="94"/>
        <w:numPr>
          <w:ilvl w:val="0"/>
          <w:numId w:val="47"/>
        </w:numPr>
        <w:ind w:left="0" w:firstLine="480"/>
        <w:rPr>
          <w:rFonts w:cs="Arial"/>
          <w:bCs/>
          <w:color w:val="auto"/>
          <w:sz w:val="24"/>
        </w:rPr>
      </w:pPr>
      <w:r>
        <w:rPr>
          <w:rFonts w:cs="Arial"/>
          <w:bCs/>
          <w:color w:val="auto"/>
          <w:sz w:val="24"/>
        </w:rPr>
        <w:t>支持</w:t>
      </w:r>
      <w:r>
        <w:rPr>
          <w:rFonts w:hint="eastAsia" w:cs="Arial"/>
          <w:bCs/>
          <w:color w:val="auto"/>
          <w:sz w:val="24"/>
        </w:rPr>
        <w:t>在</w:t>
      </w:r>
      <w:r>
        <w:rPr>
          <w:rFonts w:cs="Arial"/>
          <w:bCs/>
          <w:color w:val="auto"/>
          <w:sz w:val="24"/>
        </w:rPr>
        <w:t>医嘱</w:t>
      </w:r>
      <w:r>
        <w:rPr>
          <w:rFonts w:hint="eastAsia" w:cs="Arial"/>
          <w:bCs/>
          <w:color w:val="auto"/>
          <w:sz w:val="24"/>
        </w:rPr>
        <w:t>保存</w:t>
      </w:r>
      <w:r>
        <w:rPr>
          <w:rFonts w:cs="Arial"/>
          <w:bCs/>
          <w:color w:val="auto"/>
          <w:sz w:val="24"/>
        </w:rPr>
        <w:t>时校验库存，库存不足给予提示</w:t>
      </w:r>
      <w:r>
        <w:rPr>
          <w:rFonts w:hint="eastAsia" w:cs="Arial"/>
          <w:bCs/>
          <w:color w:val="auto"/>
          <w:sz w:val="24"/>
        </w:rPr>
        <w:t>；</w:t>
      </w:r>
    </w:p>
    <w:p w14:paraId="57EC0CE7">
      <w:pPr>
        <w:pStyle w:val="94"/>
        <w:numPr>
          <w:ilvl w:val="0"/>
          <w:numId w:val="47"/>
        </w:numPr>
        <w:ind w:left="0" w:firstLine="480"/>
        <w:rPr>
          <w:rFonts w:cs="Arial"/>
          <w:bCs/>
          <w:color w:val="auto"/>
          <w:sz w:val="24"/>
        </w:rPr>
      </w:pPr>
      <w:r>
        <w:rPr>
          <w:rFonts w:cs="Arial"/>
          <w:bCs/>
          <w:color w:val="auto"/>
          <w:sz w:val="24"/>
        </w:rPr>
        <w:t>下达输液、注射类药品医嘱时，输液注射费支持多种计费模式。</w:t>
      </w:r>
    </w:p>
    <w:p w14:paraId="66C5A3B8">
      <w:pPr>
        <w:pStyle w:val="94"/>
        <w:numPr>
          <w:ilvl w:val="0"/>
          <w:numId w:val="47"/>
        </w:numPr>
        <w:ind w:left="0" w:firstLine="480"/>
        <w:rPr>
          <w:rFonts w:cs="Arial"/>
          <w:bCs/>
          <w:color w:val="auto"/>
          <w:sz w:val="24"/>
        </w:rPr>
      </w:pPr>
      <w:r>
        <w:rPr>
          <w:rFonts w:cs="Arial"/>
          <w:bCs/>
          <w:color w:val="auto"/>
          <w:sz w:val="24"/>
        </w:rPr>
        <w:t>支持医保费用的提示和控制功能。</w:t>
      </w:r>
    </w:p>
    <w:p w14:paraId="4DB939C9">
      <w:pPr>
        <w:pStyle w:val="94"/>
        <w:numPr>
          <w:ilvl w:val="0"/>
          <w:numId w:val="47"/>
        </w:numPr>
        <w:ind w:left="0" w:firstLine="480"/>
        <w:rPr>
          <w:rFonts w:cs="Arial"/>
          <w:bCs/>
          <w:color w:val="auto"/>
          <w:sz w:val="24"/>
        </w:rPr>
      </w:pPr>
      <w:r>
        <w:rPr>
          <w:rFonts w:hint="eastAsia" w:cs="Arial"/>
          <w:bCs/>
          <w:color w:val="auto"/>
          <w:sz w:val="24"/>
        </w:rPr>
        <w:t>支持抗生素药物分级管理，不同级别的医生开出不同级别的抗生素药。</w:t>
      </w:r>
    </w:p>
    <w:p w14:paraId="2C6FC3D3">
      <w:pPr>
        <w:pStyle w:val="94"/>
        <w:numPr>
          <w:ilvl w:val="0"/>
          <w:numId w:val="47"/>
        </w:numPr>
        <w:ind w:left="0" w:firstLine="480"/>
        <w:rPr>
          <w:rFonts w:cs="Arial"/>
          <w:bCs/>
          <w:color w:val="auto"/>
          <w:sz w:val="24"/>
        </w:rPr>
      </w:pPr>
      <w:r>
        <w:rPr>
          <w:rFonts w:cs="Arial"/>
          <w:bCs/>
          <w:color w:val="auto"/>
          <w:sz w:val="24"/>
        </w:rPr>
        <w:t>支持门诊患者一键转住院登记。</w:t>
      </w:r>
    </w:p>
    <w:p w14:paraId="28D19A60">
      <w:pPr>
        <w:pStyle w:val="94"/>
        <w:numPr>
          <w:ilvl w:val="0"/>
          <w:numId w:val="47"/>
        </w:numPr>
        <w:ind w:left="0" w:firstLine="480"/>
        <w:rPr>
          <w:rFonts w:cs="Arial"/>
          <w:bCs/>
          <w:color w:val="auto"/>
          <w:sz w:val="24"/>
        </w:rPr>
      </w:pPr>
      <w:r>
        <w:rPr>
          <w:rFonts w:cs="Arial"/>
          <w:bCs/>
          <w:color w:val="auto"/>
          <w:sz w:val="24"/>
        </w:rPr>
        <w:t>支持下达医嘱后，自动打印患者就诊导引单。</w:t>
      </w:r>
    </w:p>
    <w:p w14:paraId="5AD70E60">
      <w:pPr>
        <w:pStyle w:val="94"/>
        <w:numPr>
          <w:ilvl w:val="0"/>
          <w:numId w:val="47"/>
        </w:numPr>
        <w:ind w:left="0" w:firstLine="480"/>
        <w:rPr>
          <w:rFonts w:cs="Arial"/>
          <w:bCs/>
          <w:color w:val="auto"/>
          <w:sz w:val="24"/>
        </w:rPr>
      </w:pPr>
      <w:r>
        <w:rPr>
          <w:rFonts w:cs="Arial"/>
          <w:bCs/>
          <w:color w:val="auto"/>
          <w:sz w:val="24"/>
        </w:rPr>
        <w:t>提供根据皮试结果控制医生开药功能。</w:t>
      </w:r>
    </w:p>
    <w:p w14:paraId="5D6120CA">
      <w:pPr>
        <w:pStyle w:val="94"/>
        <w:numPr>
          <w:ilvl w:val="0"/>
          <w:numId w:val="47"/>
        </w:numPr>
        <w:ind w:left="0" w:firstLine="480"/>
        <w:rPr>
          <w:rFonts w:cs="Arial"/>
          <w:bCs/>
          <w:color w:val="auto"/>
          <w:sz w:val="24"/>
        </w:rPr>
      </w:pPr>
      <w:r>
        <w:rPr>
          <w:rFonts w:hint="eastAsia" w:cs="Arial"/>
          <w:bCs/>
          <w:color w:val="auto"/>
          <w:sz w:val="24"/>
        </w:rPr>
        <w:t>支持下达需皮试药品时，自动产生皮试医嘱。</w:t>
      </w:r>
    </w:p>
    <w:p w14:paraId="7F55AC94">
      <w:pPr>
        <w:pStyle w:val="94"/>
        <w:numPr>
          <w:ilvl w:val="0"/>
          <w:numId w:val="47"/>
        </w:numPr>
        <w:ind w:left="0" w:firstLine="480"/>
        <w:rPr>
          <w:rFonts w:cs="Arial"/>
          <w:bCs/>
          <w:color w:val="auto"/>
          <w:sz w:val="24"/>
        </w:rPr>
      </w:pPr>
      <w:r>
        <w:rPr>
          <w:rFonts w:hint="eastAsia" w:cs="Arial"/>
          <w:bCs/>
          <w:color w:val="auto"/>
          <w:sz w:val="24"/>
        </w:rPr>
        <w:t>提供费用提示：未记费的处方可修改，收费后自动传到相关科室，并能自动排序，收费后处方不允许直接修改，应允许用户根据实际需求，选择不同的退费处理模式，如是否需要药房确认等。</w:t>
      </w:r>
    </w:p>
    <w:p w14:paraId="08E1BDA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一体化应用</w:t>
      </w:r>
      <w:bookmarkEnd w:id="156"/>
    </w:p>
    <w:p w14:paraId="493669E5">
      <w:pPr>
        <w:pStyle w:val="94"/>
        <w:numPr>
          <w:ilvl w:val="0"/>
          <w:numId w:val="48"/>
        </w:numPr>
        <w:ind w:left="0" w:firstLine="480"/>
        <w:rPr>
          <w:rFonts w:cs="Arial"/>
          <w:bCs/>
          <w:color w:val="auto"/>
          <w:sz w:val="24"/>
        </w:rPr>
      </w:pPr>
      <w:r>
        <w:rPr>
          <w:rFonts w:cs="Arial"/>
          <w:bCs/>
          <w:color w:val="auto"/>
          <w:sz w:val="24"/>
        </w:rPr>
        <w:t>支持查看历次检验、检查、心电结果，并支持对比功能，含</w:t>
      </w:r>
      <w:r>
        <w:rPr>
          <w:rFonts w:hint="eastAsia" w:cs="Arial"/>
          <w:bCs/>
          <w:color w:val="auto"/>
          <w:sz w:val="24"/>
        </w:rPr>
        <w:t>所有检查、检验结果</w:t>
      </w:r>
      <w:r>
        <w:rPr>
          <w:rFonts w:cs="Arial"/>
          <w:bCs/>
          <w:color w:val="auto"/>
          <w:sz w:val="24"/>
        </w:rPr>
        <w:t>。</w:t>
      </w:r>
    </w:p>
    <w:p w14:paraId="6C935F9C">
      <w:pPr>
        <w:pStyle w:val="94"/>
        <w:numPr>
          <w:ilvl w:val="0"/>
          <w:numId w:val="48"/>
        </w:numPr>
        <w:ind w:left="0" w:firstLine="480"/>
        <w:rPr>
          <w:rFonts w:cs="Arial"/>
          <w:bCs/>
          <w:color w:val="auto"/>
          <w:sz w:val="24"/>
        </w:rPr>
      </w:pPr>
      <w:r>
        <w:rPr>
          <w:rFonts w:cs="Arial"/>
          <w:bCs/>
          <w:color w:val="auto"/>
          <w:sz w:val="24"/>
        </w:rPr>
        <w:t>支持查看检验检查闭环</w:t>
      </w:r>
      <w:r>
        <w:rPr>
          <w:rFonts w:hint="eastAsia" w:cs="Arial"/>
          <w:bCs/>
          <w:color w:val="auto"/>
          <w:sz w:val="24"/>
        </w:rPr>
        <w:t>，</w:t>
      </w:r>
      <w:r>
        <w:rPr>
          <w:rFonts w:cs="Arial"/>
          <w:bCs/>
          <w:color w:val="auto"/>
          <w:sz w:val="24"/>
        </w:rPr>
        <w:t>实时了解检查动态</w:t>
      </w:r>
      <w:r>
        <w:rPr>
          <w:rFonts w:hint="eastAsia" w:cs="Arial"/>
          <w:bCs/>
          <w:color w:val="auto"/>
          <w:sz w:val="24"/>
        </w:rPr>
        <w:t>。</w:t>
      </w:r>
    </w:p>
    <w:p w14:paraId="43BA72E5">
      <w:pPr>
        <w:pStyle w:val="94"/>
        <w:numPr>
          <w:ilvl w:val="0"/>
          <w:numId w:val="48"/>
        </w:numPr>
        <w:ind w:left="0" w:firstLine="480"/>
        <w:rPr>
          <w:rFonts w:cs="Arial"/>
          <w:bCs/>
          <w:color w:val="auto"/>
          <w:sz w:val="24"/>
        </w:rPr>
      </w:pPr>
      <w:r>
        <w:rPr>
          <w:rFonts w:cs="Arial"/>
          <w:bCs/>
          <w:color w:val="auto"/>
          <w:sz w:val="24"/>
        </w:rPr>
        <w:t>支持闭环时间轴精确到执行人</w:t>
      </w:r>
      <w:r>
        <w:rPr>
          <w:rFonts w:hint="eastAsia" w:cs="Arial"/>
          <w:bCs/>
          <w:color w:val="auto"/>
          <w:sz w:val="24"/>
        </w:rPr>
        <w:t>。</w:t>
      </w:r>
    </w:p>
    <w:p w14:paraId="1D9A9559">
      <w:pPr>
        <w:pStyle w:val="94"/>
        <w:numPr>
          <w:ilvl w:val="0"/>
          <w:numId w:val="48"/>
        </w:numPr>
        <w:ind w:left="0" w:firstLine="480"/>
        <w:rPr>
          <w:rFonts w:cs="Arial"/>
          <w:bCs/>
          <w:color w:val="auto"/>
          <w:sz w:val="24"/>
        </w:rPr>
      </w:pPr>
      <w:r>
        <w:rPr>
          <w:rFonts w:cs="Arial"/>
          <w:bCs/>
          <w:color w:val="auto"/>
          <w:sz w:val="24"/>
        </w:rPr>
        <w:t>支持门诊医生查看或填写危急值处理信息</w:t>
      </w:r>
      <w:r>
        <w:rPr>
          <w:rFonts w:hint="eastAsia" w:cs="Arial"/>
          <w:bCs/>
          <w:color w:val="auto"/>
          <w:sz w:val="24"/>
        </w:rPr>
        <w:t>。</w:t>
      </w:r>
    </w:p>
    <w:p w14:paraId="17798C6F">
      <w:pPr>
        <w:pStyle w:val="94"/>
        <w:numPr>
          <w:ilvl w:val="0"/>
          <w:numId w:val="48"/>
        </w:numPr>
        <w:ind w:left="0" w:firstLine="480"/>
        <w:rPr>
          <w:rFonts w:cs="Arial"/>
          <w:bCs/>
          <w:color w:val="auto"/>
          <w:sz w:val="24"/>
        </w:rPr>
      </w:pPr>
      <w:r>
        <w:rPr>
          <w:rFonts w:cs="Arial"/>
          <w:bCs/>
          <w:color w:val="auto"/>
          <w:sz w:val="24"/>
        </w:rPr>
        <w:t>支持影像图像操作，如图像测量、调窗等。</w:t>
      </w:r>
    </w:p>
    <w:p w14:paraId="07A489E5">
      <w:pPr>
        <w:pStyle w:val="94"/>
        <w:numPr>
          <w:ilvl w:val="0"/>
          <w:numId w:val="48"/>
        </w:numPr>
        <w:ind w:left="0" w:firstLine="480"/>
        <w:rPr>
          <w:rFonts w:cs="Arial"/>
          <w:bCs/>
          <w:color w:val="auto"/>
          <w:sz w:val="24"/>
        </w:rPr>
      </w:pPr>
      <w:r>
        <w:rPr>
          <w:rFonts w:hint="eastAsia" w:cs="Arial"/>
          <w:bCs/>
          <w:color w:val="auto"/>
          <w:sz w:val="24"/>
        </w:rPr>
        <w:t>支持原始心电图的测量、放大观察等操作。</w:t>
      </w:r>
    </w:p>
    <w:p w14:paraId="2B819567">
      <w:pPr>
        <w:pStyle w:val="94"/>
        <w:numPr>
          <w:ilvl w:val="0"/>
          <w:numId w:val="48"/>
        </w:numPr>
        <w:ind w:left="0" w:firstLine="480"/>
        <w:rPr>
          <w:rFonts w:cs="Arial"/>
          <w:bCs/>
          <w:color w:val="auto"/>
          <w:sz w:val="24"/>
        </w:rPr>
      </w:pPr>
      <w:r>
        <w:rPr>
          <w:rFonts w:hint="eastAsia" w:cs="Arial"/>
          <w:bCs/>
          <w:color w:val="auto"/>
          <w:sz w:val="24"/>
        </w:rPr>
        <w:t>支持上报、登记传染病例具体信息。</w:t>
      </w:r>
    </w:p>
    <w:p w14:paraId="7B06C099">
      <w:pPr>
        <w:pStyle w:val="94"/>
        <w:numPr>
          <w:ilvl w:val="0"/>
          <w:numId w:val="48"/>
        </w:numPr>
        <w:ind w:left="0" w:firstLine="480"/>
        <w:rPr>
          <w:rFonts w:cs="Arial"/>
          <w:bCs/>
          <w:color w:val="auto"/>
          <w:sz w:val="24"/>
        </w:rPr>
      </w:pPr>
      <w:r>
        <w:rPr>
          <w:rFonts w:cs="Arial"/>
          <w:bCs/>
          <w:color w:val="auto"/>
          <w:sz w:val="24"/>
        </w:rPr>
        <w:t>支持检验、检查危急值报告查看及处理。</w:t>
      </w:r>
    </w:p>
    <w:p w14:paraId="0E1E9049">
      <w:pPr>
        <w:pStyle w:val="94"/>
        <w:numPr>
          <w:ilvl w:val="0"/>
          <w:numId w:val="48"/>
        </w:numPr>
        <w:ind w:left="0" w:firstLine="480"/>
        <w:rPr>
          <w:rFonts w:cs="Arial"/>
          <w:bCs/>
          <w:color w:val="auto"/>
          <w:sz w:val="24"/>
        </w:rPr>
      </w:pPr>
      <w:r>
        <w:rPr>
          <w:rFonts w:cs="Arial"/>
          <w:bCs/>
          <w:color w:val="auto"/>
          <w:sz w:val="24"/>
        </w:rPr>
        <w:t>支持诊疗项目查询、患者就诊费用查询、统计。</w:t>
      </w:r>
    </w:p>
    <w:p w14:paraId="18844984">
      <w:pPr>
        <w:pStyle w:val="94"/>
        <w:numPr>
          <w:ilvl w:val="0"/>
          <w:numId w:val="48"/>
        </w:numPr>
        <w:ind w:left="0" w:firstLine="480"/>
        <w:rPr>
          <w:rFonts w:cs="Arial"/>
          <w:bCs/>
          <w:color w:val="auto"/>
          <w:sz w:val="24"/>
        </w:rPr>
      </w:pPr>
      <w:r>
        <w:rPr>
          <w:rFonts w:cs="Arial"/>
          <w:bCs/>
          <w:color w:val="auto"/>
          <w:sz w:val="24"/>
        </w:rPr>
        <w:t>支持医生工作量的统计。</w:t>
      </w:r>
    </w:p>
    <w:p w14:paraId="23C6C9E1">
      <w:pPr>
        <w:pStyle w:val="94"/>
        <w:numPr>
          <w:ilvl w:val="0"/>
          <w:numId w:val="48"/>
        </w:numPr>
        <w:ind w:left="0" w:firstLine="480"/>
        <w:rPr>
          <w:rFonts w:cs="Arial"/>
          <w:bCs/>
          <w:color w:val="auto"/>
          <w:sz w:val="24"/>
        </w:rPr>
      </w:pPr>
      <w:r>
        <w:rPr>
          <w:rFonts w:hint="eastAsia" w:cs="Arial"/>
          <w:bCs/>
          <w:color w:val="auto"/>
          <w:sz w:val="24"/>
        </w:rPr>
        <w:t>支持门诊双向转诊功能。</w:t>
      </w:r>
    </w:p>
    <w:p w14:paraId="1199FD00">
      <w:pPr>
        <w:pStyle w:val="14"/>
        <w:bidi w:val="0"/>
        <w:rPr>
          <w:color w:val="auto"/>
        </w:rPr>
      </w:pPr>
      <w:r>
        <w:rPr>
          <w:rFonts w:hint="eastAsia"/>
          <w:color w:val="auto"/>
          <w:lang w:val="en-US" w:eastAsia="zh-CN"/>
        </w:rPr>
        <w:t xml:space="preserve"> </w:t>
      </w:r>
      <w:r>
        <w:rPr>
          <w:rFonts w:hint="eastAsia"/>
          <w:color w:val="auto"/>
        </w:rPr>
        <w:t>门急诊一体化电子病历</w:t>
      </w:r>
    </w:p>
    <w:p w14:paraId="6118C5D9">
      <w:pPr>
        <w:bidi w:val="0"/>
        <w:rPr>
          <w:color w:val="auto"/>
        </w:rPr>
      </w:pPr>
      <w:r>
        <w:rPr>
          <w:color w:val="auto"/>
        </w:rPr>
        <w:t>提供智能化、结构化的病历书写与管理功能，支持多级模板调用、医学公式与图像标注，并与医嘱、检验等临床数据深度集成，实现高效、规范的病历创建与共享，同时符合卫生部数据标准，确保病历的完整性与可追溯性。</w:t>
      </w:r>
    </w:p>
    <w:p w14:paraId="08345DF1">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91932DA">
      <w:pPr>
        <w:pStyle w:val="341"/>
        <w:spacing w:beforeLines="0"/>
        <w:ind w:firstLine="482"/>
        <w:rPr>
          <w:rFonts w:hint="eastAsia" w:ascii="宋体" w:hAnsi="宋体" w:cs="仿宋"/>
          <w:b/>
          <w:bCs/>
          <w:color w:val="auto"/>
          <w:sz w:val="24"/>
          <w:szCs w:val="24"/>
        </w:rPr>
      </w:pPr>
      <w:bookmarkStart w:id="157" w:name="_Toc106372964"/>
      <w:r>
        <w:rPr>
          <w:rFonts w:hint="eastAsia" w:ascii="宋体" w:hAnsi="宋体" w:cs="仿宋"/>
          <w:b/>
          <w:bCs/>
          <w:color w:val="auto"/>
          <w:sz w:val="24"/>
          <w:szCs w:val="24"/>
        </w:rPr>
        <w:t>病历模板</w:t>
      </w:r>
      <w:bookmarkEnd w:id="157"/>
    </w:p>
    <w:p w14:paraId="7A59A4B1">
      <w:pPr>
        <w:pStyle w:val="94"/>
        <w:numPr>
          <w:ilvl w:val="0"/>
          <w:numId w:val="49"/>
        </w:numPr>
        <w:ind w:left="0" w:firstLine="480"/>
        <w:rPr>
          <w:rFonts w:cs="Arial"/>
          <w:bCs/>
          <w:color w:val="auto"/>
          <w:sz w:val="24"/>
        </w:rPr>
      </w:pPr>
      <w:bookmarkStart w:id="158" w:name="_Toc106372965"/>
      <w:r>
        <w:rPr>
          <w:rFonts w:cs="Arial"/>
          <w:bCs/>
          <w:color w:val="auto"/>
          <w:sz w:val="24"/>
        </w:rPr>
        <w:t>提供本科模板</w:t>
      </w:r>
      <w:r>
        <w:rPr>
          <w:rFonts w:hint="eastAsia" w:cs="Arial"/>
          <w:bCs/>
          <w:color w:val="auto"/>
          <w:sz w:val="24"/>
        </w:rPr>
        <w:t>、</w:t>
      </w:r>
      <w:r>
        <w:rPr>
          <w:rFonts w:cs="Arial"/>
          <w:bCs/>
          <w:color w:val="auto"/>
          <w:sz w:val="24"/>
        </w:rPr>
        <w:t>全院模板</w:t>
      </w:r>
      <w:r>
        <w:rPr>
          <w:rFonts w:hint="eastAsia" w:cs="Arial"/>
          <w:bCs/>
          <w:color w:val="auto"/>
          <w:sz w:val="24"/>
        </w:rPr>
        <w:t>、</w:t>
      </w:r>
      <w:r>
        <w:rPr>
          <w:rFonts w:cs="Arial"/>
          <w:bCs/>
          <w:color w:val="auto"/>
          <w:sz w:val="24"/>
        </w:rPr>
        <w:t>整体模板</w:t>
      </w:r>
      <w:r>
        <w:rPr>
          <w:rFonts w:hint="eastAsia" w:cs="Arial"/>
          <w:bCs/>
          <w:color w:val="auto"/>
          <w:sz w:val="24"/>
        </w:rPr>
        <w:t>、</w:t>
      </w:r>
      <w:r>
        <w:rPr>
          <w:rFonts w:cs="Arial"/>
          <w:bCs/>
          <w:color w:val="auto"/>
          <w:sz w:val="24"/>
        </w:rPr>
        <w:t>个人整体模板</w:t>
      </w:r>
      <w:r>
        <w:rPr>
          <w:rFonts w:hint="eastAsia" w:cs="Arial"/>
          <w:bCs/>
          <w:color w:val="auto"/>
          <w:sz w:val="24"/>
        </w:rPr>
        <w:t>、个人</w:t>
      </w:r>
      <w:r>
        <w:rPr>
          <w:rFonts w:cs="Arial"/>
          <w:bCs/>
          <w:color w:val="auto"/>
          <w:sz w:val="24"/>
        </w:rPr>
        <w:t>模板组套</w:t>
      </w:r>
      <w:r>
        <w:rPr>
          <w:rFonts w:hint="eastAsia" w:cs="Arial"/>
          <w:bCs/>
          <w:color w:val="auto"/>
          <w:sz w:val="24"/>
        </w:rPr>
        <w:t>、</w:t>
      </w:r>
      <w:r>
        <w:rPr>
          <w:rFonts w:cs="Arial"/>
          <w:bCs/>
          <w:color w:val="auto"/>
          <w:sz w:val="24"/>
        </w:rPr>
        <w:t>个人常用模板浏览功能</w:t>
      </w:r>
      <w:r>
        <w:rPr>
          <w:rFonts w:hint="eastAsia" w:cs="Arial"/>
          <w:bCs/>
          <w:color w:val="auto"/>
          <w:sz w:val="24"/>
        </w:rPr>
        <w:t>。</w:t>
      </w:r>
    </w:p>
    <w:p w14:paraId="5553DFF6">
      <w:pPr>
        <w:pStyle w:val="94"/>
        <w:numPr>
          <w:ilvl w:val="0"/>
          <w:numId w:val="49"/>
        </w:numPr>
        <w:ind w:left="0" w:firstLine="480"/>
        <w:rPr>
          <w:rFonts w:cs="Arial"/>
          <w:bCs/>
          <w:color w:val="auto"/>
          <w:sz w:val="24"/>
        </w:rPr>
      </w:pPr>
      <w:r>
        <w:rPr>
          <w:rFonts w:cs="Arial"/>
          <w:bCs/>
          <w:color w:val="auto"/>
          <w:sz w:val="24"/>
        </w:rPr>
        <w:t>支持模板多选并保存为</w:t>
      </w:r>
      <w:r>
        <w:rPr>
          <w:rFonts w:hint="eastAsia" w:cs="Arial"/>
          <w:bCs/>
          <w:color w:val="auto"/>
          <w:sz w:val="24"/>
        </w:rPr>
        <w:t>模板组套，在创建病历时，通过模板组套一次性创建多份病历。</w:t>
      </w:r>
    </w:p>
    <w:p w14:paraId="1F74F5A4">
      <w:pPr>
        <w:pStyle w:val="94"/>
        <w:numPr>
          <w:ilvl w:val="0"/>
          <w:numId w:val="49"/>
        </w:numPr>
        <w:ind w:left="0" w:firstLine="480"/>
        <w:rPr>
          <w:rFonts w:cs="Arial"/>
          <w:bCs/>
          <w:color w:val="auto"/>
          <w:sz w:val="24"/>
        </w:rPr>
      </w:pPr>
      <w:r>
        <w:rPr>
          <w:rFonts w:cs="Arial"/>
          <w:bCs/>
          <w:color w:val="auto"/>
          <w:sz w:val="24"/>
        </w:rPr>
        <w:t>支持根据病历分类查找病历</w:t>
      </w:r>
      <w:r>
        <w:rPr>
          <w:rFonts w:hint="eastAsia" w:cs="Arial"/>
          <w:bCs/>
          <w:color w:val="auto"/>
          <w:sz w:val="24"/>
        </w:rPr>
        <w:t>。</w:t>
      </w:r>
    </w:p>
    <w:p w14:paraId="36EA5AE7">
      <w:pPr>
        <w:pStyle w:val="94"/>
        <w:numPr>
          <w:ilvl w:val="0"/>
          <w:numId w:val="49"/>
        </w:numPr>
        <w:ind w:left="0" w:firstLine="480"/>
        <w:rPr>
          <w:rFonts w:cs="Arial"/>
          <w:bCs/>
          <w:color w:val="auto"/>
          <w:sz w:val="24"/>
        </w:rPr>
      </w:pPr>
      <w:r>
        <w:rPr>
          <w:rFonts w:cs="Arial"/>
          <w:bCs/>
          <w:color w:val="auto"/>
          <w:sz w:val="24"/>
        </w:rPr>
        <w:t>支持通过拼音码</w:t>
      </w:r>
      <w:r>
        <w:rPr>
          <w:rFonts w:hint="eastAsia" w:cs="Arial"/>
          <w:bCs/>
          <w:color w:val="auto"/>
          <w:sz w:val="24"/>
        </w:rPr>
        <w:t>、</w:t>
      </w:r>
      <w:r>
        <w:rPr>
          <w:rFonts w:cs="Arial"/>
          <w:bCs/>
          <w:color w:val="auto"/>
          <w:sz w:val="24"/>
        </w:rPr>
        <w:t>五笔码筛选病历</w:t>
      </w:r>
      <w:r>
        <w:rPr>
          <w:rFonts w:hint="eastAsia" w:cs="Arial"/>
          <w:bCs/>
          <w:color w:val="auto"/>
          <w:sz w:val="24"/>
        </w:rPr>
        <w:t>。</w:t>
      </w:r>
    </w:p>
    <w:p w14:paraId="4F5CE3FD">
      <w:pPr>
        <w:pStyle w:val="94"/>
        <w:numPr>
          <w:ilvl w:val="0"/>
          <w:numId w:val="49"/>
        </w:numPr>
        <w:ind w:left="0" w:firstLine="480"/>
        <w:rPr>
          <w:rFonts w:cs="Arial"/>
          <w:bCs/>
          <w:color w:val="auto"/>
          <w:sz w:val="24"/>
        </w:rPr>
      </w:pPr>
      <w:r>
        <w:rPr>
          <w:rFonts w:cs="Arial"/>
          <w:bCs/>
          <w:color w:val="auto"/>
          <w:sz w:val="24"/>
        </w:rPr>
        <w:t>支持设置科室模板</w:t>
      </w:r>
      <w:r>
        <w:rPr>
          <w:rFonts w:hint="eastAsia" w:cs="Arial"/>
          <w:bCs/>
          <w:color w:val="auto"/>
          <w:sz w:val="24"/>
        </w:rPr>
        <w:t>。</w:t>
      </w:r>
    </w:p>
    <w:p w14:paraId="06999D61">
      <w:pPr>
        <w:pStyle w:val="94"/>
        <w:numPr>
          <w:ilvl w:val="0"/>
          <w:numId w:val="49"/>
        </w:numPr>
        <w:ind w:left="0" w:firstLine="480"/>
        <w:rPr>
          <w:rFonts w:cs="Arial"/>
          <w:bCs/>
          <w:color w:val="auto"/>
          <w:sz w:val="24"/>
        </w:rPr>
      </w:pPr>
      <w:r>
        <w:rPr>
          <w:rFonts w:cs="Arial"/>
          <w:bCs/>
          <w:color w:val="auto"/>
          <w:sz w:val="24"/>
        </w:rPr>
        <w:t>支持右键标记为常用模板</w:t>
      </w:r>
      <w:r>
        <w:rPr>
          <w:rFonts w:hint="eastAsia" w:cs="Arial"/>
          <w:bCs/>
          <w:color w:val="auto"/>
          <w:sz w:val="24"/>
        </w:rPr>
        <w:t>。</w:t>
      </w:r>
    </w:p>
    <w:p w14:paraId="65EA5E3B">
      <w:pPr>
        <w:pStyle w:val="94"/>
        <w:numPr>
          <w:ilvl w:val="0"/>
          <w:numId w:val="49"/>
        </w:numPr>
        <w:ind w:left="0" w:firstLine="480"/>
        <w:rPr>
          <w:rFonts w:cs="Arial"/>
          <w:bCs/>
          <w:color w:val="auto"/>
          <w:sz w:val="24"/>
        </w:rPr>
      </w:pPr>
      <w:r>
        <w:rPr>
          <w:rFonts w:cs="Arial"/>
          <w:bCs/>
          <w:color w:val="auto"/>
          <w:sz w:val="24"/>
        </w:rPr>
        <w:t>支持病历保存为整体模板，病历书写时可从整体模板中导入。</w:t>
      </w:r>
    </w:p>
    <w:p w14:paraId="76287FD9">
      <w:pPr>
        <w:pStyle w:val="94"/>
        <w:numPr>
          <w:ilvl w:val="0"/>
          <w:numId w:val="49"/>
        </w:numPr>
        <w:ind w:left="0" w:firstLine="480"/>
        <w:rPr>
          <w:rFonts w:cs="Arial"/>
          <w:bCs/>
          <w:color w:val="auto"/>
          <w:sz w:val="24"/>
        </w:rPr>
      </w:pPr>
      <w:r>
        <w:rPr>
          <w:rFonts w:cs="Arial"/>
          <w:bCs/>
          <w:color w:val="auto"/>
          <w:sz w:val="24"/>
        </w:rPr>
        <w:t>整体模板支持公有和私有两种模式，根据模式区分科室是否共享。</w:t>
      </w:r>
    </w:p>
    <w:p w14:paraId="0A36BD45">
      <w:pPr>
        <w:pStyle w:val="94"/>
        <w:numPr>
          <w:ilvl w:val="0"/>
          <w:numId w:val="49"/>
        </w:numPr>
        <w:ind w:left="0" w:firstLine="480"/>
        <w:rPr>
          <w:rFonts w:cs="等线"/>
          <w:color w:val="auto"/>
          <w:sz w:val="24"/>
        </w:rPr>
      </w:pPr>
      <w:r>
        <w:rPr>
          <w:rFonts w:hint="eastAsia" w:cs="等线"/>
          <w:color w:val="auto"/>
          <w:sz w:val="24"/>
        </w:rPr>
        <w:t>可根据各级卫生部门及本院要求，设计各种病历样式。</w:t>
      </w:r>
    </w:p>
    <w:p w14:paraId="06AB792F">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病历书写</w:t>
      </w:r>
      <w:bookmarkEnd w:id="158"/>
    </w:p>
    <w:p w14:paraId="5CD32331">
      <w:pPr>
        <w:pStyle w:val="94"/>
        <w:numPr>
          <w:ilvl w:val="0"/>
          <w:numId w:val="50"/>
        </w:numPr>
        <w:ind w:left="0" w:firstLine="480"/>
        <w:rPr>
          <w:rFonts w:cs="Arial"/>
          <w:bCs/>
          <w:color w:val="auto"/>
          <w:sz w:val="24"/>
        </w:rPr>
      </w:pPr>
      <w:bookmarkStart w:id="159" w:name="_Toc106372966"/>
      <w:r>
        <w:rPr>
          <w:rFonts w:hint="eastAsia" w:cs="Arial"/>
          <w:bCs/>
          <w:color w:val="auto"/>
          <w:sz w:val="24"/>
        </w:rPr>
        <w:t>与门诊医生站一体化设计，减少医生上手熟悉时间，可以自动获取医嘱处方、检验报告、检查报告、心电报告、病人基本信息等。</w:t>
      </w:r>
    </w:p>
    <w:p w14:paraId="07CECFD8">
      <w:pPr>
        <w:pStyle w:val="94"/>
        <w:numPr>
          <w:ilvl w:val="0"/>
          <w:numId w:val="50"/>
        </w:numPr>
        <w:ind w:left="0" w:firstLine="480"/>
        <w:rPr>
          <w:rFonts w:cs="Arial"/>
          <w:bCs/>
          <w:color w:val="auto"/>
          <w:sz w:val="24"/>
        </w:rPr>
      </w:pPr>
      <w:r>
        <w:rPr>
          <w:rFonts w:hint="eastAsia" w:cs="Arial"/>
          <w:bCs/>
          <w:color w:val="auto"/>
          <w:sz w:val="24"/>
        </w:rPr>
        <w:t>支持</w:t>
      </w:r>
      <w:r>
        <w:rPr>
          <w:rFonts w:cs="Arial"/>
          <w:bCs/>
          <w:color w:val="auto"/>
          <w:sz w:val="24"/>
        </w:rPr>
        <w:t>患者基本信息自动带入病历</w:t>
      </w:r>
      <w:r>
        <w:rPr>
          <w:rFonts w:hint="eastAsia" w:cs="Arial"/>
          <w:bCs/>
          <w:color w:val="auto"/>
          <w:sz w:val="24"/>
        </w:rPr>
        <w:t>；</w:t>
      </w:r>
    </w:p>
    <w:p w14:paraId="799345E3">
      <w:pPr>
        <w:pStyle w:val="94"/>
        <w:numPr>
          <w:ilvl w:val="0"/>
          <w:numId w:val="50"/>
        </w:numPr>
        <w:ind w:left="0" w:firstLine="480"/>
        <w:rPr>
          <w:rFonts w:cs="Arial"/>
          <w:bCs/>
          <w:color w:val="auto"/>
          <w:sz w:val="24"/>
        </w:rPr>
      </w:pPr>
      <w:r>
        <w:rPr>
          <w:rFonts w:hint="eastAsia" w:cs="Arial"/>
          <w:bCs/>
          <w:color w:val="auto"/>
          <w:sz w:val="24"/>
        </w:rPr>
        <w:t>支持</w:t>
      </w:r>
      <w:r>
        <w:rPr>
          <w:rFonts w:cs="Arial"/>
          <w:bCs/>
          <w:color w:val="auto"/>
          <w:sz w:val="24"/>
        </w:rPr>
        <w:t>门诊病历的结构化录入</w:t>
      </w:r>
      <w:r>
        <w:rPr>
          <w:rFonts w:hint="eastAsia" w:cs="Arial"/>
          <w:bCs/>
          <w:color w:val="auto"/>
          <w:sz w:val="24"/>
        </w:rPr>
        <w:t>；</w:t>
      </w:r>
    </w:p>
    <w:p w14:paraId="5BB394B5">
      <w:pPr>
        <w:pStyle w:val="94"/>
        <w:numPr>
          <w:ilvl w:val="0"/>
          <w:numId w:val="50"/>
        </w:numPr>
        <w:ind w:left="0" w:firstLine="480"/>
        <w:rPr>
          <w:rFonts w:cs="Arial"/>
          <w:bCs/>
          <w:color w:val="auto"/>
          <w:sz w:val="24"/>
        </w:rPr>
      </w:pPr>
      <w:r>
        <w:rPr>
          <w:rFonts w:hint="eastAsia" w:cs="Arial"/>
          <w:bCs/>
          <w:color w:val="auto"/>
          <w:sz w:val="24"/>
        </w:rPr>
        <w:t>针对门诊、急诊、初诊、复诊不同类型的患者提供病历书写模板。</w:t>
      </w:r>
    </w:p>
    <w:p w14:paraId="408DD0B8">
      <w:pPr>
        <w:pStyle w:val="94"/>
        <w:numPr>
          <w:ilvl w:val="0"/>
          <w:numId w:val="50"/>
        </w:numPr>
        <w:ind w:left="0" w:firstLine="480"/>
        <w:rPr>
          <w:rFonts w:cs="Arial"/>
          <w:bCs/>
          <w:color w:val="auto"/>
          <w:sz w:val="24"/>
        </w:rPr>
      </w:pPr>
      <w:r>
        <w:rPr>
          <w:rFonts w:hint="eastAsia" w:cs="Arial"/>
          <w:bCs/>
          <w:color w:val="auto"/>
          <w:sz w:val="24"/>
        </w:rPr>
        <w:t>支持设置用户配置痕迹可视化效果，包含痕迹的背景色、删除线颜色、删除线个数、下划线颜色和下划线个数。</w:t>
      </w:r>
    </w:p>
    <w:p w14:paraId="48EF09A3">
      <w:pPr>
        <w:pStyle w:val="94"/>
        <w:numPr>
          <w:ilvl w:val="0"/>
          <w:numId w:val="50"/>
        </w:numPr>
        <w:ind w:left="0" w:firstLine="480"/>
        <w:rPr>
          <w:rFonts w:cs="Arial"/>
          <w:bCs/>
          <w:color w:val="auto"/>
          <w:sz w:val="24"/>
        </w:rPr>
      </w:pPr>
      <w:r>
        <w:rPr>
          <w:rFonts w:hint="eastAsia" w:cs="Arial"/>
          <w:bCs/>
          <w:color w:val="auto"/>
          <w:sz w:val="24"/>
        </w:rPr>
        <w:t>支持不显示痕迹的整洁视图和显示痕迹的留痕视图，支持留痕打印。</w:t>
      </w:r>
    </w:p>
    <w:p w14:paraId="460CD7BA">
      <w:pPr>
        <w:pStyle w:val="94"/>
        <w:numPr>
          <w:ilvl w:val="0"/>
          <w:numId w:val="50"/>
        </w:numPr>
        <w:ind w:left="0" w:firstLine="480"/>
        <w:rPr>
          <w:rFonts w:cs="Arial"/>
          <w:bCs/>
          <w:color w:val="auto"/>
          <w:sz w:val="24"/>
        </w:rPr>
      </w:pPr>
      <w:r>
        <w:rPr>
          <w:rFonts w:hint="eastAsia" w:cs="Arial"/>
          <w:bCs/>
          <w:color w:val="auto"/>
          <w:sz w:val="24"/>
        </w:rPr>
        <w:t>支持书写病历时调用整体模版、短语等，提高病历书写效率。</w:t>
      </w:r>
    </w:p>
    <w:p w14:paraId="1374D552">
      <w:pPr>
        <w:pStyle w:val="94"/>
        <w:numPr>
          <w:ilvl w:val="0"/>
          <w:numId w:val="50"/>
        </w:numPr>
        <w:ind w:left="0" w:firstLine="480"/>
        <w:rPr>
          <w:rFonts w:cs="Arial"/>
          <w:bCs/>
          <w:color w:val="auto"/>
          <w:sz w:val="24"/>
        </w:rPr>
      </w:pPr>
      <w:r>
        <w:rPr>
          <w:rFonts w:hint="eastAsia" w:cs="Arial"/>
          <w:bCs/>
          <w:color w:val="auto"/>
          <w:sz w:val="24"/>
        </w:rPr>
        <w:t>支持病历书写时引用医学公式，例如：PD牙位图、病变下牙牙位图、病变上牙牙位图、月经史。</w:t>
      </w:r>
    </w:p>
    <w:p w14:paraId="62035ADD">
      <w:pPr>
        <w:pStyle w:val="94"/>
        <w:numPr>
          <w:ilvl w:val="0"/>
          <w:numId w:val="50"/>
        </w:numPr>
        <w:ind w:left="0" w:firstLine="480"/>
        <w:rPr>
          <w:rFonts w:cs="Arial"/>
          <w:bCs/>
          <w:color w:val="auto"/>
          <w:sz w:val="24"/>
        </w:rPr>
      </w:pPr>
      <w:r>
        <w:rPr>
          <w:rFonts w:cs="Arial"/>
          <w:bCs/>
          <w:color w:val="auto"/>
          <w:sz w:val="24"/>
        </w:rPr>
        <w:t>支持引入医学图像</w:t>
      </w:r>
      <w:r>
        <w:rPr>
          <w:rFonts w:hint="eastAsia" w:cs="Arial"/>
          <w:bCs/>
          <w:color w:val="auto"/>
          <w:sz w:val="24"/>
        </w:rPr>
        <w:t>，</w:t>
      </w:r>
      <w:r>
        <w:rPr>
          <w:rFonts w:cs="Arial"/>
          <w:bCs/>
          <w:color w:val="auto"/>
          <w:sz w:val="24"/>
        </w:rPr>
        <w:t>例如</w:t>
      </w:r>
      <w:r>
        <w:rPr>
          <w:rFonts w:hint="eastAsia" w:cs="Arial"/>
          <w:bCs/>
          <w:color w:val="auto"/>
          <w:sz w:val="24"/>
        </w:rPr>
        <w:t>：</w:t>
      </w:r>
      <w:r>
        <w:rPr>
          <w:rFonts w:cs="Arial"/>
          <w:bCs/>
          <w:color w:val="auto"/>
          <w:sz w:val="24"/>
        </w:rPr>
        <w:t>人体医学图像</w:t>
      </w:r>
      <w:r>
        <w:rPr>
          <w:rFonts w:hint="eastAsia" w:cs="Arial"/>
          <w:bCs/>
          <w:color w:val="auto"/>
          <w:sz w:val="24"/>
        </w:rPr>
        <w:t>、</w:t>
      </w:r>
      <w:r>
        <w:rPr>
          <w:rFonts w:cs="Arial"/>
          <w:bCs/>
          <w:color w:val="auto"/>
          <w:sz w:val="24"/>
        </w:rPr>
        <w:t>肺部医学图像</w:t>
      </w:r>
      <w:r>
        <w:rPr>
          <w:rFonts w:hint="eastAsia" w:cs="Arial"/>
          <w:bCs/>
          <w:color w:val="auto"/>
          <w:sz w:val="24"/>
        </w:rPr>
        <w:t>。</w:t>
      </w:r>
    </w:p>
    <w:p w14:paraId="46FE702A">
      <w:pPr>
        <w:pStyle w:val="94"/>
        <w:numPr>
          <w:ilvl w:val="0"/>
          <w:numId w:val="50"/>
        </w:numPr>
        <w:ind w:left="0" w:firstLine="480"/>
        <w:rPr>
          <w:rFonts w:cs="Arial"/>
          <w:bCs/>
          <w:color w:val="auto"/>
          <w:sz w:val="24"/>
        </w:rPr>
      </w:pPr>
      <w:r>
        <w:rPr>
          <w:rFonts w:cs="Arial"/>
          <w:bCs/>
          <w:color w:val="auto"/>
          <w:sz w:val="24"/>
        </w:rPr>
        <w:t>支持多种图像标注功能</w:t>
      </w:r>
      <w:r>
        <w:rPr>
          <w:rFonts w:hint="eastAsia" w:cs="Arial"/>
          <w:bCs/>
          <w:color w:val="auto"/>
          <w:sz w:val="24"/>
        </w:rPr>
        <w:t>，</w:t>
      </w:r>
      <w:r>
        <w:rPr>
          <w:rFonts w:cs="Arial"/>
          <w:bCs/>
          <w:color w:val="auto"/>
          <w:sz w:val="24"/>
        </w:rPr>
        <w:t>例如</w:t>
      </w:r>
      <w:r>
        <w:rPr>
          <w:rFonts w:hint="eastAsia" w:cs="Arial"/>
          <w:bCs/>
          <w:color w:val="auto"/>
          <w:sz w:val="24"/>
        </w:rPr>
        <w:t>：</w:t>
      </w:r>
      <w:r>
        <w:rPr>
          <w:rFonts w:cs="Arial"/>
          <w:bCs/>
          <w:color w:val="auto"/>
          <w:sz w:val="24"/>
        </w:rPr>
        <w:t>直线标注</w:t>
      </w:r>
      <w:r>
        <w:rPr>
          <w:rFonts w:hint="eastAsia" w:cs="Arial"/>
          <w:bCs/>
          <w:color w:val="auto"/>
          <w:sz w:val="24"/>
        </w:rPr>
        <w:t>、</w:t>
      </w:r>
      <w:r>
        <w:rPr>
          <w:rFonts w:cs="Arial"/>
          <w:bCs/>
          <w:color w:val="auto"/>
          <w:sz w:val="24"/>
        </w:rPr>
        <w:t>画笔标注</w:t>
      </w:r>
      <w:r>
        <w:rPr>
          <w:rFonts w:hint="eastAsia" w:cs="Arial"/>
          <w:bCs/>
          <w:color w:val="auto"/>
          <w:sz w:val="24"/>
        </w:rPr>
        <w:t>、</w:t>
      </w:r>
      <w:r>
        <w:rPr>
          <w:rFonts w:cs="Arial"/>
          <w:bCs/>
          <w:color w:val="auto"/>
          <w:sz w:val="24"/>
        </w:rPr>
        <w:t>矩形标注</w:t>
      </w:r>
      <w:r>
        <w:rPr>
          <w:rFonts w:hint="eastAsia" w:cs="Arial"/>
          <w:bCs/>
          <w:color w:val="auto"/>
          <w:sz w:val="24"/>
        </w:rPr>
        <w:t>、</w:t>
      </w:r>
      <w:r>
        <w:rPr>
          <w:rFonts w:cs="Arial"/>
          <w:bCs/>
          <w:color w:val="auto"/>
          <w:sz w:val="24"/>
        </w:rPr>
        <w:t>圆形标注</w:t>
      </w:r>
      <w:r>
        <w:rPr>
          <w:rFonts w:hint="eastAsia" w:cs="Arial"/>
          <w:bCs/>
          <w:color w:val="auto"/>
          <w:sz w:val="24"/>
        </w:rPr>
        <w:t>、</w:t>
      </w:r>
      <w:r>
        <w:rPr>
          <w:rFonts w:cs="Arial"/>
          <w:bCs/>
          <w:color w:val="auto"/>
          <w:sz w:val="24"/>
        </w:rPr>
        <w:t>文字标注</w:t>
      </w:r>
      <w:r>
        <w:rPr>
          <w:rFonts w:hint="eastAsia" w:cs="Arial"/>
          <w:bCs/>
          <w:color w:val="auto"/>
          <w:sz w:val="24"/>
        </w:rPr>
        <w:t>。</w:t>
      </w:r>
    </w:p>
    <w:p w14:paraId="3C0ADF53">
      <w:pPr>
        <w:pStyle w:val="94"/>
        <w:numPr>
          <w:ilvl w:val="0"/>
          <w:numId w:val="50"/>
        </w:numPr>
        <w:ind w:left="0" w:firstLine="480"/>
        <w:rPr>
          <w:rFonts w:cs="Arial"/>
          <w:bCs/>
          <w:color w:val="auto"/>
          <w:sz w:val="24"/>
        </w:rPr>
      </w:pPr>
      <w:r>
        <w:rPr>
          <w:rFonts w:cs="Arial"/>
          <w:bCs/>
          <w:color w:val="auto"/>
          <w:sz w:val="24"/>
        </w:rPr>
        <w:t>支持调节文字标注中的文字大小</w:t>
      </w:r>
      <w:r>
        <w:rPr>
          <w:rFonts w:hint="eastAsia" w:cs="Arial"/>
          <w:bCs/>
          <w:color w:val="auto"/>
          <w:sz w:val="24"/>
        </w:rPr>
        <w:t>。</w:t>
      </w:r>
    </w:p>
    <w:p w14:paraId="479F8452">
      <w:pPr>
        <w:pStyle w:val="94"/>
        <w:numPr>
          <w:ilvl w:val="0"/>
          <w:numId w:val="50"/>
        </w:numPr>
        <w:ind w:left="0" w:firstLine="480"/>
        <w:rPr>
          <w:rFonts w:cs="Arial"/>
          <w:bCs/>
          <w:color w:val="auto"/>
          <w:sz w:val="24"/>
        </w:rPr>
      </w:pPr>
      <w:r>
        <w:rPr>
          <w:rFonts w:cs="Arial"/>
          <w:bCs/>
          <w:color w:val="auto"/>
          <w:sz w:val="24"/>
        </w:rPr>
        <w:t>支持移动</w:t>
      </w:r>
      <w:r>
        <w:rPr>
          <w:rFonts w:hint="eastAsia" w:cs="Arial"/>
          <w:bCs/>
          <w:color w:val="auto"/>
          <w:sz w:val="24"/>
        </w:rPr>
        <w:t>、</w:t>
      </w:r>
      <w:r>
        <w:rPr>
          <w:rFonts w:cs="Arial"/>
          <w:bCs/>
          <w:color w:val="auto"/>
          <w:sz w:val="24"/>
        </w:rPr>
        <w:t>删除</w:t>
      </w:r>
      <w:r>
        <w:rPr>
          <w:rFonts w:hint="eastAsia" w:cs="Arial"/>
          <w:bCs/>
          <w:color w:val="auto"/>
          <w:sz w:val="24"/>
        </w:rPr>
        <w:t>、</w:t>
      </w:r>
      <w:r>
        <w:rPr>
          <w:rFonts w:cs="Arial"/>
          <w:bCs/>
          <w:color w:val="auto"/>
          <w:sz w:val="24"/>
        </w:rPr>
        <w:t>撤回</w:t>
      </w:r>
      <w:r>
        <w:rPr>
          <w:rFonts w:hint="eastAsia" w:cs="Arial"/>
          <w:bCs/>
          <w:color w:val="auto"/>
          <w:sz w:val="24"/>
        </w:rPr>
        <w:t>、</w:t>
      </w:r>
      <w:r>
        <w:rPr>
          <w:rFonts w:cs="Arial"/>
          <w:bCs/>
          <w:color w:val="auto"/>
          <w:sz w:val="24"/>
        </w:rPr>
        <w:t>清空标注</w:t>
      </w:r>
      <w:r>
        <w:rPr>
          <w:rFonts w:hint="eastAsia" w:cs="Arial"/>
          <w:bCs/>
          <w:color w:val="auto"/>
          <w:sz w:val="24"/>
        </w:rPr>
        <w:t>。</w:t>
      </w:r>
    </w:p>
    <w:p w14:paraId="7F992B4F">
      <w:pPr>
        <w:pStyle w:val="94"/>
        <w:numPr>
          <w:ilvl w:val="0"/>
          <w:numId w:val="50"/>
        </w:numPr>
        <w:ind w:left="0" w:firstLine="480"/>
        <w:rPr>
          <w:rFonts w:cs="Arial"/>
          <w:bCs/>
          <w:color w:val="auto"/>
          <w:sz w:val="24"/>
        </w:rPr>
      </w:pPr>
      <w:r>
        <w:rPr>
          <w:rFonts w:hint="eastAsia" w:cs="Arial"/>
          <w:bCs/>
          <w:color w:val="auto"/>
          <w:sz w:val="24"/>
        </w:rPr>
        <w:t>支持病历书写过程中插入表格。</w:t>
      </w:r>
    </w:p>
    <w:p w14:paraId="3160C0B5">
      <w:pPr>
        <w:pStyle w:val="94"/>
        <w:numPr>
          <w:ilvl w:val="0"/>
          <w:numId w:val="50"/>
        </w:numPr>
        <w:ind w:left="0" w:firstLine="480"/>
        <w:rPr>
          <w:rFonts w:cs="Arial"/>
          <w:bCs/>
          <w:color w:val="auto"/>
          <w:sz w:val="24"/>
        </w:rPr>
      </w:pPr>
      <w:r>
        <w:rPr>
          <w:rFonts w:cs="Arial"/>
          <w:bCs/>
          <w:color w:val="auto"/>
          <w:sz w:val="24"/>
        </w:rPr>
        <w:t>支持设置表格内容是否可编辑</w:t>
      </w:r>
      <w:r>
        <w:rPr>
          <w:rFonts w:hint="eastAsia" w:cs="Arial"/>
          <w:bCs/>
          <w:color w:val="auto"/>
          <w:sz w:val="24"/>
        </w:rPr>
        <w:t>。</w:t>
      </w:r>
    </w:p>
    <w:p w14:paraId="15DE00A2">
      <w:pPr>
        <w:pStyle w:val="94"/>
        <w:numPr>
          <w:ilvl w:val="0"/>
          <w:numId w:val="50"/>
        </w:numPr>
        <w:ind w:left="0" w:firstLine="480"/>
        <w:rPr>
          <w:rFonts w:cs="Arial"/>
          <w:bCs/>
          <w:color w:val="auto"/>
          <w:sz w:val="24"/>
        </w:rPr>
      </w:pPr>
      <w:r>
        <w:rPr>
          <w:rFonts w:hint="eastAsia" w:cs="Arial"/>
          <w:bCs/>
          <w:color w:val="auto"/>
          <w:sz w:val="24"/>
        </w:rPr>
        <w:t>支持数字签名（CA签名）。</w:t>
      </w:r>
    </w:p>
    <w:p w14:paraId="3758CF1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病历引用</w:t>
      </w:r>
      <w:bookmarkEnd w:id="159"/>
    </w:p>
    <w:p w14:paraId="4EDD939D">
      <w:pPr>
        <w:pStyle w:val="94"/>
        <w:numPr>
          <w:ilvl w:val="0"/>
          <w:numId w:val="51"/>
        </w:numPr>
        <w:ind w:left="0" w:firstLine="480"/>
        <w:rPr>
          <w:rFonts w:cs="Arial"/>
          <w:bCs/>
          <w:color w:val="auto"/>
          <w:sz w:val="24"/>
        </w:rPr>
      </w:pPr>
      <w:bookmarkStart w:id="160" w:name="_Toc106372967"/>
      <w:r>
        <w:rPr>
          <w:rFonts w:hint="eastAsia" w:cs="Arial"/>
          <w:bCs/>
          <w:color w:val="auto"/>
          <w:sz w:val="24"/>
        </w:rPr>
        <w:t>支持病历书写时候可以快速查询当前患者的各种检验、检查、医嘱等临床数据，可以选择导入到病历文档中。</w:t>
      </w:r>
    </w:p>
    <w:p w14:paraId="0B060FFC">
      <w:pPr>
        <w:pStyle w:val="94"/>
        <w:numPr>
          <w:ilvl w:val="0"/>
          <w:numId w:val="51"/>
        </w:numPr>
        <w:ind w:left="0" w:firstLine="480"/>
        <w:rPr>
          <w:rFonts w:cs="Arial"/>
          <w:bCs/>
          <w:color w:val="auto"/>
          <w:sz w:val="24"/>
        </w:rPr>
      </w:pPr>
      <w:r>
        <w:rPr>
          <w:rFonts w:hint="eastAsia" w:cs="Arial"/>
          <w:bCs/>
          <w:color w:val="auto"/>
          <w:sz w:val="24"/>
        </w:rPr>
        <w:t>提供临床诊疗知识库引用功能。</w:t>
      </w:r>
    </w:p>
    <w:p w14:paraId="2F62D4F0">
      <w:pPr>
        <w:pStyle w:val="94"/>
        <w:numPr>
          <w:ilvl w:val="0"/>
          <w:numId w:val="51"/>
        </w:numPr>
        <w:ind w:left="0" w:firstLine="480"/>
        <w:rPr>
          <w:rFonts w:cs="Arial"/>
          <w:bCs/>
          <w:color w:val="auto"/>
          <w:sz w:val="24"/>
        </w:rPr>
      </w:pPr>
      <w:r>
        <w:rPr>
          <w:rFonts w:hint="eastAsia" w:cs="Arial"/>
          <w:bCs/>
          <w:color w:val="auto"/>
          <w:sz w:val="24"/>
        </w:rPr>
        <w:t>支持书写病历时调用整体模版、短语等，提高病历书写效率。</w:t>
      </w:r>
    </w:p>
    <w:p w14:paraId="76D81B68">
      <w:pPr>
        <w:pStyle w:val="94"/>
        <w:numPr>
          <w:ilvl w:val="0"/>
          <w:numId w:val="51"/>
        </w:numPr>
        <w:ind w:left="0" w:firstLine="480"/>
        <w:rPr>
          <w:rFonts w:cs="Arial"/>
          <w:bCs/>
          <w:color w:val="auto"/>
          <w:sz w:val="24"/>
        </w:rPr>
      </w:pPr>
      <w:r>
        <w:rPr>
          <w:rFonts w:hint="eastAsia" w:cs="Arial"/>
          <w:bCs/>
          <w:color w:val="auto"/>
          <w:sz w:val="24"/>
        </w:rPr>
        <w:t>支持患者历史病历、已完成病历的整体引用与部分内容引用。</w:t>
      </w:r>
    </w:p>
    <w:p w14:paraId="7136C798">
      <w:pPr>
        <w:pStyle w:val="94"/>
        <w:numPr>
          <w:ilvl w:val="0"/>
          <w:numId w:val="51"/>
        </w:numPr>
        <w:ind w:left="0" w:firstLine="480"/>
        <w:rPr>
          <w:rFonts w:cs="Arial"/>
          <w:bCs/>
          <w:color w:val="auto"/>
          <w:sz w:val="24"/>
        </w:rPr>
      </w:pPr>
      <w:r>
        <w:rPr>
          <w:rFonts w:hint="eastAsia" w:cs="Arial"/>
          <w:bCs/>
          <w:color w:val="auto"/>
          <w:sz w:val="24"/>
        </w:rPr>
        <w:t>支持患者所有病历中相同节点内容的自动引用。</w:t>
      </w:r>
    </w:p>
    <w:p w14:paraId="79A77284">
      <w:pPr>
        <w:pStyle w:val="94"/>
        <w:numPr>
          <w:ilvl w:val="0"/>
          <w:numId w:val="51"/>
        </w:numPr>
        <w:ind w:left="0" w:firstLine="480"/>
        <w:rPr>
          <w:rFonts w:cs="Arial"/>
          <w:bCs/>
          <w:color w:val="auto"/>
          <w:sz w:val="24"/>
        </w:rPr>
      </w:pPr>
      <w:r>
        <w:rPr>
          <w:rFonts w:hint="eastAsia" w:cs="Arial"/>
          <w:bCs/>
          <w:color w:val="auto"/>
          <w:sz w:val="24"/>
        </w:rPr>
        <w:t>支持</w:t>
      </w:r>
      <w:r>
        <w:rPr>
          <w:rFonts w:cs="Arial"/>
          <w:bCs/>
          <w:color w:val="auto"/>
          <w:sz w:val="24"/>
        </w:rPr>
        <w:t>调用</w:t>
      </w:r>
      <w:r>
        <w:rPr>
          <w:rFonts w:hint="eastAsia" w:cs="Arial"/>
          <w:bCs/>
          <w:color w:val="auto"/>
          <w:sz w:val="24"/>
        </w:rPr>
        <w:t>检验报告</w:t>
      </w:r>
      <w:r>
        <w:rPr>
          <w:rFonts w:cs="Arial"/>
          <w:bCs/>
          <w:color w:val="auto"/>
          <w:sz w:val="24"/>
        </w:rPr>
        <w:t>、</w:t>
      </w:r>
      <w:r>
        <w:rPr>
          <w:rFonts w:hint="eastAsia" w:cs="Arial"/>
          <w:bCs/>
          <w:color w:val="auto"/>
          <w:sz w:val="24"/>
        </w:rPr>
        <w:t>检查报告</w:t>
      </w:r>
      <w:r>
        <w:rPr>
          <w:rFonts w:cs="Arial"/>
          <w:bCs/>
          <w:color w:val="auto"/>
          <w:sz w:val="24"/>
        </w:rPr>
        <w:t>、医嘱内容</w:t>
      </w:r>
      <w:r>
        <w:rPr>
          <w:rFonts w:hint="eastAsia" w:cs="Arial"/>
          <w:bCs/>
          <w:color w:val="auto"/>
          <w:sz w:val="24"/>
        </w:rPr>
        <w:t>、护理记录等信息。</w:t>
      </w:r>
    </w:p>
    <w:p w14:paraId="11752C03">
      <w:pPr>
        <w:pStyle w:val="94"/>
        <w:numPr>
          <w:ilvl w:val="0"/>
          <w:numId w:val="51"/>
        </w:numPr>
        <w:ind w:left="0" w:firstLine="480"/>
        <w:rPr>
          <w:rFonts w:cs="Arial"/>
          <w:bCs/>
          <w:color w:val="auto"/>
          <w:sz w:val="24"/>
        </w:rPr>
      </w:pPr>
      <w:r>
        <w:rPr>
          <w:rFonts w:cs="Arial"/>
          <w:bCs/>
          <w:color w:val="auto"/>
          <w:sz w:val="24"/>
        </w:rPr>
        <w:t>支持快速插入特殊符号</w:t>
      </w:r>
      <w:r>
        <w:rPr>
          <w:rFonts w:hint="eastAsia" w:cs="Arial"/>
          <w:bCs/>
          <w:color w:val="auto"/>
          <w:sz w:val="24"/>
        </w:rPr>
        <w:t>。</w:t>
      </w:r>
    </w:p>
    <w:p w14:paraId="2EC89EEB">
      <w:pPr>
        <w:pStyle w:val="94"/>
        <w:numPr>
          <w:ilvl w:val="0"/>
          <w:numId w:val="51"/>
        </w:numPr>
        <w:ind w:left="0" w:firstLine="480"/>
        <w:rPr>
          <w:rFonts w:cs="Arial"/>
          <w:bCs/>
          <w:color w:val="auto"/>
          <w:sz w:val="24"/>
        </w:rPr>
      </w:pPr>
      <w:r>
        <w:rPr>
          <w:rFonts w:hint="eastAsia" w:cs="Arial"/>
          <w:bCs/>
          <w:color w:val="auto"/>
          <w:sz w:val="24"/>
        </w:rPr>
        <w:t>支持引用检验结果时选择性加入、全部加入、只加入异常项目。</w:t>
      </w:r>
    </w:p>
    <w:p w14:paraId="7101FBAA">
      <w:pPr>
        <w:pStyle w:val="94"/>
        <w:numPr>
          <w:ilvl w:val="0"/>
          <w:numId w:val="51"/>
        </w:numPr>
        <w:ind w:left="0" w:firstLine="480"/>
        <w:rPr>
          <w:rFonts w:cs="Arial"/>
          <w:bCs/>
          <w:color w:val="auto"/>
          <w:sz w:val="24"/>
        </w:rPr>
      </w:pPr>
      <w:r>
        <w:rPr>
          <w:rFonts w:hint="eastAsia" w:cs="Arial"/>
          <w:bCs/>
          <w:color w:val="auto"/>
          <w:sz w:val="24"/>
        </w:rPr>
        <w:t>提供个人、科室、公共级模板，提供模板检索功能，医生可以快速引用需要的模板。维护好的元素也可通过左侧进行快速引用。</w:t>
      </w:r>
    </w:p>
    <w:p w14:paraId="660C444D">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病历存储</w:t>
      </w:r>
      <w:bookmarkEnd w:id="160"/>
    </w:p>
    <w:p w14:paraId="1FEDA3FE">
      <w:pPr>
        <w:pStyle w:val="84"/>
        <w:widowControl w:val="0"/>
        <w:numPr>
          <w:ilvl w:val="0"/>
          <w:numId w:val="52"/>
        </w:numPr>
        <w:spacing w:before="0" w:after="0"/>
        <w:ind w:left="0" w:firstLine="480" w:firstLineChars="200"/>
        <w:jc w:val="both"/>
        <w:rPr>
          <w:rFonts w:hint="eastAsia" w:ascii="宋体" w:hAnsi="宋体"/>
          <w:color w:val="auto"/>
        </w:rPr>
      </w:pPr>
      <w:bookmarkStart w:id="161" w:name="_Toc106372968"/>
      <w:r>
        <w:rPr>
          <w:rFonts w:hint="eastAsia" w:ascii="宋体" w:hAnsi="宋体"/>
          <w:color w:val="auto"/>
        </w:rPr>
        <w:t>系统能够按卫生部数据元定义的结构化电子病历、可按卫生部相关标准导出XML格式电子病历、电子病可完整保留修改痕迹、按卫生部规定共享文档规范的导出交换文档。</w:t>
      </w:r>
    </w:p>
    <w:p w14:paraId="24CD3203">
      <w:pPr>
        <w:pStyle w:val="84"/>
        <w:widowControl w:val="0"/>
        <w:numPr>
          <w:ilvl w:val="0"/>
          <w:numId w:val="52"/>
        </w:numPr>
        <w:spacing w:before="0" w:after="0"/>
        <w:ind w:left="0" w:firstLine="480" w:firstLineChars="200"/>
        <w:jc w:val="both"/>
        <w:rPr>
          <w:rFonts w:hint="eastAsia" w:ascii="宋体" w:hAnsi="宋体"/>
          <w:color w:val="auto"/>
        </w:rPr>
      </w:pPr>
      <w:r>
        <w:rPr>
          <w:rFonts w:hint="eastAsia" w:ascii="宋体" w:hAnsi="宋体"/>
          <w:color w:val="auto"/>
        </w:rPr>
        <w:t>采用XML文件格式存储；</w:t>
      </w:r>
    </w:p>
    <w:p w14:paraId="4609F6B8">
      <w:pPr>
        <w:pStyle w:val="94"/>
        <w:numPr>
          <w:ilvl w:val="0"/>
          <w:numId w:val="52"/>
        </w:numPr>
        <w:ind w:left="0" w:firstLine="480"/>
        <w:rPr>
          <w:rFonts w:cs="Arial"/>
          <w:bCs/>
          <w:color w:val="auto"/>
          <w:sz w:val="24"/>
        </w:rPr>
      </w:pPr>
      <w:r>
        <w:rPr>
          <w:rFonts w:hint="eastAsia" w:cs="Arial"/>
          <w:bCs/>
          <w:color w:val="auto"/>
          <w:sz w:val="24"/>
        </w:rPr>
        <w:t>支持查看病历历史修改记录。</w:t>
      </w:r>
    </w:p>
    <w:p w14:paraId="66629471">
      <w:pPr>
        <w:pStyle w:val="94"/>
        <w:numPr>
          <w:ilvl w:val="0"/>
          <w:numId w:val="52"/>
        </w:numPr>
        <w:ind w:left="0" w:firstLine="480"/>
        <w:rPr>
          <w:rFonts w:cs="Arial"/>
          <w:bCs/>
          <w:color w:val="auto"/>
          <w:sz w:val="24"/>
        </w:rPr>
      </w:pPr>
      <w:r>
        <w:rPr>
          <w:rFonts w:hint="eastAsia" w:cs="Arial"/>
          <w:bCs/>
          <w:color w:val="auto"/>
          <w:sz w:val="24"/>
        </w:rPr>
        <w:t>支持本地快照，防止工作站故障导致的书写病历丢失。</w:t>
      </w:r>
    </w:p>
    <w:p w14:paraId="16DA003D">
      <w:pPr>
        <w:pStyle w:val="94"/>
        <w:numPr>
          <w:ilvl w:val="0"/>
          <w:numId w:val="52"/>
        </w:numPr>
        <w:ind w:left="0" w:firstLine="480"/>
        <w:rPr>
          <w:rFonts w:cs="Arial"/>
          <w:bCs/>
          <w:color w:val="auto"/>
          <w:sz w:val="24"/>
        </w:rPr>
      </w:pPr>
      <w:r>
        <w:rPr>
          <w:rFonts w:hint="eastAsia" w:cs="Arial"/>
          <w:bCs/>
          <w:color w:val="auto"/>
          <w:sz w:val="24"/>
        </w:rPr>
        <w:t>支持工作工作站故障导修复后病历恢复时，进行保存病历与恢复病历比较。</w:t>
      </w:r>
    </w:p>
    <w:p w14:paraId="71606952">
      <w:pPr>
        <w:pStyle w:val="94"/>
        <w:numPr>
          <w:ilvl w:val="0"/>
          <w:numId w:val="52"/>
        </w:numPr>
        <w:ind w:left="0" w:firstLine="480"/>
        <w:rPr>
          <w:rFonts w:cs="Arial"/>
          <w:bCs/>
          <w:color w:val="auto"/>
          <w:sz w:val="24"/>
        </w:rPr>
      </w:pPr>
      <w:r>
        <w:rPr>
          <w:rFonts w:cs="Arial"/>
          <w:bCs/>
          <w:color w:val="auto"/>
          <w:sz w:val="24"/>
        </w:rPr>
        <w:t>支持病历书写完成后归档。</w:t>
      </w:r>
    </w:p>
    <w:p w14:paraId="2DEC8152">
      <w:pPr>
        <w:pStyle w:val="94"/>
        <w:numPr>
          <w:ilvl w:val="0"/>
          <w:numId w:val="52"/>
        </w:numPr>
        <w:ind w:left="0" w:firstLine="480"/>
        <w:rPr>
          <w:rFonts w:cs="Arial"/>
          <w:bCs/>
          <w:color w:val="auto"/>
          <w:sz w:val="24"/>
        </w:rPr>
      </w:pPr>
      <w:r>
        <w:rPr>
          <w:rFonts w:hint="eastAsia" w:cs="Arial"/>
          <w:bCs/>
          <w:color w:val="auto"/>
          <w:sz w:val="24"/>
        </w:rPr>
        <w:t>支持暂存病历书写内容；</w:t>
      </w:r>
    </w:p>
    <w:p w14:paraId="1300D5CD">
      <w:pPr>
        <w:pStyle w:val="94"/>
        <w:numPr>
          <w:ilvl w:val="0"/>
          <w:numId w:val="52"/>
        </w:numPr>
        <w:ind w:left="0" w:firstLine="480"/>
        <w:rPr>
          <w:rFonts w:cs="Arial"/>
          <w:bCs/>
          <w:color w:val="auto"/>
          <w:sz w:val="24"/>
        </w:rPr>
      </w:pPr>
      <w:r>
        <w:rPr>
          <w:rFonts w:hint="eastAsia" w:cs="Arial"/>
          <w:bCs/>
          <w:color w:val="auto"/>
          <w:sz w:val="24"/>
        </w:rPr>
        <w:t>支持对未签名的病历进行删除；</w:t>
      </w:r>
    </w:p>
    <w:p w14:paraId="44ADCFE4">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一体化病历</w:t>
      </w:r>
      <w:bookmarkEnd w:id="161"/>
    </w:p>
    <w:p w14:paraId="30DB4746">
      <w:pPr>
        <w:pStyle w:val="94"/>
        <w:numPr>
          <w:ilvl w:val="0"/>
          <w:numId w:val="53"/>
        </w:numPr>
        <w:ind w:left="0" w:firstLine="480"/>
        <w:rPr>
          <w:rFonts w:cs="Arial"/>
          <w:bCs/>
          <w:color w:val="auto"/>
          <w:sz w:val="24"/>
        </w:rPr>
      </w:pPr>
      <w:r>
        <w:rPr>
          <w:rFonts w:hint="eastAsia" w:cs="Arial"/>
          <w:bCs/>
          <w:color w:val="auto"/>
          <w:sz w:val="24"/>
        </w:rPr>
        <w:t>支持门诊病历自动抽取本次就诊医嘱信息、处方信息。</w:t>
      </w:r>
    </w:p>
    <w:p w14:paraId="7473776D">
      <w:pPr>
        <w:pStyle w:val="94"/>
        <w:numPr>
          <w:ilvl w:val="0"/>
          <w:numId w:val="53"/>
        </w:numPr>
        <w:ind w:left="0" w:firstLine="480"/>
        <w:rPr>
          <w:rFonts w:cs="Arial"/>
          <w:bCs/>
          <w:color w:val="auto"/>
          <w:sz w:val="24"/>
        </w:rPr>
      </w:pPr>
      <w:r>
        <w:rPr>
          <w:rFonts w:cs="Arial"/>
          <w:bCs/>
          <w:color w:val="auto"/>
          <w:sz w:val="24"/>
        </w:rPr>
        <w:t>支持通过门诊病历界面开立西药处方、中草药处方、检查治疗、输血申请、门诊手术申请。</w:t>
      </w:r>
    </w:p>
    <w:p w14:paraId="63A6E9F2">
      <w:pPr>
        <w:pStyle w:val="94"/>
        <w:numPr>
          <w:ilvl w:val="0"/>
          <w:numId w:val="53"/>
        </w:numPr>
        <w:ind w:left="0" w:firstLine="480"/>
        <w:rPr>
          <w:rFonts w:cs="Arial"/>
          <w:bCs/>
          <w:color w:val="auto"/>
          <w:sz w:val="24"/>
        </w:rPr>
      </w:pPr>
      <w:r>
        <w:rPr>
          <w:rFonts w:cs="Arial"/>
          <w:bCs/>
          <w:color w:val="auto"/>
          <w:sz w:val="24"/>
        </w:rPr>
        <w:t>支持自动调取处方</w:t>
      </w:r>
      <w:r>
        <w:rPr>
          <w:rFonts w:hint="eastAsia" w:cs="Arial"/>
          <w:bCs/>
          <w:color w:val="auto"/>
          <w:sz w:val="24"/>
        </w:rPr>
        <w:t>、</w:t>
      </w:r>
      <w:r>
        <w:rPr>
          <w:rFonts w:cs="Arial"/>
          <w:bCs/>
          <w:color w:val="auto"/>
          <w:sz w:val="24"/>
        </w:rPr>
        <w:t>检查治疗</w:t>
      </w:r>
      <w:r>
        <w:rPr>
          <w:rFonts w:hint="eastAsia" w:cs="Arial"/>
          <w:bCs/>
          <w:color w:val="auto"/>
          <w:sz w:val="24"/>
        </w:rPr>
        <w:t>、</w:t>
      </w:r>
      <w:r>
        <w:rPr>
          <w:rFonts w:cs="Arial"/>
          <w:bCs/>
          <w:color w:val="auto"/>
          <w:sz w:val="24"/>
        </w:rPr>
        <w:t>输血</w:t>
      </w:r>
      <w:r>
        <w:rPr>
          <w:rFonts w:hint="eastAsia" w:cs="Arial"/>
          <w:bCs/>
          <w:color w:val="auto"/>
          <w:sz w:val="24"/>
        </w:rPr>
        <w:t>、</w:t>
      </w:r>
      <w:r>
        <w:rPr>
          <w:rFonts w:cs="Arial"/>
          <w:bCs/>
          <w:color w:val="auto"/>
          <w:sz w:val="24"/>
        </w:rPr>
        <w:t>门诊手术申请界面</w:t>
      </w:r>
      <w:r>
        <w:rPr>
          <w:rFonts w:hint="eastAsia" w:cs="Arial"/>
          <w:bCs/>
          <w:color w:val="auto"/>
          <w:sz w:val="24"/>
        </w:rPr>
        <w:t>。</w:t>
      </w:r>
    </w:p>
    <w:p w14:paraId="276F4316">
      <w:pPr>
        <w:pStyle w:val="94"/>
        <w:numPr>
          <w:ilvl w:val="0"/>
          <w:numId w:val="53"/>
        </w:numPr>
        <w:ind w:left="0" w:firstLine="480"/>
        <w:rPr>
          <w:rFonts w:cs="Arial"/>
          <w:bCs/>
          <w:color w:val="auto"/>
          <w:sz w:val="24"/>
        </w:rPr>
      </w:pPr>
      <w:r>
        <w:rPr>
          <w:rFonts w:hint="eastAsia" w:cs="Arial"/>
          <w:bCs/>
          <w:color w:val="auto"/>
          <w:sz w:val="24"/>
        </w:rPr>
        <w:t>支持通过病历界面修改、新增、删除医嘱后自动更新至病历中。</w:t>
      </w:r>
    </w:p>
    <w:p w14:paraId="63953BEE">
      <w:pPr>
        <w:rPr>
          <w:color w:val="auto"/>
        </w:rPr>
      </w:pPr>
    </w:p>
    <w:p w14:paraId="7D0FCC1C">
      <w:pPr>
        <w:pStyle w:val="14"/>
        <w:bidi w:val="0"/>
        <w:rPr>
          <w:color w:val="auto"/>
        </w:rPr>
      </w:pPr>
      <w:r>
        <w:rPr>
          <w:rFonts w:hint="eastAsia"/>
          <w:color w:val="auto"/>
          <w:lang w:val="en-US" w:eastAsia="zh-CN"/>
        </w:rPr>
        <w:t xml:space="preserve"> </w:t>
      </w:r>
      <w:r>
        <w:rPr>
          <w:rFonts w:hint="eastAsia"/>
          <w:color w:val="auto"/>
        </w:rPr>
        <w:t>急诊输液管理系统</w:t>
      </w:r>
    </w:p>
    <w:p w14:paraId="51DB3092">
      <w:pPr>
        <w:bidi w:val="0"/>
        <w:rPr>
          <w:rFonts w:hint="default"/>
          <w:color w:val="auto"/>
        </w:rPr>
      </w:pPr>
      <w:r>
        <w:rPr>
          <w:color w:val="auto"/>
        </w:rPr>
        <w:t>系统</w:t>
      </w:r>
      <w:r>
        <w:rPr>
          <w:rFonts w:hint="default"/>
          <w:color w:val="auto"/>
        </w:rPr>
        <w:t>全面覆盖输液、注射、皮试等治疗全流程，支持单据打印、费用管理、药品寄存及工作量统计，并强化医嘱执行签名、退费审核等安全管控，同时实现院前急救数据对接，提升急诊救治效率与服务质量。</w:t>
      </w:r>
    </w:p>
    <w:p w14:paraId="01A648F9">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3ABB24B">
      <w:pPr>
        <w:pStyle w:val="94"/>
        <w:numPr>
          <w:ilvl w:val="0"/>
          <w:numId w:val="54"/>
        </w:numPr>
        <w:ind w:left="0" w:firstLine="480"/>
        <w:rPr>
          <w:rFonts w:cs="Arial"/>
          <w:bCs/>
          <w:color w:val="auto"/>
          <w:sz w:val="24"/>
        </w:rPr>
      </w:pPr>
      <w:r>
        <w:rPr>
          <w:rFonts w:cs="Arial"/>
          <w:bCs/>
          <w:color w:val="auto"/>
          <w:sz w:val="24"/>
        </w:rPr>
        <w:t>支持输液、注射、皮试及其它治疗项目的治疗结果记录。</w:t>
      </w:r>
    </w:p>
    <w:p w14:paraId="3D095A5F">
      <w:pPr>
        <w:pStyle w:val="94"/>
        <w:numPr>
          <w:ilvl w:val="0"/>
          <w:numId w:val="54"/>
        </w:numPr>
        <w:ind w:left="0" w:firstLine="480"/>
        <w:rPr>
          <w:rFonts w:cs="Arial"/>
          <w:bCs/>
          <w:color w:val="auto"/>
          <w:sz w:val="24"/>
        </w:rPr>
      </w:pPr>
      <w:r>
        <w:rPr>
          <w:rFonts w:hint="eastAsia" w:cs="Arial"/>
          <w:bCs/>
          <w:color w:val="auto"/>
          <w:sz w:val="24"/>
        </w:rPr>
        <w:t>提供病人登记后，输液单，注射单，治疗单、皮试单的打印。</w:t>
      </w:r>
    </w:p>
    <w:p w14:paraId="03C19034">
      <w:pPr>
        <w:pStyle w:val="94"/>
        <w:numPr>
          <w:ilvl w:val="0"/>
          <w:numId w:val="54"/>
        </w:numPr>
        <w:ind w:left="0" w:firstLine="480"/>
        <w:rPr>
          <w:rFonts w:cs="Arial"/>
          <w:bCs/>
          <w:color w:val="auto"/>
          <w:sz w:val="24"/>
        </w:rPr>
      </w:pPr>
      <w:r>
        <w:rPr>
          <w:rFonts w:cs="Arial"/>
          <w:bCs/>
          <w:color w:val="auto"/>
          <w:sz w:val="24"/>
        </w:rPr>
        <w:t>支持根据单据类型绑定不同的打印机</w:t>
      </w:r>
      <w:r>
        <w:rPr>
          <w:rFonts w:hint="eastAsia" w:cs="Arial"/>
          <w:bCs/>
          <w:color w:val="auto"/>
          <w:sz w:val="24"/>
        </w:rPr>
        <w:t>。</w:t>
      </w:r>
    </w:p>
    <w:p w14:paraId="1690DCB1">
      <w:pPr>
        <w:pStyle w:val="94"/>
        <w:numPr>
          <w:ilvl w:val="0"/>
          <w:numId w:val="54"/>
        </w:numPr>
        <w:ind w:left="0" w:firstLine="480"/>
        <w:rPr>
          <w:rFonts w:cs="Arial"/>
          <w:bCs/>
          <w:color w:val="auto"/>
          <w:sz w:val="24"/>
        </w:rPr>
      </w:pPr>
      <w:r>
        <w:rPr>
          <w:rFonts w:cs="Arial"/>
          <w:bCs/>
          <w:color w:val="auto"/>
          <w:sz w:val="24"/>
        </w:rPr>
        <w:t>支持治疗费实时查询并能按需提取。</w:t>
      </w:r>
    </w:p>
    <w:p w14:paraId="5F95868C">
      <w:pPr>
        <w:pStyle w:val="94"/>
        <w:numPr>
          <w:ilvl w:val="0"/>
          <w:numId w:val="54"/>
        </w:numPr>
        <w:ind w:left="0" w:firstLine="480"/>
        <w:rPr>
          <w:rFonts w:cs="Arial"/>
          <w:bCs/>
          <w:color w:val="auto"/>
          <w:sz w:val="24"/>
        </w:rPr>
      </w:pPr>
      <w:r>
        <w:rPr>
          <w:rFonts w:cs="Arial"/>
          <w:bCs/>
          <w:color w:val="auto"/>
          <w:sz w:val="24"/>
        </w:rPr>
        <w:t>支持门诊费用补费。</w:t>
      </w:r>
    </w:p>
    <w:p w14:paraId="42206868">
      <w:pPr>
        <w:pStyle w:val="94"/>
        <w:numPr>
          <w:ilvl w:val="0"/>
          <w:numId w:val="54"/>
        </w:numPr>
        <w:ind w:left="0" w:firstLine="480"/>
        <w:rPr>
          <w:rFonts w:cs="Arial"/>
          <w:bCs/>
          <w:color w:val="auto"/>
          <w:sz w:val="24"/>
        </w:rPr>
      </w:pPr>
      <w:r>
        <w:rPr>
          <w:rFonts w:cs="Arial"/>
          <w:bCs/>
          <w:color w:val="auto"/>
          <w:sz w:val="24"/>
        </w:rPr>
        <w:t>支持治疗项目工作量实时自动统计，并能按需提取。</w:t>
      </w:r>
    </w:p>
    <w:p w14:paraId="79E679F4">
      <w:pPr>
        <w:pStyle w:val="94"/>
        <w:numPr>
          <w:ilvl w:val="0"/>
          <w:numId w:val="54"/>
        </w:numPr>
        <w:ind w:left="0" w:firstLine="480"/>
        <w:rPr>
          <w:rFonts w:cs="Arial"/>
          <w:bCs/>
          <w:color w:val="auto"/>
          <w:sz w:val="24"/>
        </w:rPr>
      </w:pPr>
      <w:r>
        <w:rPr>
          <w:rFonts w:cs="Arial"/>
          <w:bCs/>
          <w:color w:val="auto"/>
          <w:sz w:val="24"/>
        </w:rPr>
        <w:t>支持病人寄存药品，提升服务质量。</w:t>
      </w:r>
    </w:p>
    <w:p w14:paraId="0F765B6F">
      <w:pPr>
        <w:pStyle w:val="94"/>
        <w:numPr>
          <w:ilvl w:val="0"/>
          <w:numId w:val="54"/>
        </w:numPr>
        <w:ind w:left="0" w:firstLine="480"/>
        <w:rPr>
          <w:rFonts w:cs="Arial"/>
          <w:bCs/>
          <w:color w:val="auto"/>
          <w:sz w:val="24"/>
        </w:rPr>
      </w:pPr>
      <w:r>
        <w:rPr>
          <w:rFonts w:cs="Arial"/>
          <w:bCs/>
          <w:color w:val="auto"/>
          <w:sz w:val="24"/>
        </w:rPr>
        <w:t>实现急诊患者相关信息、数据统计。</w:t>
      </w:r>
    </w:p>
    <w:p w14:paraId="5D844F2F">
      <w:pPr>
        <w:pStyle w:val="94"/>
        <w:numPr>
          <w:ilvl w:val="0"/>
          <w:numId w:val="54"/>
        </w:numPr>
        <w:ind w:left="0" w:firstLine="480"/>
        <w:rPr>
          <w:rFonts w:cs="Arial"/>
          <w:bCs/>
          <w:color w:val="auto"/>
          <w:sz w:val="24"/>
        </w:rPr>
      </w:pPr>
      <w:r>
        <w:rPr>
          <w:rFonts w:cs="Arial"/>
          <w:bCs/>
          <w:color w:val="auto"/>
          <w:sz w:val="24"/>
        </w:rPr>
        <w:t>支持门诊检验标本采集。</w:t>
      </w:r>
    </w:p>
    <w:p w14:paraId="2C6B9D34">
      <w:pPr>
        <w:pStyle w:val="94"/>
        <w:numPr>
          <w:ilvl w:val="0"/>
          <w:numId w:val="54"/>
        </w:numPr>
        <w:ind w:left="0" w:firstLine="480"/>
        <w:rPr>
          <w:rFonts w:cs="Arial"/>
          <w:bCs/>
          <w:color w:val="auto"/>
          <w:sz w:val="24"/>
        </w:rPr>
      </w:pPr>
      <w:r>
        <w:rPr>
          <w:rFonts w:hint="eastAsia" w:cs="Arial"/>
          <w:bCs/>
          <w:color w:val="auto"/>
          <w:sz w:val="24"/>
        </w:rPr>
        <w:t>支持患者皮试结果录入。</w:t>
      </w:r>
    </w:p>
    <w:p w14:paraId="1B7B2275">
      <w:pPr>
        <w:pStyle w:val="94"/>
        <w:numPr>
          <w:ilvl w:val="0"/>
          <w:numId w:val="54"/>
        </w:numPr>
        <w:ind w:left="0" w:firstLine="480"/>
        <w:rPr>
          <w:rFonts w:cs="Arial"/>
          <w:bCs/>
          <w:color w:val="auto"/>
          <w:sz w:val="24"/>
        </w:rPr>
      </w:pPr>
      <w:r>
        <w:rPr>
          <w:rFonts w:cs="Arial"/>
          <w:bCs/>
          <w:color w:val="auto"/>
          <w:sz w:val="24"/>
        </w:rPr>
        <w:t>支持皮试结果双签名</w:t>
      </w:r>
      <w:r>
        <w:rPr>
          <w:rFonts w:hint="eastAsia" w:cs="Arial"/>
          <w:bCs/>
          <w:color w:val="auto"/>
          <w:sz w:val="24"/>
        </w:rPr>
        <w:t>。</w:t>
      </w:r>
    </w:p>
    <w:p w14:paraId="3696E208">
      <w:pPr>
        <w:pStyle w:val="94"/>
        <w:numPr>
          <w:ilvl w:val="0"/>
          <w:numId w:val="54"/>
        </w:numPr>
        <w:ind w:left="0" w:firstLine="480"/>
        <w:rPr>
          <w:rFonts w:cs="Arial"/>
          <w:bCs/>
          <w:color w:val="auto"/>
          <w:sz w:val="24"/>
        </w:rPr>
      </w:pPr>
      <w:r>
        <w:rPr>
          <w:rFonts w:cs="Arial"/>
          <w:bCs/>
          <w:color w:val="auto"/>
          <w:sz w:val="24"/>
        </w:rPr>
        <w:t>支持医嘱单个</w:t>
      </w:r>
      <w:r>
        <w:rPr>
          <w:rFonts w:hint="eastAsia" w:cs="Arial"/>
          <w:bCs/>
          <w:color w:val="auto"/>
          <w:sz w:val="24"/>
        </w:rPr>
        <w:t>、</w:t>
      </w:r>
      <w:r>
        <w:rPr>
          <w:rFonts w:cs="Arial"/>
          <w:bCs/>
          <w:color w:val="auto"/>
          <w:sz w:val="24"/>
        </w:rPr>
        <w:t>批量执行签名</w:t>
      </w:r>
      <w:r>
        <w:rPr>
          <w:rFonts w:hint="eastAsia" w:cs="Arial"/>
          <w:bCs/>
          <w:color w:val="auto"/>
          <w:sz w:val="24"/>
        </w:rPr>
        <w:t>。</w:t>
      </w:r>
    </w:p>
    <w:p w14:paraId="265FF1D6">
      <w:pPr>
        <w:pStyle w:val="94"/>
        <w:numPr>
          <w:ilvl w:val="0"/>
          <w:numId w:val="54"/>
        </w:numPr>
        <w:ind w:left="0" w:firstLine="480"/>
        <w:rPr>
          <w:rFonts w:cs="Arial"/>
          <w:bCs/>
          <w:color w:val="auto"/>
          <w:sz w:val="24"/>
        </w:rPr>
      </w:pPr>
      <w:r>
        <w:rPr>
          <w:rFonts w:cs="Arial"/>
          <w:bCs/>
          <w:color w:val="auto"/>
          <w:sz w:val="24"/>
        </w:rPr>
        <w:t>执行签名支持双签模式</w:t>
      </w:r>
      <w:r>
        <w:rPr>
          <w:rFonts w:hint="eastAsia" w:cs="Arial"/>
          <w:bCs/>
          <w:color w:val="auto"/>
          <w:sz w:val="24"/>
        </w:rPr>
        <w:t>。</w:t>
      </w:r>
    </w:p>
    <w:p w14:paraId="1CDDC638">
      <w:pPr>
        <w:pStyle w:val="94"/>
        <w:numPr>
          <w:ilvl w:val="0"/>
          <w:numId w:val="54"/>
        </w:numPr>
        <w:ind w:left="0" w:firstLine="480"/>
        <w:rPr>
          <w:rFonts w:cs="Arial"/>
          <w:bCs/>
          <w:color w:val="auto"/>
          <w:sz w:val="24"/>
        </w:rPr>
      </w:pPr>
      <w:r>
        <w:rPr>
          <w:rFonts w:cs="Arial"/>
          <w:bCs/>
          <w:color w:val="auto"/>
          <w:sz w:val="24"/>
        </w:rPr>
        <w:t>支持签名后需撤销签名方可退费</w:t>
      </w:r>
      <w:r>
        <w:rPr>
          <w:rFonts w:hint="eastAsia" w:cs="Arial"/>
          <w:bCs/>
          <w:color w:val="auto"/>
          <w:sz w:val="24"/>
        </w:rPr>
        <w:t>。</w:t>
      </w:r>
    </w:p>
    <w:p w14:paraId="7A3DF5D4">
      <w:pPr>
        <w:pStyle w:val="94"/>
        <w:numPr>
          <w:ilvl w:val="0"/>
          <w:numId w:val="54"/>
        </w:numPr>
        <w:ind w:left="0" w:firstLine="480"/>
        <w:rPr>
          <w:rFonts w:cs="Arial"/>
          <w:bCs/>
          <w:color w:val="auto"/>
          <w:sz w:val="24"/>
        </w:rPr>
      </w:pPr>
      <w:r>
        <w:rPr>
          <w:rFonts w:cs="Arial"/>
          <w:bCs/>
          <w:color w:val="auto"/>
          <w:sz w:val="24"/>
        </w:rPr>
        <w:t>支持门诊腕带打印</w:t>
      </w:r>
      <w:r>
        <w:rPr>
          <w:rFonts w:hint="eastAsia" w:cs="Arial"/>
          <w:bCs/>
          <w:color w:val="auto"/>
          <w:sz w:val="24"/>
        </w:rPr>
        <w:t>。</w:t>
      </w:r>
    </w:p>
    <w:p w14:paraId="2D1B635E">
      <w:pPr>
        <w:pStyle w:val="94"/>
        <w:numPr>
          <w:ilvl w:val="0"/>
          <w:numId w:val="54"/>
        </w:numPr>
        <w:ind w:left="0" w:firstLine="480"/>
        <w:rPr>
          <w:rFonts w:cs="仿宋"/>
          <w:color w:val="auto"/>
        </w:rPr>
      </w:pPr>
      <w:r>
        <w:rPr>
          <w:rFonts w:hint="eastAsia" w:cs="Arial"/>
          <w:bCs/>
          <w:color w:val="auto"/>
          <w:sz w:val="24"/>
        </w:rPr>
        <w:t>支持查看患者门诊病历。</w:t>
      </w:r>
    </w:p>
    <w:p w14:paraId="60011E99">
      <w:pPr>
        <w:pStyle w:val="94"/>
        <w:numPr>
          <w:ilvl w:val="0"/>
          <w:numId w:val="54"/>
        </w:numPr>
        <w:ind w:left="0" w:firstLine="480"/>
        <w:rPr>
          <w:rFonts w:cs="仿宋"/>
          <w:color w:val="auto"/>
        </w:rPr>
      </w:pPr>
      <w:r>
        <w:rPr>
          <w:rFonts w:hint="eastAsia" w:cs="仿宋"/>
          <w:color w:val="auto"/>
        </w:rPr>
        <w:t>支持与院前急救指挥系统对接，实现院前院内急救一体化数据衔接。</w:t>
      </w:r>
    </w:p>
    <w:p w14:paraId="4CE36D9E">
      <w:pPr>
        <w:pStyle w:val="14"/>
        <w:bidi w:val="0"/>
        <w:rPr>
          <w:color w:val="auto"/>
        </w:rPr>
      </w:pPr>
      <w:r>
        <w:rPr>
          <w:rFonts w:hint="eastAsia"/>
          <w:color w:val="auto"/>
          <w:lang w:val="en-US" w:eastAsia="zh-CN"/>
        </w:rPr>
        <w:t xml:space="preserve"> </w:t>
      </w:r>
      <w:r>
        <w:rPr>
          <w:rFonts w:hint="eastAsia"/>
          <w:color w:val="auto"/>
        </w:rPr>
        <w:t>住院医师系统</w:t>
      </w:r>
    </w:p>
    <w:p w14:paraId="5C67BE49">
      <w:pPr>
        <w:bidi w:val="0"/>
        <w:rPr>
          <w:color w:val="auto"/>
        </w:rPr>
      </w:pPr>
      <w:r>
        <w:rPr>
          <w:rFonts w:hint="eastAsia"/>
          <w:color w:val="auto"/>
          <w:lang w:val="en-US" w:eastAsia="zh-CN"/>
        </w:rPr>
        <w:t>系统</w:t>
      </w:r>
      <w:r>
        <w:rPr>
          <w:rFonts w:hint="default"/>
          <w:color w:val="auto"/>
        </w:rPr>
        <w:t>集成患者管理、医嘱处理、会诊协作、病案质控等核心功能，支持多维度数据展示、跨科授权及医保智能提示，实现诊疗全流程数字化管理，显著提升医疗质量与工作效率。</w:t>
      </w:r>
    </w:p>
    <w:p w14:paraId="56509423">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EA341EE">
      <w:pPr>
        <w:pStyle w:val="341"/>
        <w:spacing w:beforeLines="0"/>
        <w:ind w:firstLine="482"/>
        <w:rPr>
          <w:rFonts w:hint="eastAsia" w:ascii="宋体" w:hAnsi="宋体" w:cs="仿宋"/>
          <w:b/>
          <w:bCs/>
          <w:color w:val="auto"/>
          <w:sz w:val="24"/>
          <w:szCs w:val="24"/>
        </w:rPr>
      </w:pPr>
      <w:bookmarkStart w:id="162" w:name="_Toc106372974"/>
      <w:r>
        <w:rPr>
          <w:rFonts w:hint="eastAsia" w:ascii="宋体" w:hAnsi="宋体" w:cs="仿宋"/>
          <w:b/>
          <w:bCs/>
          <w:color w:val="auto"/>
          <w:sz w:val="24"/>
          <w:szCs w:val="24"/>
        </w:rPr>
        <w:t>患者信息</w:t>
      </w:r>
      <w:bookmarkEnd w:id="162"/>
    </w:p>
    <w:p w14:paraId="313D081B">
      <w:pPr>
        <w:pStyle w:val="94"/>
        <w:numPr>
          <w:ilvl w:val="0"/>
          <w:numId w:val="55"/>
        </w:numPr>
        <w:ind w:left="0" w:firstLine="480"/>
        <w:rPr>
          <w:rFonts w:cs="Arial"/>
          <w:bCs/>
          <w:color w:val="auto"/>
          <w:sz w:val="24"/>
        </w:rPr>
      </w:pPr>
      <w:bookmarkStart w:id="163" w:name="_Toc106372975"/>
      <w:r>
        <w:rPr>
          <w:rFonts w:hint="eastAsia" w:cs="Arial"/>
          <w:bCs/>
          <w:color w:val="auto"/>
          <w:sz w:val="24"/>
        </w:rPr>
        <w:t>支持本人管床患者、本科患者、转科患者、预约出院患者、结算出院患者、授权患者、其他患者分栏显示。</w:t>
      </w:r>
    </w:p>
    <w:p w14:paraId="5DE31992">
      <w:pPr>
        <w:pStyle w:val="94"/>
        <w:numPr>
          <w:ilvl w:val="0"/>
          <w:numId w:val="55"/>
        </w:numPr>
        <w:ind w:left="0" w:firstLine="480"/>
        <w:rPr>
          <w:rFonts w:cs="Arial"/>
          <w:bCs/>
          <w:color w:val="auto"/>
          <w:sz w:val="24"/>
        </w:rPr>
      </w:pPr>
      <w:r>
        <w:rPr>
          <w:rFonts w:cs="Arial"/>
          <w:bCs/>
          <w:color w:val="auto"/>
          <w:sz w:val="24"/>
        </w:rPr>
        <w:t>支持患者基本信息修改。</w:t>
      </w:r>
    </w:p>
    <w:p w14:paraId="62C2CEA9">
      <w:pPr>
        <w:pStyle w:val="94"/>
        <w:numPr>
          <w:ilvl w:val="0"/>
          <w:numId w:val="55"/>
        </w:numPr>
        <w:ind w:left="0" w:firstLine="480"/>
        <w:rPr>
          <w:rFonts w:cs="Arial"/>
          <w:bCs/>
          <w:color w:val="auto"/>
          <w:sz w:val="24"/>
        </w:rPr>
      </w:pPr>
      <w:r>
        <w:rPr>
          <w:rFonts w:cs="Arial"/>
          <w:bCs/>
          <w:color w:val="auto"/>
          <w:sz w:val="24"/>
        </w:rPr>
        <w:t>支持查看、录入患者过敏史。</w:t>
      </w:r>
    </w:p>
    <w:p w14:paraId="29401ED4">
      <w:pPr>
        <w:pStyle w:val="94"/>
        <w:numPr>
          <w:ilvl w:val="0"/>
          <w:numId w:val="55"/>
        </w:numPr>
        <w:ind w:left="0" w:firstLine="480"/>
        <w:rPr>
          <w:rFonts w:cs="Arial"/>
          <w:bCs/>
          <w:color w:val="auto"/>
          <w:sz w:val="24"/>
        </w:rPr>
      </w:pPr>
      <w:r>
        <w:rPr>
          <w:rFonts w:cs="Arial"/>
          <w:bCs/>
          <w:color w:val="auto"/>
          <w:sz w:val="24"/>
        </w:rPr>
        <w:t>支持显示病人基本信息：姓名、性别、年龄、住院病历号、病区、床号、入院诊断、病情。</w:t>
      </w:r>
    </w:p>
    <w:p w14:paraId="4ACC2025">
      <w:pPr>
        <w:pStyle w:val="94"/>
        <w:numPr>
          <w:ilvl w:val="0"/>
          <w:numId w:val="55"/>
        </w:numPr>
        <w:ind w:left="0" w:firstLine="480"/>
        <w:rPr>
          <w:rFonts w:cs="Arial"/>
          <w:bCs/>
          <w:color w:val="auto"/>
          <w:sz w:val="24"/>
        </w:rPr>
      </w:pPr>
      <w:r>
        <w:rPr>
          <w:rFonts w:cs="Arial"/>
          <w:bCs/>
          <w:color w:val="auto"/>
          <w:sz w:val="24"/>
        </w:rPr>
        <w:t>支持根据不同医保类别给医生做出相关提示信息，包括全自付、部分自付、无自付，</w:t>
      </w:r>
      <w:r>
        <w:rPr>
          <w:rFonts w:hint="eastAsia" w:cs="Arial"/>
          <w:bCs/>
          <w:color w:val="auto"/>
          <w:sz w:val="24"/>
        </w:rPr>
        <w:t>系统对药品等的付费比例问题做出相应的提示供医生参考</w:t>
      </w:r>
      <w:r>
        <w:rPr>
          <w:rFonts w:cs="Arial"/>
          <w:bCs/>
          <w:color w:val="auto"/>
          <w:sz w:val="24"/>
        </w:rPr>
        <w:t>。</w:t>
      </w:r>
    </w:p>
    <w:p w14:paraId="49D16DC5">
      <w:pPr>
        <w:pStyle w:val="94"/>
        <w:numPr>
          <w:ilvl w:val="0"/>
          <w:numId w:val="55"/>
        </w:numPr>
        <w:ind w:left="0" w:firstLine="480"/>
        <w:rPr>
          <w:rFonts w:cs="Arial"/>
          <w:bCs/>
          <w:color w:val="auto"/>
          <w:sz w:val="24"/>
        </w:rPr>
      </w:pPr>
      <w:r>
        <w:rPr>
          <w:rFonts w:cs="Arial"/>
          <w:bCs/>
          <w:color w:val="auto"/>
          <w:sz w:val="24"/>
        </w:rPr>
        <w:t>支持定义科室</w:t>
      </w:r>
      <w:r>
        <w:rPr>
          <w:rFonts w:hint="eastAsia" w:cs="Arial"/>
          <w:bCs/>
          <w:color w:val="auto"/>
          <w:sz w:val="24"/>
        </w:rPr>
        <w:t>级、全院级住院患者列表显示内容如排序。</w:t>
      </w:r>
    </w:p>
    <w:p w14:paraId="2525383B">
      <w:pPr>
        <w:pStyle w:val="94"/>
        <w:numPr>
          <w:ilvl w:val="0"/>
          <w:numId w:val="55"/>
        </w:numPr>
        <w:ind w:left="0" w:firstLine="480"/>
        <w:rPr>
          <w:rFonts w:cs="Arial"/>
          <w:bCs/>
          <w:color w:val="auto"/>
          <w:sz w:val="24"/>
        </w:rPr>
      </w:pPr>
      <w:r>
        <w:rPr>
          <w:rFonts w:cs="Arial"/>
          <w:bCs/>
          <w:color w:val="auto"/>
          <w:sz w:val="24"/>
        </w:rPr>
        <w:t>支持定义患者列表显示内容列宽</w:t>
      </w:r>
      <w:r>
        <w:rPr>
          <w:rFonts w:hint="eastAsia" w:cs="Arial"/>
          <w:bCs/>
          <w:color w:val="auto"/>
          <w:sz w:val="24"/>
        </w:rPr>
        <w:t>。</w:t>
      </w:r>
    </w:p>
    <w:p w14:paraId="6009ABF4">
      <w:pPr>
        <w:pStyle w:val="94"/>
        <w:numPr>
          <w:ilvl w:val="0"/>
          <w:numId w:val="55"/>
        </w:numPr>
        <w:ind w:left="0" w:firstLine="480"/>
        <w:rPr>
          <w:rFonts w:cs="Arial"/>
          <w:bCs/>
          <w:color w:val="auto"/>
          <w:sz w:val="24"/>
        </w:rPr>
      </w:pPr>
      <w:r>
        <w:rPr>
          <w:rFonts w:cs="Arial"/>
          <w:bCs/>
          <w:color w:val="auto"/>
          <w:sz w:val="24"/>
        </w:rPr>
        <w:t>支持重点内容</w:t>
      </w:r>
      <w:r>
        <w:rPr>
          <w:rFonts w:hint="eastAsia" w:cs="Arial"/>
          <w:bCs/>
          <w:color w:val="auto"/>
          <w:sz w:val="24"/>
        </w:rPr>
        <w:t>，</w:t>
      </w:r>
      <w:r>
        <w:rPr>
          <w:rFonts w:cs="Arial"/>
          <w:bCs/>
          <w:color w:val="auto"/>
          <w:sz w:val="24"/>
        </w:rPr>
        <w:t>例如</w:t>
      </w:r>
      <w:r>
        <w:rPr>
          <w:rFonts w:hint="eastAsia" w:cs="Arial"/>
          <w:bCs/>
          <w:color w:val="auto"/>
          <w:sz w:val="24"/>
        </w:rPr>
        <w:t>：</w:t>
      </w:r>
      <w:r>
        <w:rPr>
          <w:rFonts w:cs="Arial"/>
          <w:bCs/>
          <w:color w:val="auto"/>
          <w:sz w:val="24"/>
        </w:rPr>
        <w:t>危</w:t>
      </w:r>
      <w:r>
        <w:rPr>
          <w:rFonts w:hint="eastAsia" w:cs="Arial"/>
          <w:bCs/>
          <w:color w:val="auto"/>
          <w:sz w:val="24"/>
        </w:rPr>
        <w:t>、</w:t>
      </w:r>
      <w:r>
        <w:rPr>
          <w:rFonts w:cs="Arial"/>
          <w:bCs/>
          <w:color w:val="auto"/>
          <w:sz w:val="24"/>
        </w:rPr>
        <w:t>重</w:t>
      </w:r>
      <w:r>
        <w:rPr>
          <w:rFonts w:hint="eastAsia" w:cs="Arial"/>
          <w:bCs/>
          <w:color w:val="auto"/>
          <w:sz w:val="24"/>
        </w:rPr>
        <w:t>、</w:t>
      </w:r>
      <w:r>
        <w:rPr>
          <w:rFonts w:cs="Arial"/>
          <w:bCs/>
          <w:color w:val="auto"/>
          <w:sz w:val="24"/>
        </w:rPr>
        <w:t>会诊</w:t>
      </w:r>
      <w:r>
        <w:rPr>
          <w:rFonts w:hint="eastAsia" w:cs="Arial"/>
          <w:bCs/>
          <w:color w:val="auto"/>
          <w:sz w:val="24"/>
        </w:rPr>
        <w:t>等信息高亮显示。</w:t>
      </w:r>
    </w:p>
    <w:p w14:paraId="4B61575C">
      <w:pPr>
        <w:pStyle w:val="94"/>
        <w:numPr>
          <w:ilvl w:val="0"/>
          <w:numId w:val="55"/>
        </w:numPr>
        <w:ind w:left="0" w:firstLine="480"/>
        <w:rPr>
          <w:rFonts w:cs="Arial"/>
          <w:bCs/>
          <w:color w:val="auto"/>
          <w:sz w:val="24"/>
        </w:rPr>
      </w:pPr>
      <w:r>
        <w:rPr>
          <w:rFonts w:cs="Arial"/>
          <w:bCs/>
          <w:color w:val="auto"/>
          <w:sz w:val="24"/>
        </w:rPr>
        <w:t>支持患者信息卡片式浏览模式</w:t>
      </w:r>
      <w:r>
        <w:rPr>
          <w:rFonts w:hint="eastAsia" w:cs="Arial"/>
          <w:bCs/>
          <w:color w:val="auto"/>
          <w:sz w:val="24"/>
        </w:rPr>
        <w:t>。</w:t>
      </w:r>
    </w:p>
    <w:p w14:paraId="7829304E">
      <w:pPr>
        <w:pStyle w:val="94"/>
        <w:numPr>
          <w:ilvl w:val="0"/>
          <w:numId w:val="55"/>
        </w:numPr>
        <w:ind w:left="0" w:firstLine="480"/>
        <w:rPr>
          <w:rFonts w:cs="Arial"/>
          <w:bCs/>
          <w:color w:val="auto"/>
          <w:sz w:val="24"/>
        </w:rPr>
      </w:pPr>
      <w:r>
        <w:rPr>
          <w:rFonts w:cs="Arial"/>
          <w:bCs/>
          <w:color w:val="auto"/>
          <w:sz w:val="24"/>
        </w:rPr>
        <w:t>支持根据类别</w:t>
      </w:r>
      <w:r>
        <w:rPr>
          <w:rFonts w:hint="eastAsia" w:cs="Arial"/>
          <w:bCs/>
          <w:color w:val="auto"/>
          <w:sz w:val="24"/>
        </w:rPr>
        <w:t>、</w:t>
      </w:r>
      <w:r>
        <w:rPr>
          <w:rFonts w:cs="Arial"/>
          <w:bCs/>
          <w:color w:val="auto"/>
          <w:sz w:val="24"/>
        </w:rPr>
        <w:t>账户</w:t>
      </w:r>
      <w:r>
        <w:rPr>
          <w:rFonts w:hint="eastAsia" w:cs="Arial"/>
          <w:bCs/>
          <w:color w:val="auto"/>
          <w:sz w:val="24"/>
        </w:rPr>
        <w:t>、</w:t>
      </w:r>
      <w:r>
        <w:rPr>
          <w:rFonts w:cs="Arial"/>
          <w:bCs/>
          <w:color w:val="auto"/>
          <w:sz w:val="24"/>
        </w:rPr>
        <w:t>护级</w:t>
      </w:r>
      <w:r>
        <w:rPr>
          <w:rFonts w:hint="eastAsia" w:cs="Arial"/>
          <w:bCs/>
          <w:color w:val="auto"/>
          <w:sz w:val="24"/>
        </w:rPr>
        <w:t>、</w:t>
      </w:r>
      <w:r>
        <w:rPr>
          <w:rFonts w:cs="Arial"/>
          <w:bCs/>
          <w:color w:val="auto"/>
          <w:sz w:val="24"/>
        </w:rPr>
        <w:t>危重</w:t>
      </w:r>
      <w:r>
        <w:rPr>
          <w:rFonts w:hint="eastAsia" w:cs="Arial"/>
          <w:bCs/>
          <w:color w:val="auto"/>
          <w:sz w:val="24"/>
        </w:rPr>
        <w:t>、</w:t>
      </w:r>
      <w:r>
        <w:rPr>
          <w:rFonts w:cs="Arial"/>
          <w:bCs/>
          <w:color w:val="auto"/>
          <w:sz w:val="24"/>
        </w:rPr>
        <w:t>病历</w:t>
      </w:r>
      <w:r>
        <w:rPr>
          <w:rFonts w:hint="eastAsia" w:cs="Arial"/>
          <w:bCs/>
          <w:color w:val="auto"/>
          <w:sz w:val="24"/>
        </w:rPr>
        <w:t>、</w:t>
      </w:r>
      <w:r>
        <w:rPr>
          <w:rFonts w:cs="Arial"/>
          <w:bCs/>
          <w:color w:val="auto"/>
          <w:sz w:val="24"/>
        </w:rPr>
        <w:t>手术</w:t>
      </w:r>
      <w:r>
        <w:rPr>
          <w:rFonts w:hint="eastAsia" w:cs="Arial"/>
          <w:bCs/>
          <w:color w:val="auto"/>
          <w:sz w:val="24"/>
        </w:rPr>
        <w:t>、</w:t>
      </w:r>
      <w:r>
        <w:rPr>
          <w:rFonts w:cs="Arial"/>
          <w:bCs/>
          <w:color w:val="auto"/>
          <w:sz w:val="24"/>
        </w:rPr>
        <w:t>临床路径信息筛选患者卡片列表</w:t>
      </w:r>
      <w:r>
        <w:rPr>
          <w:rFonts w:hint="eastAsia" w:cs="Arial"/>
          <w:bCs/>
          <w:color w:val="auto"/>
          <w:sz w:val="24"/>
        </w:rPr>
        <w:t>。</w:t>
      </w:r>
    </w:p>
    <w:p w14:paraId="0A7E556A">
      <w:pPr>
        <w:pStyle w:val="94"/>
        <w:numPr>
          <w:ilvl w:val="0"/>
          <w:numId w:val="55"/>
        </w:numPr>
        <w:ind w:left="0" w:firstLine="480"/>
        <w:rPr>
          <w:rFonts w:cs="Arial"/>
          <w:bCs/>
          <w:color w:val="auto"/>
          <w:sz w:val="24"/>
        </w:rPr>
      </w:pPr>
      <w:r>
        <w:rPr>
          <w:rFonts w:cs="Arial"/>
          <w:bCs/>
          <w:color w:val="auto"/>
          <w:sz w:val="24"/>
        </w:rPr>
        <w:t>支持双击卡片定位患者信息</w:t>
      </w:r>
      <w:r>
        <w:rPr>
          <w:rFonts w:hint="eastAsia" w:cs="Arial"/>
          <w:bCs/>
          <w:color w:val="auto"/>
          <w:sz w:val="24"/>
        </w:rPr>
        <w:t>。</w:t>
      </w:r>
    </w:p>
    <w:p w14:paraId="67C16059">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授权</w:t>
      </w:r>
      <w:bookmarkEnd w:id="163"/>
    </w:p>
    <w:p w14:paraId="5E55A7B3">
      <w:pPr>
        <w:pStyle w:val="94"/>
        <w:numPr>
          <w:ilvl w:val="0"/>
          <w:numId w:val="56"/>
        </w:numPr>
        <w:ind w:left="0" w:firstLine="480"/>
        <w:rPr>
          <w:rFonts w:cs="Arial"/>
          <w:bCs/>
          <w:color w:val="auto"/>
          <w:sz w:val="24"/>
        </w:rPr>
      </w:pPr>
      <w:bookmarkStart w:id="164" w:name="_Toc106372976"/>
      <w:r>
        <w:rPr>
          <w:rFonts w:cs="Arial"/>
          <w:bCs/>
          <w:color w:val="auto"/>
          <w:sz w:val="24"/>
        </w:rPr>
        <w:t>支持患者本院授权</w:t>
      </w:r>
      <w:r>
        <w:rPr>
          <w:rFonts w:hint="eastAsia" w:cs="Arial"/>
          <w:bCs/>
          <w:color w:val="auto"/>
          <w:sz w:val="24"/>
        </w:rPr>
        <w:t>。</w:t>
      </w:r>
    </w:p>
    <w:p w14:paraId="212F3D8B">
      <w:pPr>
        <w:pStyle w:val="94"/>
        <w:numPr>
          <w:ilvl w:val="0"/>
          <w:numId w:val="56"/>
        </w:numPr>
        <w:ind w:left="0" w:firstLine="480"/>
        <w:rPr>
          <w:rFonts w:cs="Arial"/>
          <w:bCs/>
          <w:color w:val="auto"/>
          <w:sz w:val="24"/>
        </w:rPr>
      </w:pPr>
      <w:r>
        <w:rPr>
          <w:rFonts w:cs="Arial"/>
          <w:bCs/>
          <w:color w:val="auto"/>
          <w:sz w:val="24"/>
        </w:rPr>
        <w:t>支持指定被授权科室</w:t>
      </w:r>
      <w:r>
        <w:rPr>
          <w:rFonts w:hint="eastAsia" w:cs="Arial"/>
          <w:bCs/>
          <w:color w:val="auto"/>
          <w:sz w:val="24"/>
        </w:rPr>
        <w:t>。</w:t>
      </w:r>
    </w:p>
    <w:p w14:paraId="2E6BE9AF">
      <w:pPr>
        <w:pStyle w:val="94"/>
        <w:numPr>
          <w:ilvl w:val="0"/>
          <w:numId w:val="56"/>
        </w:numPr>
        <w:ind w:left="0" w:firstLine="480"/>
        <w:rPr>
          <w:rFonts w:cs="Arial"/>
          <w:bCs/>
          <w:color w:val="auto"/>
          <w:sz w:val="24"/>
        </w:rPr>
      </w:pPr>
      <w:r>
        <w:rPr>
          <w:rFonts w:cs="Arial"/>
          <w:bCs/>
          <w:color w:val="auto"/>
          <w:sz w:val="24"/>
        </w:rPr>
        <w:t>支持设置授权有效期</w:t>
      </w:r>
      <w:r>
        <w:rPr>
          <w:rFonts w:hint="eastAsia" w:cs="Arial"/>
          <w:bCs/>
          <w:color w:val="auto"/>
          <w:sz w:val="24"/>
        </w:rPr>
        <w:t>，</w:t>
      </w:r>
      <w:r>
        <w:rPr>
          <w:rFonts w:cs="Arial"/>
          <w:bCs/>
          <w:color w:val="auto"/>
          <w:sz w:val="24"/>
        </w:rPr>
        <w:t>有效期结束后自动停止授权</w:t>
      </w:r>
      <w:r>
        <w:rPr>
          <w:rFonts w:hint="eastAsia" w:cs="Arial"/>
          <w:bCs/>
          <w:color w:val="auto"/>
          <w:sz w:val="24"/>
        </w:rPr>
        <w:t>。</w:t>
      </w:r>
    </w:p>
    <w:p w14:paraId="69010A27">
      <w:pPr>
        <w:pStyle w:val="94"/>
        <w:numPr>
          <w:ilvl w:val="0"/>
          <w:numId w:val="56"/>
        </w:numPr>
        <w:ind w:left="0" w:firstLine="480"/>
        <w:rPr>
          <w:rFonts w:cs="Arial"/>
          <w:bCs/>
          <w:color w:val="auto"/>
          <w:sz w:val="24"/>
        </w:rPr>
      </w:pPr>
      <w:r>
        <w:rPr>
          <w:rFonts w:cs="Arial"/>
          <w:bCs/>
          <w:color w:val="auto"/>
          <w:sz w:val="24"/>
        </w:rPr>
        <w:t>支持手工停止授权</w:t>
      </w:r>
      <w:r>
        <w:rPr>
          <w:rFonts w:hint="eastAsia" w:cs="Arial"/>
          <w:bCs/>
          <w:color w:val="auto"/>
          <w:sz w:val="24"/>
        </w:rPr>
        <w:t>。</w:t>
      </w:r>
    </w:p>
    <w:p w14:paraId="2F0741F5">
      <w:pPr>
        <w:pStyle w:val="94"/>
        <w:numPr>
          <w:ilvl w:val="0"/>
          <w:numId w:val="56"/>
        </w:numPr>
        <w:ind w:left="0" w:firstLine="480"/>
        <w:rPr>
          <w:rFonts w:cs="Arial"/>
          <w:bCs/>
          <w:color w:val="auto"/>
          <w:sz w:val="24"/>
        </w:rPr>
      </w:pPr>
      <w:r>
        <w:rPr>
          <w:rFonts w:cs="Arial"/>
          <w:bCs/>
          <w:color w:val="auto"/>
          <w:sz w:val="24"/>
        </w:rPr>
        <w:t>支持查看患者历次授权信息</w:t>
      </w:r>
      <w:r>
        <w:rPr>
          <w:rFonts w:hint="eastAsia" w:cs="Arial"/>
          <w:bCs/>
          <w:color w:val="auto"/>
          <w:sz w:val="24"/>
        </w:rPr>
        <w:t>。</w:t>
      </w:r>
    </w:p>
    <w:p w14:paraId="329672D9">
      <w:pPr>
        <w:pStyle w:val="94"/>
        <w:numPr>
          <w:ilvl w:val="0"/>
          <w:numId w:val="56"/>
        </w:numPr>
        <w:ind w:left="0" w:firstLine="480"/>
        <w:rPr>
          <w:rFonts w:cs="Arial"/>
          <w:bCs/>
          <w:color w:val="auto"/>
          <w:sz w:val="24"/>
        </w:rPr>
      </w:pPr>
      <w:r>
        <w:rPr>
          <w:rFonts w:cs="Arial"/>
          <w:bCs/>
          <w:color w:val="auto"/>
          <w:sz w:val="24"/>
        </w:rPr>
        <w:t>支持填写授权备注信息</w:t>
      </w:r>
      <w:r>
        <w:rPr>
          <w:rFonts w:hint="eastAsia" w:cs="Arial"/>
          <w:bCs/>
          <w:color w:val="auto"/>
          <w:sz w:val="24"/>
        </w:rPr>
        <w:t>。</w:t>
      </w:r>
    </w:p>
    <w:p w14:paraId="52EEDDFC">
      <w:pPr>
        <w:pStyle w:val="94"/>
        <w:numPr>
          <w:ilvl w:val="0"/>
          <w:numId w:val="56"/>
        </w:numPr>
        <w:ind w:left="0" w:firstLine="480"/>
        <w:rPr>
          <w:rFonts w:cs="Arial"/>
          <w:bCs/>
          <w:color w:val="auto"/>
          <w:sz w:val="24"/>
        </w:rPr>
      </w:pPr>
      <w:r>
        <w:rPr>
          <w:rFonts w:cs="Arial"/>
          <w:bCs/>
          <w:color w:val="auto"/>
          <w:sz w:val="24"/>
        </w:rPr>
        <w:t>支持患者授权后</w:t>
      </w:r>
      <w:r>
        <w:rPr>
          <w:rFonts w:hint="eastAsia" w:cs="Arial"/>
          <w:bCs/>
          <w:color w:val="auto"/>
          <w:sz w:val="24"/>
        </w:rPr>
        <w:t>，</w:t>
      </w:r>
      <w:r>
        <w:rPr>
          <w:rFonts w:cs="Arial"/>
          <w:bCs/>
          <w:color w:val="auto"/>
          <w:sz w:val="24"/>
        </w:rPr>
        <w:t>被授权科室</w:t>
      </w:r>
      <w:r>
        <w:rPr>
          <w:rFonts w:hint="eastAsia" w:cs="Arial"/>
          <w:bCs/>
          <w:color w:val="auto"/>
          <w:sz w:val="24"/>
          <w:lang w:eastAsia="zh-CN"/>
        </w:rPr>
        <w:t>。</w:t>
      </w:r>
    </w:p>
    <w:p w14:paraId="57472C2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会诊</w:t>
      </w:r>
      <w:bookmarkEnd w:id="164"/>
    </w:p>
    <w:p w14:paraId="6339D5D3">
      <w:pPr>
        <w:ind w:firstLine="480"/>
        <w:rPr>
          <w:rFonts w:cs="Arial"/>
          <w:bCs/>
          <w:color w:val="auto"/>
        </w:rPr>
      </w:pPr>
      <w:bookmarkStart w:id="165" w:name="_Toc106372977"/>
      <w:r>
        <w:rPr>
          <w:rFonts w:hint="eastAsia" w:cs="Arial"/>
          <w:bCs/>
          <w:color w:val="auto"/>
        </w:rPr>
        <w:t>（一）普通会诊</w:t>
      </w:r>
    </w:p>
    <w:p w14:paraId="40BF3308">
      <w:pPr>
        <w:pStyle w:val="94"/>
        <w:numPr>
          <w:ilvl w:val="0"/>
          <w:numId w:val="57"/>
        </w:numPr>
        <w:ind w:left="0" w:firstLine="480"/>
        <w:rPr>
          <w:rFonts w:cs="Arial"/>
          <w:bCs/>
          <w:color w:val="auto"/>
          <w:sz w:val="24"/>
        </w:rPr>
      </w:pPr>
      <w:r>
        <w:rPr>
          <w:rFonts w:cs="Arial"/>
          <w:bCs/>
          <w:color w:val="auto"/>
          <w:sz w:val="24"/>
        </w:rPr>
        <w:t>支持一对一会诊</w:t>
      </w:r>
      <w:r>
        <w:rPr>
          <w:rFonts w:hint="eastAsia" w:cs="Arial"/>
          <w:bCs/>
          <w:color w:val="auto"/>
          <w:sz w:val="24"/>
        </w:rPr>
        <w:t>、</w:t>
      </w:r>
      <w:r>
        <w:rPr>
          <w:rFonts w:cs="Arial"/>
          <w:bCs/>
          <w:color w:val="auto"/>
          <w:sz w:val="24"/>
        </w:rPr>
        <w:t>多学科会诊</w:t>
      </w:r>
      <w:r>
        <w:rPr>
          <w:rFonts w:hint="eastAsia" w:cs="Arial"/>
          <w:bCs/>
          <w:color w:val="auto"/>
          <w:sz w:val="24"/>
        </w:rPr>
        <w:t>。</w:t>
      </w:r>
    </w:p>
    <w:p w14:paraId="54E1C9B3">
      <w:pPr>
        <w:pStyle w:val="94"/>
        <w:numPr>
          <w:ilvl w:val="0"/>
          <w:numId w:val="57"/>
        </w:numPr>
        <w:ind w:left="0" w:firstLine="480"/>
        <w:rPr>
          <w:rFonts w:cs="Arial"/>
          <w:bCs/>
          <w:color w:val="auto"/>
          <w:sz w:val="24"/>
        </w:rPr>
      </w:pPr>
      <w:r>
        <w:rPr>
          <w:rFonts w:cs="Arial"/>
          <w:bCs/>
          <w:color w:val="auto"/>
          <w:sz w:val="24"/>
        </w:rPr>
        <w:t>支持浏览患者历次会诊信息</w:t>
      </w:r>
      <w:r>
        <w:rPr>
          <w:rFonts w:hint="eastAsia" w:cs="Arial"/>
          <w:bCs/>
          <w:color w:val="auto"/>
          <w:sz w:val="24"/>
        </w:rPr>
        <w:t>。</w:t>
      </w:r>
    </w:p>
    <w:p w14:paraId="7841CFE7">
      <w:pPr>
        <w:pStyle w:val="94"/>
        <w:numPr>
          <w:ilvl w:val="0"/>
          <w:numId w:val="57"/>
        </w:numPr>
        <w:ind w:left="0" w:firstLine="480"/>
        <w:rPr>
          <w:rFonts w:cs="Arial"/>
          <w:bCs/>
          <w:color w:val="auto"/>
          <w:sz w:val="24"/>
        </w:rPr>
      </w:pPr>
      <w:r>
        <w:rPr>
          <w:rFonts w:cs="Arial"/>
          <w:bCs/>
          <w:color w:val="auto"/>
          <w:sz w:val="24"/>
        </w:rPr>
        <w:t>支持会诊申请填写简要病情及诊疗经过</w:t>
      </w:r>
      <w:r>
        <w:rPr>
          <w:rFonts w:hint="eastAsia" w:cs="Arial"/>
          <w:bCs/>
          <w:color w:val="auto"/>
          <w:sz w:val="24"/>
        </w:rPr>
        <w:t>、</w:t>
      </w:r>
      <w:r>
        <w:rPr>
          <w:rFonts w:cs="Arial"/>
          <w:bCs/>
          <w:color w:val="auto"/>
          <w:sz w:val="24"/>
        </w:rPr>
        <w:t>症状体征及检查结果</w:t>
      </w:r>
      <w:r>
        <w:rPr>
          <w:rFonts w:hint="eastAsia" w:cs="Arial"/>
          <w:bCs/>
          <w:color w:val="auto"/>
          <w:sz w:val="24"/>
        </w:rPr>
        <w:t>、</w:t>
      </w:r>
      <w:r>
        <w:rPr>
          <w:rFonts w:cs="Arial"/>
          <w:bCs/>
          <w:color w:val="auto"/>
          <w:sz w:val="24"/>
        </w:rPr>
        <w:t>会诊目的</w:t>
      </w:r>
      <w:r>
        <w:rPr>
          <w:rFonts w:hint="eastAsia" w:cs="Arial"/>
          <w:bCs/>
          <w:color w:val="auto"/>
          <w:sz w:val="24"/>
        </w:rPr>
        <w:t>、</w:t>
      </w:r>
      <w:r>
        <w:rPr>
          <w:rFonts w:cs="Arial"/>
          <w:bCs/>
          <w:color w:val="auto"/>
          <w:sz w:val="24"/>
        </w:rPr>
        <w:t>会诊说明</w:t>
      </w:r>
      <w:r>
        <w:rPr>
          <w:rFonts w:hint="eastAsia" w:cs="Arial"/>
          <w:bCs/>
          <w:color w:val="auto"/>
          <w:sz w:val="24"/>
        </w:rPr>
        <w:t>。</w:t>
      </w:r>
    </w:p>
    <w:p w14:paraId="241F0835">
      <w:pPr>
        <w:pStyle w:val="94"/>
        <w:numPr>
          <w:ilvl w:val="0"/>
          <w:numId w:val="57"/>
        </w:numPr>
        <w:ind w:left="0" w:firstLine="480"/>
        <w:rPr>
          <w:rFonts w:cs="Arial"/>
          <w:bCs/>
          <w:color w:val="auto"/>
          <w:sz w:val="24"/>
        </w:rPr>
      </w:pPr>
      <w:r>
        <w:rPr>
          <w:rFonts w:cs="Arial"/>
          <w:bCs/>
          <w:color w:val="auto"/>
          <w:sz w:val="24"/>
        </w:rPr>
        <w:t>支持会诊申请新增</w:t>
      </w:r>
      <w:r>
        <w:rPr>
          <w:rFonts w:hint="eastAsia" w:cs="Arial"/>
          <w:bCs/>
          <w:color w:val="auto"/>
          <w:sz w:val="24"/>
        </w:rPr>
        <w:t>、</w:t>
      </w:r>
      <w:r>
        <w:rPr>
          <w:rFonts w:cs="Arial"/>
          <w:bCs/>
          <w:color w:val="auto"/>
          <w:sz w:val="24"/>
        </w:rPr>
        <w:t>暂存</w:t>
      </w:r>
      <w:r>
        <w:rPr>
          <w:rFonts w:hint="eastAsia" w:cs="Arial"/>
          <w:bCs/>
          <w:color w:val="auto"/>
          <w:sz w:val="24"/>
        </w:rPr>
        <w:t>、</w:t>
      </w:r>
      <w:r>
        <w:rPr>
          <w:rFonts w:cs="Arial"/>
          <w:bCs/>
          <w:color w:val="auto"/>
          <w:sz w:val="24"/>
        </w:rPr>
        <w:t>删除操作</w:t>
      </w:r>
      <w:r>
        <w:rPr>
          <w:rFonts w:hint="eastAsia" w:cs="Arial"/>
          <w:bCs/>
          <w:color w:val="auto"/>
          <w:sz w:val="24"/>
        </w:rPr>
        <w:t>。</w:t>
      </w:r>
    </w:p>
    <w:p w14:paraId="41D41A40">
      <w:pPr>
        <w:pStyle w:val="94"/>
        <w:numPr>
          <w:ilvl w:val="0"/>
          <w:numId w:val="57"/>
        </w:numPr>
        <w:ind w:left="0" w:firstLine="480"/>
        <w:rPr>
          <w:rFonts w:cs="Arial"/>
          <w:bCs/>
          <w:color w:val="auto"/>
          <w:sz w:val="24"/>
        </w:rPr>
      </w:pPr>
      <w:r>
        <w:rPr>
          <w:rFonts w:cs="Arial"/>
          <w:bCs/>
          <w:color w:val="auto"/>
          <w:sz w:val="24"/>
        </w:rPr>
        <w:t>支持会诊申请提交后不允许删除</w:t>
      </w:r>
      <w:r>
        <w:rPr>
          <w:rFonts w:hint="eastAsia" w:cs="Arial"/>
          <w:bCs/>
          <w:color w:val="auto"/>
          <w:sz w:val="24"/>
        </w:rPr>
        <w:t>。</w:t>
      </w:r>
    </w:p>
    <w:p w14:paraId="1F7939C3">
      <w:pPr>
        <w:pStyle w:val="94"/>
        <w:numPr>
          <w:ilvl w:val="0"/>
          <w:numId w:val="57"/>
        </w:numPr>
        <w:ind w:left="0" w:firstLine="480"/>
        <w:rPr>
          <w:rFonts w:cs="Arial"/>
          <w:bCs/>
          <w:color w:val="auto"/>
          <w:sz w:val="24"/>
        </w:rPr>
      </w:pPr>
      <w:r>
        <w:rPr>
          <w:rFonts w:cs="Arial"/>
          <w:bCs/>
          <w:color w:val="auto"/>
          <w:sz w:val="24"/>
        </w:rPr>
        <w:t>支持打印会诊导引单</w:t>
      </w:r>
      <w:r>
        <w:rPr>
          <w:rFonts w:hint="eastAsia" w:cs="Arial"/>
          <w:bCs/>
          <w:color w:val="auto"/>
          <w:sz w:val="24"/>
        </w:rPr>
        <w:t>。</w:t>
      </w:r>
    </w:p>
    <w:p w14:paraId="5014593A">
      <w:pPr>
        <w:pStyle w:val="94"/>
        <w:numPr>
          <w:ilvl w:val="0"/>
          <w:numId w:val="57"/>
        </w:numPr>
        <w:ind w:left="0" w:firstLine="480"/>
        <w:rPr>
          <w:rFonts w:cs="Arial"/>
          <w:bCs/>
          <w:color w:val="auto"/>
          <w:sz w:val="24"/>
        </w:rPr>
      </w:pPr>
      <w:r>
        <w:rPr>
          <w:rFonts w:cs="Arial"/>
          <w:bCs/>
          <w:color w:val="auto"/>
          <w:sz w:val="24"/>
        </w:rPr>
        <w:t>支持取消会诊填写说明信息</w:t>
      </w:r>
      <w:r>
        <w:rPr>
          <w:rFonts w:hint="eastAsia" w:cs="Arial"/>
          <w:bCs/>
          <w:color w:val="auto"/>
          <w:sz w:val="24"/>
        </w:rPr>
        <w:t>。</w:t>
      </w:r>
    </w:p>
    <w:p w14:paraId="30903144">
      <w:pPr>
        <w:pStyle w:val="94"/>
        <w:numPr>
          <w:ilvl w:val="0"/>
          <w:numId w:val="57"/>
        </w:numPr>
        <w:ind w:left="0" w:firstLine="480"/>
        <w:rPr>
          <w:rFonts w:cs="Arial"/>
          <w:bCs/>
          <w:color w:val="auto"/>
          <w:sz w:val="24"/>
        </w:rPr>
      </w:pPr>
      <w:r>
        <w:rPr>
          <w:rFonts w:cs="Arial"/>
          <w:bCs/>
          <w:color w:val="auto"/>
          <w:sz w:val="24"/>
        </w:rPr>
        <w:t>支持填写会诊申请时引用病历</w:t>
      </w:r>
      <w:r>
        <w:rPr>
          <w:rFonts w:hint="eastAsia" w:cs="Arial"/>
          <w:bCs/>
          <w:color w:val="auto"/>
          <w:sz w:val="24"/>
        </w:rPr>
        <w:t>、</w:t>
      </w:r>
      <w:r>
        <w:rPr>
          <w:rFonts w:cs="Arial"/>
          <w:bCs/>
          <w:color w:val="auto"/>
          <w:sz w:val="24"/>
        </w:rPr>
        <w:t>检验</w:t>
      </w:r>
      <w:r>
        <w:rPr>
          <w:rFonts w:hint="eastAsia" w:cs="Arial"/>
          <w:bCs/>
          <w:color w:val="auto"/>
          <w:sz w:val="24"/>
        </w:rPr>
        <w:t>、</w:t>
      </w:r>
      <w:r>
        <w:rPr>
          <w:rFonts w:cs="Arial"/>
          <w:bCs/>
          <w:color w:val="auto"/>
          <w:sz w:val="24"/>
        </w:rPr>
        <w:t>检查</w:t>
      </w:r>
      <w:r>
        <w:rPr>
          <w:rFonts w:hint="eastAsia" w:cs="Arial"/>
          <w:bCs/>
          <w:color w:val="auto"/>
          <w:sz w:val="24"/>
        </w:rPr>
        <w:t>、医嘱、护理记录信息。</w:t>
      </w:r>
    </w:p>
    <w:p w14:paraId="283976BA">
      <w:pPr>
        <w:pStyle w:val="94"/>
        <w:numPr>
          <w:ilvl w:val="0"/>
          <w:numId w:val="57"/>
        </w:numPr>
        <w:ind w:left="0" w:firstLine="480"/>
        <w:rPr>
          <w:rFonts w:cs="Arial"/>
          <w:bCs/>
          <w:color w:val="auto"/>
          <w:sz w:val="24"/>
        </w:rPr>
      </w:pPr>
      <w:r>
        <w:rPr>
          <w:rFonts w:cs="Arial"/>
          <w:bCs/>
          <w:color w:val="auto"/>
          <w:sz w:val="24"/>
        </w:rPr>
        <w:t>支持会诊催诊</w:t>
      </w:r>
      <w:r>
        <w:rPr>
          <w:rFonts w:hint="eastAsia" w:cs="Arial"/>
          <w:bCs/>
          <w:color w:val="auto"/>
          <w:sz w:val="24"/>
        </w:rPr>
        <w:t>。</w:t>
      </w:r>
    </w:p>
    <w:p w14:paraId="1F4D0720">
      <w:pPr>
        <w:pStyle w:val="94"/>
        <w:numPr>
          <w:ilvl w:val="0"/>
          <w:numId w:val="57"/>
        </w:numPr>
        <w:ind w:left="0" w:firstLine="480"/>
        <w:rPr>
          <w:rFonts w:cs="Arial"/>
          <w:bCs/>
          <w:color w:val="auto"/>
          <w:sz w:val="24"/>
        </w:rPr>
      </w:pPr>
      <w:r>
        <w:rPr>
          <w:rFonts w:cs="Arial"/>
          <w:bCs/>
          <w:color w:val="auto"/>
          <w:sz w:val="24"/>
        </w:rPr>
        <w:t>支持自动产生会诊医嘱</w:t>
      </w:r>
      <w:r>
        <w:rPr>
          <w:rFonts w:hint="eastAsia" w:cs="Arial"/>
          <w:bCs/>
          <w:color w:val="auto"/>
          <w:sz w:val="24"/>
        </w:rPr>
        <w:t>。</w:t>
      </w:r>
    </w:p>
    <w:p w14:paraId="12C3D8B9">
      <w:pPr>
        <w:pStyle w:val="94"/>
        <w:numPr>
          <w:ilvl w:val="0"/>
          <w:numId w:val="57"/>
        </w:numPr>
        <w:ind w:left="0" w:firstLine="480"/>
        <w:rPr>
          <w:rFonts w:cs="Arial"/>
          <w:bCs/>
          <w:color w:val="auto"/>
          <w:sz w:val="24"/>
        </w:rPr>
      </w:pPr>
      <w:r>
        <w:rPr>
          <w:rFonts w:cs="Arial"/>
          <w:bCs/>
          <w:color w:val="auto"/>
          <w:sz w:val="24"/>
        </w:rPr>
        <w:t>支持会诊</w:t>
      </w:r>
      <w:r>
        <w:rPr>
          <w:rFonts w:hint="eastAsia" w:cs="Arial"/>
          <w:bCs/>
          <w:color w:val="auto"/>
          <w:sz w:val="24"/>
        </w:rPr>
        <w:t>申请、</w:t>
      </w:r>
      <w:r>
        <w:rPr>
          <w:rFonts w:cs="Arial"/>
          <w:bCs/>
          <w:color w:val="auto"/>
          <w:sz w:val="24"/>
        </w:rPr>
        <w:t>会诊开始</w:t>
      </w:r>
      <w:r>
        <w:rPr>
          <w:rFonts w:hint="eastAsia" w:cs="Arial"/>
          <w:bCs/>
          <w:color w:val="auto"/>
          <w:sz w:val="24"/>
        </w:rPr>
        <w:t>、</w:t>
      </w:r>
      <w:r>
        <w:rPr>
          <w:rFonts w:cs="Arial"/>
          <w:bCs/>
          <w:color w:val="auto"/>
          <w:sz w:val="24"/>
        </w:rPr>
        <w:t>会诊结束等关键节点控制</w:t>
      </w:r>
      <w:r>
        <w:rPr>
          <w:rFonts w:hint="eastAsia" w:cs="Arial"/>
          <w:bCs/>
          <w:color w:val="auto"/>
          <w:sz w:val="24"/>
        </w:rPr>
        <w:t>。</w:t>
      </w:r>
    </w:p>
    <w:p w14:paraId="76F9274B">
      <w:pPr>
        <w:pStyle w:val="94"/>
        <w:numPr>
          <w:ilvl w:val="0"/>
          <w:numId w:val="57"/>
        </w:numPr>
        <w:ind w:left="0" w:firstLine="480"/>
        <w:rPr>
          <w:rFonts w:cs="Arial"/>
          <w:bCs/>
          <w:color w:val="auto"/>
          <w:sz w:val="24"/>
        </w:rPr>
      </w:pPr>
      <w:r>
        <w:rPr>
          <w:rFonts w:cs="Arial"/>
          <w:bCs/>
          <w:color w:val="auto"/>
          <w:sz w:val="24"/>
        </w:rPr>
        <w:t>支持填写会诊意见</w:t>
      </w:r>
      <w:r>
        <w:rPr>
          <w:rFonts w:hint="eastAsia" w:cs="Arial"/>
          <w:bCs/>
          <w:color w:val="auto"/>
          <w:sz w:val="24"/>
        </w:rPr>
        <w:t>、</w:t>
      </w:r>
      <w:r>
        <w:rPr>
          <w:rFonts w:cs="Arial"/>
          <w:bCs/>
          <w:color w:val="auto"/>
          <w:sz w:val="24"/>
        </w:rPr>
        <w:t>处理意见</w:t>
      </w:r>
      <w:r>
        <w:rPr>
          <w:rFonts w:hint="eastAsia" w:cs="Arial"/>
          <w:bCs/>
          <w:color w:val="auto"/>
          <w:sz w:val="24"/>
        </w:rPr>
        <w:t>。</w:t>
      </w:r>
    </w:p>
    <w:p w14:paraId="47581CD0">
      <w:pPr>
        <w:pStyle w:val="94"/>
        <w:numPr>
          <w:ilvl w:val="0"/>
          <w:numId w:val="57"/>
        </w:numPr>
        <w:ind w:left="0" w:firstLine="480"/>
        <w:rPr>
          <w:rFonts w:cs="Arial"/>
          <w:bCs/>
          <w:color w:val="auto"/>
          <w:sz w:val="24"/>
        </w:rPr>
      </w:pPr>
      <w:r>
        <w:rPr>
          <w:rFonts w:cs="Arial"/>
          <w:bCs/>
          <w:color w:val="auto"/>
          <w:sz w:val="24"/>
        </w:rPr>
        <w:t>支持会诊结束后自动生成会诊病历</w:t>
      </w:r>
      <w:r>
        <w:rPr>
          <w:rFonts w:hint="eastAsia" w:cs="Arial"/>
          <w:bCs/>
          <w:color w:val="auto"/>
          <w:sz w:val="24"/>
        </w:rPr>
        <w:t>。</w:t>
      </w:r>
    </w:p>
    <w:p w14:paraId="386F60E8">
      <w:pPr>
        <w:pStyle w:val="94"/>
        <w:ind w:firstLine="480"/>
        <w:rPr>
          <w:rFonts w:cs="Arial"/>
          <w:bCs/>
          <w:color w:val="auto"/>
          <w:sz w:val="24"/>
        </w:rPr>
      </w:pPr>
      <w:r>
        <w:rPr>
          <w:rFonts w:hint="eastAsia" w:cs="Arial"/>
          <w:bCs/>
          <w:color w:val="auto"/>
          <w:sz w:val="24"/>
        </w:rPr>
        <w:t>（二）视频会诊</w:t>
      </w:r>
    </w:p>
    <w:p w14:paraId="264EF163">
      <w:pPr>
        <w:pStyle w:val="94"/>
        <w:numPr>
          <w:ilvl w:val="0"/>
          <w:numId w:val="58"/>
        </w:numPr>
        <w:ind w:left="0" w:firstLine="480"/>
        <w:rPr>
          <w:rFonts w:cs="Arial"/>
          <w:bCs/>
          <w:color w:val="auto"/>
          <w:sz w:val="24"/>
        </w:rPr>
      </w:pPr>
      <w:r>
        <w:rPr>
          <w:rFonts w:cs="Arial"/>
          <w:bCs/>
          <w:color w:val="auto"/>
          <w:sz w:val="24"/>
        </w:rPr>
        <w:t>支持语音通话</w:t>
      </w:r>
      <w:r>
        <w:rPr>
          <w:rFonts w:hint="eastAsia" w:cs="Arial"/>
          <w:bCs/>
          <w:color w:val="auto"/>
          <w:sz w:val="24"/>
        </w:rPr>
        <w:t>、</w:t>
      </w:r>
      <w:r>
        <w:rPr>
          <w:rFonts w:cs="Arial"/>
          <w:bCs/>
          <w:color w:val="auto"/>
          <w:sz w:val="24"/>
        </w:rPr>
        <w:t>视频沟通</w:t>
      </w:r>
      <w:r>
        <w:rPr>
          <w:rFonts w:hint="eastAsia" w:cs="Arial"/>
          <w:bCs/>
          <w:color w:val="auto"/>
          <w:sz w:val="24"/>
        </w:rPr>
        <w:t>、</w:t>
      </w:r>
      <w:r>
        <w:rPr>
          <w:rFonts w:cs="Arial"/>
          <w:bCs/>
          <w:color w:val="auto"/>
          <w:sz w:val="24"/>
        </w:rPr>
        <w:t>在线聊天</w:t>
      </w:r>
      <w:r>
        <w:rPr>
          <w:rFonts w:hint="eastAsia" w:cs="Arial"/>
          <w:bCs/>
          <w:color w:val="auto"/>
          <w:sz w:val="24"/>
        </w:rPr>
        <w:t>。</w:t>
      </w:r>
    </w:p>
    <w:p w14:paraId="027FEA63">
      <w:pPr>
        <w:pStyle w:val="94"/>
        <w:numPr>
          <w:ilvl w:val="0"/>
          <w:numId w:val="58"/>
        </w:numPr>
        <w:ind w:left="0" w:firstLine="480"/>
        <w:rPr>
          <w:rFonts w:cs="Arial"/>
          <w:bCs/>
          <w:color w:val="auto"/>
          <w:sz w:val="24"/>
        </w:rPr>
      </w:pPr>
      <w:r>
        <w:rPr>
          <w:rFonts w:cs="Arial"/>
          <w:bCs/>
          <w:color w:val="auto"/>
          <w:sz w:val="24"/>
        </w:rPr>
        <w:t>支持视频发起时</w:t>
      </w:r>
      <w:r>
        <w:rPr>
          <w:rFonts w:hint="eastAsia" w:cs="Arial"/>
          <w:bCs/>
          <w:color w:val="auto"/>
          <w:sz w:val="24"/>
        </w:rPr>
        <w:t>，</w:t>
      </w:r>
      <w:r>
        <w:rPr>
          <w:rFonts w:cs="Arial"/>
          <w:bCs/>
          <w:color w:val="auto"/>
          <w:sz w:val="24"/>
        </w:rPr>
        <w:t>通过消息提醒</w:t>
      </w:r>
      <w:r>
        <w:rPr>
          <w:rFonts w:hint="eastAsia" w:cs="Arial"/>
          <w:bCs/>
          <w:color w:val="auto"/>
          <w:sz w:val="24"/>
        </w:rPr>
        <w:t>，</w:t>
      </w:r>
      <w:r>
        <w:rPr>
          <w:rFonts w:cs="Arial"/>
          <w:bCs/>
          <w:color w:val="auto"/>
          <w:sz w:val="24"/>
        </w:rPr>
        <w:t>提醒会诊医师进入视频会诊界面</w:t>
      </w:r>
      <w:r>
        <w:rPr>
          <w:rFonts w:hint="eastAsia" w:cs="Arial"/>
          <w:bCs/>
          <w:color w:val="auto"/>
          <w:sz w:val="24"/>
        </w:rPr>
        <w:t>。</w:t>
      </w:r>
    </w:p>
    <w:p w14:paraId="51201136">
      <w:pPr>
        <w:pStyle w:val="94"/>
        <w:numPr>
          <w:ilvl w:val="0"/>
          <w:numId w:val="58"/>
        </w:numPr>
        <w:ind w:left="0" w:firstLine="480"/>
        <w:rPr>
          <w:rFonts w:cs="Arial"/>
          <w:bCs/>
          <w:color w:val="auto"/>
          <w:sz w:val="24"/>
        </w:rPr>
      </w:pPr>
      <w:r>
        <w:rPr>
          <w:rFonts w:cs="Arial"/>
          <w:bCs/>
          <w:color w:val="auto"/>
          <w:sz w:val="24"/>
        </w:rPr>
        <w:t>视频会诊支持跨平台</w:t>
      </w:r>
      <w:r>
        <w:rPr>
          <w:rFonts w:hint="eastAsia" w:cs="Arial"/>
          <w:bCs/>
          <w:color w:val="auto"/>
          <w:sz w:val="24"/>
        </w:rPr>
        <w:t>。</w:t>
      </w:r>
    </w:p>
    <w:p w14:paraId="17FD90AF">
      <w:pPr>
        <w:pStyle w:val="94"/>
        <w:numPr>
          <w:ilvl w:val="0"/>
          <w:numId w:val="58"/>
        </w:numPr>
        <w:ind w:left="0" w:firstLine="480"/>
        <w:rPr>
          <w:rFonts w:cs="Arial"/>
          <w:bCs/>
          <w:color w:val="auto"/>
          <w:sz w:val="24"/>
        </w:rPr>
      </w:pPr>
      <w:r>
        <w:rPr>
          <w:rFonts w:cs="Arial"/>
          <w:bCs/>
          <w:color w:val="auto"/>
          <w:sz w:val="24"/>
        </w:rPr>
        <w:t>支持视频过程中查看患者病历</w:t>
      </w:r>
      <w:r>
        <w:rPr>
          <w:rFonts w:hint="eastAsia" w:cs="Arial"/>
          <w:bCs/>
          <w:color w:val="auto"/>
          <w:sz w:val="24"/>
        </w:rPr>
        <w:t>、</w:t>
      </w:r>
      <w:r>
        <w:rPr>
          <w:rFonts w:cs="Arial"/>
          <w:bCs/>
          <w:color w:val="auto"/>
          <w:sz w:val="24"/>
        </w:rPr>
        <w:t>检验</w:t>
      </w:r>
      <w:r>
        <w:rPr>
          <w:rFonts w:hint="eastAsia" w:cs="Arial"/>
          <w:bCs/>
          <w:color w:val="auto"/>
          <w:sz w:val="24"/>
        </w:rPr>
        <w:t>、</w:t>
      </w:r>
      <w:r>
        <w:rPr>
          <w:rFonts w:cs="Arial"/>
          <w:bCs/>
          <w:color w:val="auto"/>
          <w:sz w:val="24"/>
        </w:rPr>
        <w:t>检查</w:t>
      </w:r>
      <w:r>
        <w:rPr>
          <w:rFonts w:hint="eastAsia" w:cs="Arial"/>
          <w:bCs/>
          <w:color w:val="auto"/>
          <w:sz w:val="24"/>
        </w:rPr>
        <w:t>、</w:t>
      </w:r>
      <w:r>
        <w:rPr>
          <w:rFonts w:cs="Arial"/>
          <w:bCs/>
          <w:color w:val="auto"/>
          <w:sz w:val="24"/>
        </w:rPr>
        <w:t>医嘱</w:t>
      </w:r>
      <w:r>
        <w:rPr>
          <w:rFonts w:hint="eastAsia" w:cs="Arial"/>
          <w:bCs/>
          <w:color w:val="auto"/>
          <w:sz w:val="24"/>
        </w:rPr>
        <w:t>、</w:t>
      </w:r>
      <w:r>
        <w:rPr>
          <w:rFonts w:cs="Arial"/>
          <w:bCs/>
          <w:color w:val="auto"/>
          <w:sz w:val="24"/>
        </w:rPr>
        <w:t>护理信息</w:t>
      </w:r>
      <w:r>
        <w:rPr>
          <w:rFonts w:hint="eastAsia" w:cs="Arial"/>
          <w:bCs/>
          <w:color w:val="auto"/>
          <w:sz w:val="24"/>
        </w:rPr>
        <w:t>。</w:t>
      </w:r>
    </w:p>
    <w:p w14:paraId="3889147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住院诊断</w:t>
      </w:r>
      <w:bookmarkEnd w:id="165"/>
    </w:p>
    <w:p w14:paraId="30A7DF59">
      <w:pPr>
        <w:pStyle w:val="94"/>
        <w:numPr>
          <w:ilvl w:val="0"/>
          <w:numId w:val="59"/>
        </w:numPr>
        <w:ind w:left="0" w:firstLine="480"/>
        <w:rPr>
          <w:rFonts w:cs="Arial"/>
          <w:bCs/>
          <w:color w:val="auto"/>
          <w:sz w:val="24"/>
        </w:rPr>
      </w:pPr>
      <w:bookmarkStart w:id="166" w:name="_Toc106372978"/>
      <w:r>
        <w:rPr>
          <w:rFonts w:hint="eastAsia" w:cs="Arial"/>
          <w:bCs/>
          <w:color w:val="auto"/>
          <w:sz w:val="24"/>
        </w:rPr>
        <w:t>提供西医</w:t>
      </w:r>
      <w:r>
        <w:rPr>
          <w:rFonts w:cs="Arial"/>
          <w:bCs/>
          <w:color w:val="auto"/>
          <w:sz w:val="24"/>
        </w:rPr>
        <w:t>ICD10诊断码输入，提供个人常用、科室常用等便捷输入方式。</w:t>
      </w:r>
    </w:p>
    <w:p w14:paraId="093F6295">
      <w:pPr>
        <w:pStyle w:val="94"/>
        <w:numPr>
          <w:ilvl w:val="0"/>
          <w:numId w:val="59"/>
        </w:numPr>
        <w:ind w:left="0" w:firstLine="480"/>
        <w:rPr>
          <w:rFonts w:cs="Arial"/>
          <w:bCs/>
          <w:color w:val="auto"/>
          <w:sz w:val="24"/>
        </w:rPr>
      </w:pPr>
      <w:r>
        <w:rPr>
          <w:rFonts w:cs="Arial"/>
          <w:bCs/>
          <w:color w:val="auto"/>
          <w:sz w:val="24"/>
        </w:rPr>
        <w:t>支持医师根据诊断类别下诊断</w:t>
      </w:r>
      <w:r>
        <w:rPr>
          <w:rFonts w:hint="eastAsia" w:cs="Arial"/>
          <w:bCs/>
          <w:color w:val="auto"/>
          <w:sz w:val="24"/>
        </w:rPr>
        <w:t>，例如：入院诊断、确诊诊断、修正诊断、补充诊断、出院诊断、门诊诊断、初步诊断。</w:t>
      </w:r>
    </w:p>
    <w:p w14:paraId="6EB8DE3A">
      <w:pPr>
        <w:pStyle w:val="94"/>
        <w:numPr>
          <w:ilvl w:val="0"/>
          <w:numId w:val="59"/>
        </w:numPr>
        <w:ind w:left="0" w:firstLine="480"/>
        <w:rPr>
          <w:rFonts w:cs="Arial"/>
          <w:bCs/>
          <w:color w:val="auto"/>
          <w:sz w:val="24"/>
        </w:rPr>
      </w:pPr>
      <w:r>
        <w:rPr>
          <w:rFonts w:cs="Arial"/>
          <w:bCs/>
          <w:color w:val="auto"/>
          <w:sz w:val="24"/>
        </w:rPr>
        <w:t>支持添加诊断描述前缀</w:t>
      </w:r>
      <w:r>
        <w:rPr>
          <w:rFonts w:hint="eastAsia" w:cs="Arial"/>
          <w:bCs/>
          <w:color w:val="auto"/>
          <w:sz w:val="24"/>
        </w:rPr>
        <w:t>、</w:t>
      </w:r>
      <w:r>
        <w:rPr>
          <w:rFonts w:cs="Arial"/>
          <w:bCs/>
          <w:color w:val="auto"/>
          <w:sz w:val="24"/>
        </w:rPr>
        <w:t>后缀信息</w:t>
      </w:r>
      <w:r>
        <w:rPr>
          <w:rFonts w:hint="eastAsia" w:cs="Arial"/>
          <w:bCs/>
          <w:color w:val="auto"/>
          <w:sz w:val="24"/>
        </w:rPr>
        <w:t>。</w:t>
      </w:r>
    </w:p>
    <w:p w14:paraId="63250ED9">
      <w:pPr>
        <w:pStyle w:val="94"/>
        <w:numPr>
          <w:ilvl w:val="0"/>
          <w:numId w:val="59"/>
        </w:numPr>
        <w:ind w:left="0" w:firstLine="480"/>
        <w:rPr>
          <w:rFonts w:cs="Arial"/>
          <w:bCs/>
          <w:color w:val="auto"/>
          <w:sz w:val="24"/>
        </w:rPr>
      </w:pPr>
      <w:r>
        <w:rPr>
          <w:rFonts w:cs="Arial"/>
          <w:bCs/>
          <w:color w:val="auto"/>
          <w:sz w:val="24"/>
        </w:rPr>
        <w:t>支持将当前诊断复制至其他诊断类别</w:t>
      </w:r>
      <w:r>
        <w:rPr>
          <w:rFonts w:hint="eastAsia" w:cs="Arial"/>
          <w:bCs/>
          <w:color w:val="auto"/>
          <w:sz w:val="24"/>
        </w:rPr>
        <w:t>。</w:t>
      </w:r>
    </w:p>
    <w:p w14:paraId="6D80FA43">
      <w:pPr>
        <w:pStyle w:val="94"/>
        <w:numPr>
          <w:ilvl w:val="0"/>
          <w:numId w:val="59"/>
        </w:numPr>
        <w:ind w:left="0" w:firstLine="480"/>
        <w:rPr>
          <w:rFonts w:cs="Arial"/>
          <w:bCs/>
          <w:color w:val="auto"/>
          <w:sz w:val="24"/>
        </w:rPr>
      </w:pPr>
      <w:r>
        <w:rPr>
          <w:rFonts w:cs="Arial"/>
          <w:bCs/>
          <w:color w:val="auto"/>
          <w:sz w:val="24"/>
        </w:rPr>
        <w:t>支持定义医生常用词组</w:t>
      </w:r>
      <w:r>
        <w:rPr>
          <w:rFonts w:hint="eastAsia" w:cs="Arial"/>
          <w:bCs/>
          <w:color w:val="auto"/>
          <w:sz w:val="24"/>
        </w:rPr>
        <w:t>。</w:t>
      </w:r>
    </w:p>
    <w:p w14:paraId="47F139DE">
      <w:pPr>
        <w:pStyle w:val="94"/>
        <w:numPr>
          <w:ilvl w:val="0"/>
          <w:numId w:val="59"/>
        </w:numPr>
        <w:ind w:left="0" w:firstLine="480"/>
        <w:rPr>
          <w:rFonts w:cs="Arial"/>
          <w:bCs/>
          <w:color w:val="auto"/>
          <w:sz w:val="24"/>
        </w:rPr>
      </w:pPr>
      <w:r>
        <w:rPr>
          <w:rFonts w:hint="eastAsia" w:cs="Arial"/>
          <w:bCs/>
          <w:color w:val="auto"/>
          <w:sz w:val="24"/>
        </w:rPr>
        <w:t>支持医生查看患者历次治疗的诊断信息，帮助医生对患者进行跟踪诊断等，提高医生看诊效率。</w:t>
      </w:r>
    </w:p>
    <w:p w14:paraId="386734DB">
      <w:pPr>
        <w:pStyle w:val="94"/>
        <w:numPr>
          <w:ilvl w:val="0"/>
          <w:numId w:val="59"/>
        </w:numPr>
        <w:ind w:left="0" w:firstLine="480"/>
        <w:rPr>
          <w:rFonts w:cs="Arial"/>
          <w:bCs/>
          <w:color w:val="auto"/>
          <w:sz w:val="24"/>
        </w:rPr>
      </w:pPr>
      <w:r>
        <w:rPr>
          <w:rFonts w:cs="Arial"/>
          <w:bCs/>
          <w:color w:val="auto"/>
          <w:sz w:val="24"/>
        </w:rPr>
        <w:t>支持在历史诊断中根据诊断类型进行分类</w:t>
      </w:r>
      <w:r>
        <w:rPr>
          <w:rFonts w:hint="eastAsia" w:cs="Arial"/>
          <w:bCs/>
          <w:color w:val="auto"/>
          <w:sz w:val="24"/>
        </w:rPr>
        <w:t>，</w:t>
      </w:r>
      <w:r>
        <w:rPr>
          <w:rFonts w:cs="Arial"/>
          <w:bCs/>
          <w:color w:val="auto"/>
          <w:sz w:val="24"/>
        </w:rPr>
        <w:t>区分中西医诊断</w:t>
      </w:r>
      <w:r>
        <w:rPr>
          <w:rFonts w:hint="eastAsia" w:cs="Arial"/>
          <w:bCs/>
          <w:color w:val="auto"/>
          <w:sz w:val="24"/>
        </w:rPr>
        <w:t>。</w:t>
      </w:r>
    </w:p>
    <w:p w14:paraId="681D8C11">
      <w:pPr>
        <w:pStyle w:val="94"/>
        <w:numPr>
          <w:ilvl w:val="0"/>
          <w:numId w:val="59"/>
        </w:numPr>
        <w:ind w:left="0" w:firstLine="480"/>
        <w:rPr>
          <w:rFonts w:cs="Arial"/>
          <w:bCs/>
          <w:color w:val="auto"/>
          <w:sz w:val="24"/>
        </w:rPr>
      </w:pPr>
      <w:r>
        <w:rPr>
          <w:rFonts w:cs="Arial"/>
          <w:bCs/>
          <w:color w:val="auto"/>
          <w:sz w:val="24"/>
        </w:rPr>
        <w:t>支持按照</w:t>
      </w:r>
      <w:r>
        <w:rPr>
          <w:rFonts w:hint="eastAsia" w:cs="Arial"/>
          <w:bCs/>
          <w:color w:val="auto"/>
          <w:sz w:val="24"/>
        </w:rPr>
        <w:t>时间倒序顺序</w:t>
      </w:r>
      <w:r>
        <w:rPr>
          <w:rFonts w:cs="Arial"/>
          <w:bCs/>
          <w:color w:val="auto"/>
          <w:sz w:val="24"/>
        </w:rPr>
        <w:t>展示患者历次</w:t>
      </w:r>
      <w:r>
        <w:rPr>
          <w:rFonts w:hint="eastAsia" w:cs="Arial"/>
          <w:bCs/>
          <w:color w:val="auto"/>
          <w:sz w:val="24"/>
        </w:rPr>
        <w:t>治疗</w:t>
      </w:r>
      <w:r>
        <w:rPr>
          <w:rFonts w:cs="Arial"/>
          <w:bCs/>
          <w:color w:val="auto"/>
          <w:sz w:val="24"/>
        </w:rPr>
        <w:t>的全部诊断信息</w:t>
      </w:r>
      <w:r>
        <w:rPr>
          <w:rFonts w:hint="eastAsia" w:cs="Arial"/>
          <w:bCs/>
          <w:color w:val="auto"/>
          <w:sz w:val="24"/>
        </w:rPr>
        <w:t>。</w:t>
      </w:r>
    </w:p>
    <w:p w14:paraId="3AF5FE82">
      <w:pPr>
        <w:pStyle w:val="94"/>
        <w:numPr>
          <w:ilvl w:val="0"/>
          <w:numId w:val="59"/>
        </w:numPr>
        <w:ind w:left="0" w:firstLine="480"/>
        <w:rPr>
          <w:rFonts w:cs="Arial"/>
          <w:bCs/>
          <w:color w:val="auto"/>
          <w:sz w:val="24"/>
        </w:rPr>
      </w:pPr>
      <w:r>
        <w:rPr>
          <w:rFonts w:cs="Arial"/>
          <w:bCs/>
          <w:color w:val="auto"/>
          <w:sz w:val="24"/>
        </w:rPr>
        <w:t>诊断录入支持模糊查询。</w:t>
      </w:r>
    </w:p>
    <w:p w14:paraId="7D7739C5">
      <w:pPr>
        <w:pStyle w:val="94"/>
        <w:numPr>
          <w:ilvl w:val="0"/>
          <w:numId w:val="59"/>
        </w:numPr>
        <w:ind w:left="0" w:firstLine="480"/>
        <w:rPr>
          <w:rFonts w:cs="Arial"/>
          <w:bCs/>
          <w:color w:val="auto"/>
          <w:sz w:val="24"/>
        </w:rPr>
      </w:pPr>
      <w:r>
        <w:rPr>
          <w:rFonts w:cs="Arial"/>
          <w:bCs/>
          <w:color w:val="auto"/>
          <w:sz w:val="24"/>
        </w:rPr>
        <w:t>常用诊断可根据医生使用</w:t>
      </w:r>
      <w:r>
        <w:rPr>
          <w:rFonts w:hint="eastAsia" w:cs="Arial"/>
          <w:bCs/>
          <w:color w:val="auto"/>
          <w:sz w:val="24"/>
        </w:rPr>
        <w:t>频率</w:t>
      </w:r>
      <w:r>
        <w:rPr>
          <w:rFonts w:cs="Arial"/>
          <w:bCs/>
          <w:color w:val="auto"/>
          <w:sz w:val="24"/>
        </w:rPr>
        <w:t>自动生成</w:t>
      </w:r>
      <w:r>
        <w:rPr>
          <w:rFonts w:hint="eastAsia" w:cs="Arial"/>
          <w:bCs/>
          <w:color w:val="auto"/>
          <w:sz w:val="24"/>
        </w:rPr>
        <w:t>，</w:t>
      </w:r>
      <w:r>
        <w:rPr>
          <w:rFonts w:cs="Arial"/>
          <w:bCs/>
          <w:color w:val="auto"/>
          <w:sz w:val="24"/>
        </w:rPr>
        <w:t>无需手工添加</w:t>
      </w:r>
      <w:r>
        <w:rPr>
          <w:rFonts w:hint="eastAsia" w:cs="Arial"/>
          <w:bCs/>
          <w:color w:val="auto"/>
          <w:sz w:val="24"/>
        </w:rPr>
        <w:t>。</w:t>
      </w:r>
    </w:p>
    <w:p w14:paraId="1CC03C09">
      <w:pPr>
        <w:pStyle w:val="94"/>
        <w:numPr>
          <w:ilvl w:val="0"/>
          <w:numId w:val="59"/>
        </w:numPr>
        <w:ind w:left="0" w:firstLine="480"/>
        <w:rPr>
          <w:rFonts w:cs="Arial"/>
          <w:bCs/>
          <w:color w:val="auto"/>
          <w:sz w:val="24"/>
        </w:rPr>
      </w:pPr>
      <w:r>
        <w:rPr>
          <w:rFonts w:cs="Arial"/>
          <w:bCs/>
          <w:color w:val="auto"/>
          <w:sz w:val="24"/>
        </w:rPr>
        <w:t>支持</w:t>
      </w:r>
      <w:r>
        <w:rPr>
          <w:rFonts w:hint="eastAsia" w:cs="Arial"/>
          <w:bCs/>
          <w:color w:val="auto"/>
          <w:sz w:val="24"/>
        </w:rPr>
        <w:t>自动关联</w:t>
      </w:r>
      <w:r>
        <w:rPr>
          <w:rFonts w:cs="Arial"/>
          <w:bCs/>
          <w:color w:val="auto"/>
          <w:sz w:val="24"/>
        </w:rPr>
        <w:t>传染病诊断报告卡</w:t>
      </w:r>
      <w:r>
        <w:rPr>
          <w:rFonts w:hint="eastAsia" w:cs="Arial"/>
          <w:bCs/>
          <w:color w:val="auto"/>
          <w:sz w:val="24"/>
        </w:rPr>
        <w:t>。</w:t>
      </w:r>
    </w:p>
    <w:p w14:paraId="7A8F264C">
      <w:pPr>
        <w:pStyle w:val="94"/>
        <w:numPr>
          <w:ilvl w:val="0"/>
          <w:numId w:val="59"/>
        </w:numPr>
        <w:ind w:left="0" w:firstLine="480"/>
        <w:rPr>
          <w:rFonts w:cs="Arial"/>
          <w:bCs/>
          <w:color w:val="auto"/>
          <w:sz w:val="24"/>
        </w:rPr>
      </w:pPr>
      <w:r>
        <w:rPr>
          <w:rFonts w:cs="Arial"/>
          <w:bCs/>
          <w:color w:val="auto"/>
          <w:sz w:val="24"/>
        </w:rPr>
        <w:t>提供中医诊断字典录入功能，包括主病和证候等。</w:t>
      </w:r>
    </w:p>
    <w:p w14:paraId="5A22A72B">
      <w:pPr>
        <w:pStyle w:val="94"/>
        <w:numPr>
          <w:ilvl w:val="0"/>
          <w:numId w:val="59"/>
        </w:numPr>
        <w:ind w:left="0" w:firstLine="480"/>
        <w:rPr>
          <w:rFonts w:cs="Arial"/>
          <w:bCs/>
          <w:color w:val="auto"/>
          <w:sz w:val="24"/>
        </w:rPr>
      </w:pPr>
      <w:r>
        <w:rPr>
          <w:rFonts w:cs="Arial"/>
          <w:bCs/>
          <w:color w:val="auto"/>
          <w:sz w:val="24"/>
        </w:rPr>
        <w:t>支持逻辑规则效验，中医诊断必须同时包含病名和证候。</w:t>
      </w:r>
    </w:p>
    <w:p w14:paraId="6FB46D38">
      <w:pPr>
        <w:pStyle w:val="94"/>
        <w:numPr>
          <w:ilvl w:val="0"/>
          <w:numId w:val="59"/>
        </w:numPr>
        <w:ind w:left="0" w:firstLine="480"/>
        <w:rPr>
          <w:rFonts w:cs="Arial"/>
          <w:bCs/>
          <w:color w:val="auto"/>
          <w:sz w:val="24"/>
        </w:rPr>
      </w:pPr>
      <w:r>
        <w:rPr>
          <w:rFonts w:hint="eastAsia" w:cs="Arial"/>
          <w:bCs/>
          <w:color w:val="auto"/>
          <w:sz w:val="24"/>
        </w:rPr>
        <w:t>支持通过分类快速检索病名、证候。</w:t>
      </w:r>
    </w:p>
    <w:p w14:paraId="5F96B933">
      <w:pPr>
        <w:pStyle w:val="341"/>
        <w:spacing w:beforeLines="0"/>
        <w:ind w:firstLine="482"/>
        <w:rPr>
          <w:rFonts w:hint="eastAsia" w:ascii="宋体" w:hAnsi="宋体" w:cs="仿宋"/>
          <w:color w:val="auto"/>
          <w:sz w:val="24"/>
          <w:szCs w:val="24"/>
        </w:rPr>
      </w:pPr>
      <w:r>
        <w:rPr>
          <w:rFonts w:hint="eastAsia" w:ascii="宋体" w:hAnsi="宋体" w:cs="仿宋"/>
          <w:b/>
          <w:bCs/>
          <w:color w:val="auto"/>
          <w:sz w:val="24"/>
          <w:szCs w:val="24"/>
        </w:rPr>
        <w:t>医嘱处理</w:t>
      </w:r>
      <w:bookmarkEnd w:id="166"/>
    </w:p>
    <w:p w14:paraId="0615FBD5">
      <w:pPr>
        <w:pStyle w:val="94"/>
        <w:numPr>
          <w:ilvl w:val="0"/>
          <w:numId w:val="60"/>
        </w:numPr>
        <w:ind w:left="0" w:firstLine="480"/>
        <w:rPr>
          <w:rFonts w:cs="Arial"/>
          <w:bCs/>
          <w:color w:val="auto"/>
          <w:sz w:val="24"/>
        </w:rPr>
      </w:pPr>
      <w:bookmarkStart w:id="167" w:name="_Toc106372979"/>
      <w:r>
        <w:rPr>
          <w:rFonts w:cs="Arial"/>
          <w:bCs/>
          <w:color w:val="auto"/>
          <w:sz w:val="24"/>
        </w:rPr>
        <w:t>提供长期和临时医嘱处理功能，包括医嘱的开立、停止和作废，能处理出院带药和自备药品。</w:t>
      </w:r>
    </w:p>
    <w:p w14:paraId="60CFCA95">
      <w:pPr>
        <w:pStyle w:val="94"/>
        <w:numPr>
          <w:ilvl w:val="0"/>
          <w:numId w:val="60"/>
        </w:numPr>
        <w:ind w:left="0" w:firstLine="480"/>
        <w:rPr>
          <w:rFonts w:cs="Arial"/>
          <w:bCs/>
          <w:color w:val="auto"/>
          <w:sz w:val="24"/>
        </w:rPr>
      </w:pPr>
      <w:r>
        <w:rPr>
          <w:rFonts w:cs="Arial"/>
          <w:bCs/>
          <w:color w:val="auto"/>
          <w:sz w:val="24"/>
        </w:rPr>
        <w:t>支持医生录入医嘱首末日的执行次数，并按次数收费、发药。</w:t>
      </w:r>
    </w:p>
    <w:p w14:paraId="6203B58F">
      <w:pPr>
        <w:pStyle w:val="94"/>
        <w:numPr>
          <w:ilvl w:val="0"/>
          <w:numId w:val="60"/>
        </w:numPr>
        <w:ind w:left="0" w:firstLine="480"/>
        <w:rPr>
          <w:rFonts w:cs="Arial"/>
          <w:bCs/>
          <w:color w:val="auto"/>
          <w:sz w:val="24"/>
        </w:rPr>
      </w:pPr>
      <w:r>
        <w:rPr>
          <w:rFonts w:cs="Arial"/>
          <w:bCs/>
          <w:color w:val="auto"/>
          <w:sz w:val="24"/>
        </w:rPr>
        <w:t>提供医嘱修改功能，确认可以执行的医嘱，撤消不需要执行的医嘱。</w:t>
      </w:r>
    </w:p>
    <w:p w14:paraId="34A8EC7D">
      <w:pPr>
        <w:pStyle w:val="94"/>
        <w:numPr>
          <w:ilvl w:val="0"/>
          <w:numId w:val="60"/>
        </w:numPr>
        <w:ind w:left="0" w:firstLine="480"/>
        <w:rPr>
          <w:rFonts w:cs="Arial"/>
          <w:bCs/>
          <w:color w:val="auto"/>
          <w:sz w:val="24"/>
        </w:rPr>
      </w:pPr>
      <w:r>
        <w:rPr>
          <w:rFonts w:cs="Arial"/>
          <w:bCs/>
          <w:color w:val="auto"/>
          <w:sz w:val="24"/>
        </w:rPr>
        <w:t>支持医嘱备注功能，医师可以输入相关注意事项。</w:t>
      </w:r>
    </w:p>
    <w:p w14:paraId="45E9A98F">
      <w:pPr>
        <w:pStyle w:val="94"/>
        <w:numPr>
          <w:ilvl w:val="0"/>
          <w:numId w:val="60"/>
        </w:numPr>
        <w:ind w:left="0" w:firstLine="480"/>
        <w:rPr>
          <w:rFonts w:cs="Arial"/>
          <w:bCs/>
          <w:color w:val="auto"/>
          <w:sz w:val="24"/>
        </w:rPr>
      </w:pPr>
      <w:r>
        <w:rPr>
          <w:rFonts w:cs="Arial"/>
          <w:bCs/>
          <w:color w:val="auto"/>
          <w:sz w:val="24"/>
        </w:rPr>
        <w:t>支持自动审核录入医嘱的完整性，提供对所有医嘱进行审核确认功能，记录医生姓名及时间，一经确认不得更改。</w:t>
      </w:r>
    </w:p>
    <w:p w14:paraId="7F8AC134">
      <w:pPr>
        <w:pStyle w:val="94"/>
        <w:numPr>
          <w:ilvl w:val="0"/>
          <w:numId w:val="60"/>
        </w:numPr>
        <w:ind w:left="0" w:firstLine="480"/>
        <w:rPr>
          <w:rFonts w:cs="Arial"/>
          <w:bCs/>
          <w:color w:val="auto"/>
          <w:sz w:val="24"/>
        </w:rPr>
      </w:pPr>
      <w:r>
        <w:rPr>
          <w:rFonts w:cs="Arial"/>
          <w:bCs/>
          <w:color w:val="auto"/>
          <w:sz w:val="24"/>
        </w:rPr>
        <w:t>提供手术申请、手术医嘱的传送功能。</w:t>
      </w:r>
    </w:p>
    <w:p w14:paraId="5CAA48C3">
      <w:pPr>
        <w:pStyle w:val="94"/>
        <w:numPr>
          <w:ilvl w:val="0"/>
          <w:numId w:val="60"/>
        </w:numPr>
        <w:ind w:left="0" w:firstLine="480"/>
        <w:rPr>
          <w:rFonts w:cs="Arial"/>
          <w:bCs/>
          <w:color w:val="auto"/>
          <w:sz w:val="24"/>
        </w:rPr>
      </w:pPr>
      <w:r>
        <w:rPr>
          <w:rFonts w:cs="Arial"/>
          <w:bCs/>
          <w:color w:val="auto"/>
          <w:sz w:val="24"/>
        </w:rPr>
        <w:t>提供与血库管理直接关联的输血申请功能，并支持自动计算费用。</w:t>
      </w:r>
    </w:p>
    <w:p w14:paraId="7C65CEA8">
      <w:pPr>
        <w:pStyle w:val="94"/>
        <w:numPr>
          <w:ilvl w:val="0"/>
          <w:numId w:val="60"/>
        </w:numPr>
        <w:ind w:left="0" w:firstLine="480"/>
        <w:rPr>
          <w:rFonts w:cs="Arial"/>
          <w:bCs/>
          <w:color w:val="auto"/>
          <w:sz w:val="24"/>
        </w:rPr>
      </w:pPr>
      <w:r>
        <w:rPr>
          <w:rFonts w:cs="Arial"/>
          <w:bCs/>
          <w:color w:val="auto"/>
          <w:sz w:val="24"/>
        </w:rPr>
        <w:t>支持定义医院、科室、个人不同等级的西药模板、诊疗模板、草药模板、常用药品模板，实现快速下达医嘱。</w:t>
      </w:r>
    </w:p>
    <w:p w14:paraId="067D1A30">
      <w:pPr>
        <w:pStyle w:val="94"/>
        <w:numPr>
          <w:ilvl w:val="0"/>
          <w:numId w:val="60"/>
        </w:numPr>
        <w:ind w:left="0" w:firstLine="480"/>
        <w:rPr>
          <w:rFonts w:cs="Arial"/>
          <w:bCs/>
          <w:color w:val="auto"/>
          <w:sz w:val="24"/>
        </w:rPr>
      </w:pPr>
      <w:r>
        <w:rPr>
          <w:rFonts w:cs="Arial"/>
          <w:bCs/>
          <w:color w:val="auto"/>
          <w:sz w:val="24"/>
        </w:rPr>
        <w:t>提供常用药的调用功能，并支持按照使用频率排序。</w:t>
      </w:r>
    </w:p>
    <w:p w14:paraId="1915F507">
      <w:pPr>
        <w:pStyle w:val="94"/>
        <w:numPr>
          <w:ilvl w:val="0"/>
          <w:numId w:val="60"/>
        </w:numPr>
        <w:ind w:left="0" w:firstLine="480"/>
        <w:rPr>
          <w:rFonts w:cs="Arial"/>
          <w:bCs/>
          <w:color w:val="auto"/>
          <w:sz w:val="24"/>
        </w:rPr>
      </w:pPr>
      <w:r>
        <w:rPr>
          <w:rFonts w:cs="Arial"/>
          <w:bCs/>
          <w:color w:val="auto"/>
          <w:sz w:val="24"/>
        </w:rPr>
        <w:t>提供检查申请单、检验申请单勾选医嘱项目</w:t>
      </w:r>
      <w:r>
        <w:rPr>
          <w:rFonts w:hint="eastAsia" w:cs="Arial"/>
          <w:bCs/>
          <w:color w:val="auto"/>
          <w:sz w:val="24"/>
        </w:rPr>
        <w:t>快速下达检查、检查申请。</w:t>
      </w:r>
    </w:p>
    <w:p w14:paraId="07959F1F">
      <w:pPr>
        <w:pStyle w:val="94"/>
        <w:numPr>
          <w:ilvl w:val="0"/>
          <w:numId w:val="60"/>
        </w:numPr>
        <w:ind w:left="0" w:firstLine="480"/>
        <w:rPr>
          <w:rFonts w:cs="Arial"/>
          <w:bCs/>
          <w:color w:val="auto"/>
          <w:sz w:val="24"/>
        </w:rPr>
      </w:pPr>
      <w:r>
        <w:rPr>
          <w:rFonts w:hint="eastAsia" w:cs="Arial"/>
          <w:bCs/>
          <w:color w:val="auto"/>
          <w:sz w:val="24"/>
        </w:rPr>
        <w:t>支持检验检查申请单格式与手工格式保持一致。</w:t>
      </w:r>
    </w:p>
    <w:p w14:paraId="5273398A">
      <w:pPr>
        <w:pStyle w:val="94"/>
        <w:numPr>
          <w:ilvl w:val="0"/>
          <w:numId w:val="60"/>
        </w:numPr>
        <w:ind w:left="0" w:firstLine="480"/>
        <w:rPr>
          <w:rFonts w:cs="Arial"/>
          <w:bCs/>
          <w:color w:val="auto"/>
          <w:sz w:val="24"/>
        </w:rPr>
      </w:pPr>
      <w:r>
        <w:rPr>
          <w:rFonts w:hint="eastAsia" w:cs="Arial"/>
          <w:bCs/>
          <w:color w:val="auto"/>
          <w:sz w:val="24"/>
        </w:rPr>
        <w:t>支持自动填写病情摘录及诊断到检验检查申请单。</w:t>
      </w:r>
    </w:p>
    <w:p w14:paraId="74A01946">
      <w:pPr>
        <w:pStyle w:val="94"/>
        <w:numPr>
          <w:ilvl w:val="0"/>
          <w:numId w:val="60"/>
        </w:numPr>
        <w:ind w:left="0" w:firstLine="480"/>
        <w:rPr>
          <w:rFonts w:cs="Arial"/>
          <w:bCs/>
          <w:color w:val="auto"/>
          <w:sz w:val="24"/>
        </w:rPr>
      </w:pPr>
      <w:r>
        <w:rPr>
          <w:rFonts w:cs="Arial"/>
          <w:bCs/>
          <w:color w:val="auto"/>
          <w:sz w:val="24"/>
        </w:rPr>
        <w:t>支持</w:t>
      </w:r>
      <w:r>
        <w:rPr>
          <w:rFonts w:hint="eastAsia" w:cs="Arial"/>
          <w:bCs/>
          <w:color w:val="auto"/>
          <w:sz w:val="24"/>
        </w:rPr>
        <w:t>检查申请单自动按部及类型计费。</w:t>
      </w:r>
    </w:p>
    <w:p w14:paraId="426DAD67">
      <w:pPr>
        <w:pStyle w:val="94"/>
        <w:numPr>
          <w:ilvl w:val="0"/>
          <w:numId w:val="60"/>
        </w:numPr>
        <w:ind w:left="0" w:firstLine="480"/>
        <w:rPr>
          <w:rFonts w:cs="Arial"/>
          <w:bCs/>
          <w:color w:val="auto"/>
          <w:sz w:val="24"/>
        </w:rPr>
      </w:pPr>
      <w:r>
        <w:rPr>
          <w:rFonts w:hint="eastAsia" w:cs="Arial"/>
          <w:bCs/>
          <w:color w:val="auto"/>
          <w:sz w:val="24"/>
        </w:rPr>
        <w:t>中药处方支持经验方，自拟方，固定方等录入方式。</w:t>
      </w:r>
    </w:p>
    <w:p w14:paraId="21620E6B">
      <w:pPr>
        <w:pStyle w:val="94"/>
        <w:numPr>
          <w:ilvl w:val="0"/>
          <w:numId w:val="60"/>
        </w:numPr>
        <w:ind w:left="0" w:firstLine="480"/>
        <w:rPr>
          <w:rFonts w:cs="Arial"/>
          <w:bCs/>
          <w:color w:val="auto"/>
          <w:sz w:val="24"/>
        </w:rPr>
      </w:pPr>
      <w:r>
        <w:rPr>
          <w:rFonts w:cs="Arial"/>
          <w:bCs/>
          <w:color w:val="auto"/>
          <w:sz w:val="24"/>
        </w:rPr>
        <w:t>支持中药配方保密。</w:t>
      </w:r>
    </w:p>
    <w:p w14:paraId="787F5108">
      <w:pPr>
        <w:pStyle w:val="94"/>
        <w:numPr>
          <w:ilvl w:val="0"/>
          <w:numId w:val="60"/>
        </w:numPr>
        <w:ind w:left="0" w:firstLine="480"/>
        <w:rPr>
          <w:rFonts w:cs="Arial"/>
          <w:bCs/>
          <w:color w:val="auto"/>
          <w:sz w:val="24"/>
        </w:rPr>
      </w:pPr>
      <w:r>
        <w:rPr>
          <w:rFonts w:cs="Arial"/>
          <w:bCs/>
          <w:color w:val="auto"/>
          <w:sz w:val="24"/>
        </w:rPr>
        <w:t>支持单科特殊药物做出限制与提示。</w:t>
      </w:r>
    </w:p>
    <w:p w14:paraId="5DE4C063">
      <w:pPr>
        <w:pStyle w:val="94"/>
        <w:numPr>
          <w:ilvl w:val="0"/>
          <w:numId w:val="60"/>
        </w:numPr>
        <w:ind w:left="0" w:firstLine="480"/>
        <w:rPr>
          <w:rFonts w:cs="Arial"/>
          <w:bCs/>
          <w:color w:val="auto"/>
          <w:sz w:val="24"/>
        </w:rPr>
      </w:pPr>
      <w:r>
        <w:rPr>
          <w:rFonts w:cs="Arial"/>
          <w:bCs/>
          <w:color w:val="auto"/>
          <w:sz w:val="24"/>
        </w:rPr>
        <w:t>支持诊断与所开药的适应症、剂量等问题给出相应的提示与警示。</w:t>
      </w:r>
    </w:p>
    <w:p w14:paraId="74719699">
      <w:pPr>
        <w:pStyle w:val="94"/>
        <w:numPr>
          <w:ilvl w:val="0"/>
          <w:numId w:val="60"/>
        </w:numPr>
        <w:ind w:left="0" w:firstLine="480"/>
        <w:rPr>
          <w:rFonts w:cs="Arial"/>
          <w:bCs/>
          <w:color w:val="auto"/>
          <w:sz w:val="24"/>
        </w:rPr>
      </w:pPr>
      <w:r>
        <w:rPr>
          <w:rFonts w:cs="Arial"/>
          <w:bCs/>
          <w:color w:val="auto"/>
          <w:sz w:val="24"/>
        </w:rPr>
        <w:t>支持毒麻药品、贵重药品提示。</w:t>
      </w:r>
    </w:p>
    <w:p w14:paraId="7B37AAE0">
      <w:pPr>
        <w:pStyle w:val="94"/>
        <w:numPr>
          <w:ilvl w:val="0"/>
          <w:numId w:val="60"/>
        </w:numPr>
        <w:ind w:left="0" w:firstLine="480"/>
        <w:rPr>
          <w:rFonts w:cs="Arial"/>
          <w:bCs/>
          <w:color w:val="auto"/>
          <w:sz w:val="24"/>
        </w:rPr>
      </w:pPr>
      <w:r>
        <w:rPr>
          <w:rFonts w:hint="eastAsia" w:cs="Arial"/>
          <w:bCs/>
          <w:color w:val="auto"/>
          <w:sz w:val="24"/>
        </w:rPr>
        <w:t>支持麻醉处方、精一类处方打印。</w:t>
      </w:r>
    </w:p>
    <w:p w14:paraId="2DFE0843">
      <w:pPr>
        <w:pStyle w:val="94"/>
        <w:numPr>
          <w:ilvl w:val="0"/>
          <w:numId w:val="60"/>
        </w:numPr>
        <w:ind w:left="0" w:firstLine="480"/>
        <w:rPr>
          <w:rFonts w:cs="Arial"/>
          <w:bCs/>
          <w:color w:val="auto"/>
          <w:sz w:val="24"/>
        </w:rPr>
      </w:pPr>
      <w:r>
        <w:rPr>
          <w:rFonts w:cs="Arial"/>
          <w:bCs/>
          <w:color w:val="auto"/>
          <w:sz w:val="24"/>
        </w:rPr>
        <w:t>支持下达药品医嘱时，可查看项目名称、规格、价格、医保费用类别、库存等信息。</w:t>
      </w:r>
    </w:p>
    <w:p w14:paraId="0563E86E">
      <w:pPr>
        <w:pStyle w:val="94"/>
        <w:numPr>
          <w:ilvl w:val="0"/>
          <w:numId w:val="60"/>
        </w:numPr>
        <w:ind w:left="0" w:firstLine="480"/>
        <w:rPr>
          <w:rFonts w:cs="Arial"/>
          <w:bCs/>
          <w:color w:val="auto"/>
          <w:sz w:val="24"/>
        </w:rPr>
      </w:pPr>
      <w:r>
        <w:rPr>
          <w:rFonts w:cs="Arial"/>
          <w:bCs/>
          <w:color w:val="auto"/>
          <w:sz w:val="24"/>
        </w:rPr>
        <w:t>支持下达药品医嘱时，不显示无库存药品。</w:t>
      </w:r>
    </w:p>
    <w:p w14:paraId="3E23B509">
      <w:pPr>
        <w:pStyle w:val="94"/>
        <w:numPr>
          <w:ilvl w:val="0"/>
          <w:numId w:val="60"/>
        </w:numPr>
        <w:ind w:left="0" w:firstLine="480"/>
        <w:rPr>
          <w:rFonts w:cs="Arial"/>
          <w:bCs/>
          <w:color w:val="auto"/>
          <w:sz w:val="24"/>
        </w:rPr>
      </w:pPr>
      <w:r>
        <w:rPr>
          <w:rFonts w:cs="Arial"/>
          <w:bCs/>
          <w:color w:val="auto"/>
          <w:sz w:val="24"/>
        </w:rPr>
        <w:t>支持医嘱重整、</w:t>
      </w:r>
      <w:r>
        <w:rPr>
          <w:rFonts w:hint="eastAsia" w:cs="Arial"/>
          <w:bCs/>
          <w:color w:val="auto"/>
          <w:sz w:val="24"/>
        </w:rPr>
        <w:t>术后、转科、死亡、出院等特殊医嘱的处理</w:t>
      </w:r>
      <w:r>
        <w:rPr>
          <w:rFonts w:cs="Arial"/>
          <w:bCs/>
          <w:color w:val="auto"/>
          <w:sz w:val="24"/>
        </w:rPr>
        <w:t>。</w:t>
      </w:r>
    </w:p>
    <w:p w14:paraId="7C242D30">
      <w:pPr>
        <w:pStyle w:val="94"/>
        <w:numPr>
          <w:ilvl w:val="0"/>
          <w:numId w:val="60"/>
        </w:numPr>
        <w:ind w:left="0" w:firstLine="480"/>
        <w:rPr>
          <w:rFonts w:cs="Arial"/>
          <w:bCs/>
          <w:color w:val="auto"/>
          <w:sz w:val="24"/>
        </w:rPr>
      </w:pPr>
      <w:r>
        <w:rPr>
          <w:rFonts w:cs="Arial"/>
          <w:bCs/>
          <w:color w:val="auto"/>
          <w:sz w:val="24"/>
        </w:rPr>
        <w:t>支持医保费用的提示和控制功能，如医保用药、治疗、检查等管理提示。</w:t>
      </w:r>
    </w:p>
    <w:p w14:paraId="4B95A804">
      <w:pPr>
        <w:pStyle w:val="94"/>
        <w:numPr>
          <w:ilvl w:val="0"/>
          <w:numId w:val="60"/>
        </w:numPr>
        <w:ind w:left="0" w:firstLine="480"/>
        <w:rPr>
          <w:rFonts w:cs="Arial"/>
          <w:bCs/>
          <w:color w:val="auto"/>
          <w:sz w:val="24"/>
        </w:rPr>
      </w:pPr>
      <w:r>
        <w:rPr>
          <w:rFonts w:hint="eastAsia" w:cs="Arial"/>
          <w:bCs/>
          <w:color w:val="auto"/>
          <w:sz w:val="24"/>
        </w:rPr>
        <w:t>支持抗生素药物分级管理，不同级别的医生开出不同级别的抗生素药。</w:t>
      </w:r>
    </w:p>
    <w:p w14:paraId="77E0BDEE">
      <w:pPr>
        <w:pStyle w:val="94"/>
        <w:numPr>
          <w:ilvl w:val="0"/>
          <w:numId w:val="60"/>
        </w:numPr>
        <w:ind w:left="0" w:firstLine="480"/>
        <w:rPr>
          <w:rFonts w:cs="Arial"/>
          <w:bCs/>
          <w:color w:val="auto"/>
          <w:sz w:val="24"/>
        </w:rPr>
      </w:pPr>
      <w:r>
        <w:rPr>
          <w:rFonts w:cs="Arial"/>
          <w:bCs/>
          <w:color w:val="auto"/>
          <w:sz w:val="24"/>
        </w:rPr>
        <w:t>支持会诊全流程管理</w:t>
      </w:r>
      <w:r>
        <w:rPr>
          <w:rFonts w:hint="eastAsia" w:cs="Arial"/>
          <w:bCs/>
          <w:color w:val="auto"/>
          <w:sz w:val="24"/>
        </w:rPr>
        <w:t>及视频会诊功能</w:t>
      </w:r>
      <w:r>
        <w:rPr>
          <w:rFonts w:cs="Arial"/>
          <w:bCs/>
          <w:color w:val="auto"/>
          <w:sz w:val="24"/>
        </w:rPr>
        <w:t>。</w:t>
      </w:r>
    </w:p>
    <w:p w14:paraId="5E6D9CF3">
      <w:pPr>
        <w:pStyle w:val="94"/>
        <w:numPr>
          <w:ilvl w:val="0"/>
          <w:numId w:val="60"/>
        </w:numPr>
        <w:ind w:left="0" w:firstLine="480"/>
        <w:rPr>
          <w:rFonts w:cs="Arial"/>
          <w:bCs/>
          <w:color w:val="auto"/>
          <w:sz w:val="24"/>
        </w:rPr>
      </w:pPr>
      <w:r>
        <w:rPr>
          <w:rFonts w:cs="Arial"/>
          <w:bCs/>
          <w:color w:val="auto"/>
          <w:sz w:val="24"/>
        </w:rPr>
        <w:t>提供跨科授权及跨科医嘱处理功能，跨科治疗费用处理。</w:t>
      </w:r>
    </w:p>
    <w:p w14:paraId="5D292FEC">
      <w:pPr>
        <w:pStyle w:val="94"/>
        <w:numPr>
          <w:ilvl w:val="0"/>
          <w:numId w:val="60"/>
        </w:numPr>
        <w:ind w:left="0" w:firstLine="480"/>
        <w:rPr>
          <w:rFonts w:cs="Arial"/>
          <w:bCs/>
          <w:color w:val="auto"/>
          <w:sz w:val="24"/>
        </w:rPr>
      </w:pPr>
      <w:r>
        <w:rPr>
          <w:rFonts w:cs="Arial"/>
          <w:bCs/>
          <w:color w:val="auto"/>
          <w:sz w:val="24"/>
        </w:rPr>
        <w:t>提供各类知情同意书，包括医保病人特殊用药及治疗同意书、手术审批单、手术同意书、质量同意书、麻醉同意书、输血同意书、贵重药品知情同意书，并能够打印存档。</w:t>
      </w:r>
    </w:p>
    <w:p w14:paraId="3CA2BCAD">
      <w:pPr>
        <w:pStyle w:val="94"/>
        <w:numPr>
          <w:ilvl w:val="0"/>
          <w:numId w:val="60"/>
        </w:numPr>
        <w:ind w:left="0" w:firstLine="480"/>
        <w:rPr>
          <w:rFonts w:cs="Arial"/>
          <w:bCs/>
          <w:color w:val="auto"/>
          <w:sz w:val="24"/>
        </w:rPr>
      </w:pPr>
      <w:r>
        <w:rPr>
          <w:rFonts w:cs="Arial"/>
          <w:bCs/>
          <w:color w:val="auto"/>
          <w:sz w:val="24"/>
        </w:rPr>
        <w:t>支持所有多种形式的医嘱和</w:t>
      </w:r>
      <w:r>
        <w:rPr>
          <w:rFonts w:hint="eastAsia" w:cs="Arial"/>
          <w:bCs/>
          <w:color w:val="auto"/>
          <w:sz w:val="24"/>
        </w:rPr>
        <w:t>检查检验电子</w:t>
      </w:r>
      <w:r>
        <w:rPr>
          <w:rFonts w:cs="Arial"/>
          <w:bCs/>
          <w:color w:val="auto"/>
          <w:sz w:val="24"/>
        </w:rPr>
        <w:t>申请单打印，格式应符合有关医疗文件的格式要求。</w:t>
      </w:r>
    </w:p>
    <w:p w14:paraId="07FF94FB">
      <w:pPr>
        <w:pStyle w:val="94"/>
        <w:numPr>
          <w:ilvl w:val="0"/>
          <w:numId w:val="60"/>
        </w:numPr>
        <w:ind w:left="0" w:firstLine="480"/>
        <w:rPr>
          <w:rFonts w:cs="Arial"/>
          <w:bCs/>
          <w:color w:val="auto"/>
          <w:sz w:val="24"/>
        </w:rPr>
      </w:pPr>
      <w:r>
        <w:rPr>
          <w:rFonts w:cs="Arial"/>
          <w:bCs/>
          <w:color w:val="auto"/>
          <w:sz w:val="24"/>
        </w:rPr>
        <w:t>支持医嘱单续打、满页打、重打、补打等功能。</w:t>
      </w:r>
    </w:p>
    <w:p w14:paraId="0A1C3FF3">
      <w:pPr>
        <w:pStyle w:val="94"/>
        <w:numPr>
          <w:ilvl w:val="0"/>
          <w:numId w:val="60"/>
        </w:numPr>
        <w:ind w:left="0" w:firstLine="480"/>
        <w:rPr>
          <w:rFonts w:cs="Arial"/>
          <w:bCs/>
          <w:color w:val="auto"/>
          <w:sz w:val="24"/>
        </w:rPr>
      </w:pPr>
      <w:r>
        <w:rPr>
          <w:rFonts w:hint="eastAsia" w:cs="Arial"/>
          <w:bCs/>
          <w:color w:val="auto"/>
          <w:sz w:val="24"/>
        </w:rPr>
        <w:t>支持医嘱排序功能。</w:t>
      </w:r>
    </w:p>
    <w:p w14:paraId="2D8F30A3">
      <w:pPr>
        <w:pStyle w:val="94"/>
        <w:numPr>
          <w:ilvl w:val="0"/>
          <w:numId w:val="60"/>
        </w:numPr>
        <w:ind w:left="0" w:firstLine="480"/>
        <w:rPr>
          <w:rFonts w:cs="Arial"/>
          <w:bCs/>
          <w:color w:val="auto"/>
          <w:sz w:val="24"/>
        </w:rPr>
      </w:pPr>
      <w:r>
        <w:rPr>
          <w:rFonts w:hint="eastAsia" w:cs="Arial"/>
          <w:bCs/>
          <w:color w:val="auto"/>
          <w:sz w:val="24"/>
        </w:rPr>
        <w:t>支持下达需皮试药品时，自动产生皮试医嘱。</w:t>
      </w:r>
    </w:p>
    <w:p w14:paraId="612E5A0A">
      <w:pPr>
        <w:pStyle w:val="94"/>
        <w:numPr>
          <w:ilvl w:val="0"/>
          <w:numId w:val="60"/>
        </w:numPr>
        <w:ind w:left="0" w:firstLine="480"/>
        <w:rPr>
          <w:rFonts w:cs="Arial"/>
          <w:bCs/>
          <w:color w:val="auto"/>
          <w:sz w:val="24"/>
        </w:rPr>
      </w:pPr>
      <w:r>
        <w:rPr>
          <w:rFonts w:cs="Arial"/>
          <w:bCs/>
          <w:color w:val="auto"/>
          <w:sz w:val="24"/>
        </w:rPr>
        <w:t>提供根据皮试结果控制医生开药功能。</w:t>
      </w:r>
    </w:p>
    <w:p w14:paraId="155023EC">
      <w:pPr>
        <w:pStyle w:val="94"/>
        <w:numPr>
          <w:ilvl w:val="0"/>
          <w:numId w:val="60"/>
        </w:numPr>
        <w:ind w:left="0" w:firstLine="480"/>
        <w:rPr>
          <w:rFonts w:cs="Arial"/>
          <w:bCs/>
          <w:color w:val="auto"/>
          <w:sz w:val="24"/>
        </w:rPr>
      </w:pPr>
      <w:r>
        <w:rPr>
          <w:rFonts w:cs="Arial"/>
          <w:bCs/>
          <w:color w:val="auto"/>
          <w:sz w:val="24"/>
        </w:rPr>
        <w:t>提供病人欠费控制功能，系统自动提示，医生、护士，余额低于停药线，医生不能开具药品医嘱。</w:t>
      </w:r>
    </w:p>
    <w:p w14:paraId="2D8255F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病案首页</w:t>
      </w:r>
      <w:bookmarkEnd w:id="167"/>
    </w:p>
    <w:p w14:paraId="75281E5E">
      <w:pPr>
        <w:pStyle w:val="94"/>
        <w:numPr>
          <w:ilvl w:val="0"/>
          <w:numId w:val="61"/>
        </w:numPr>
        <w:ind w:left="0" w:firstLine="480"/>
        <w:rPr>
          <w:rFonts w:cs="Arial"/>
          <w:bCs/>
          <w:color w:val="auto"/>
          <w:sz w:val="24"/>
        </w:rPr>
      </w:pPr>
      <w:bookmarkStart w:id="168" w:name="_Toc106372980"/>
      <w:r>
        <w:rPr>
          <w:rFonts w:cs="Arial"/>
          <w:bCs/>
          <w:color w:val="auto"/>
          <w:sz w:val="24"/>
        </w:rPr>
        <w:t>支持</w:t>
      </w:r>
      <w:r>
        <w:rPr>
          <w:rFonts w:hint="eastAsia" w:cs="Arial"/>
          <w:bCs/>
          <w:color w:val="auto"/>
          <w:sz w:val="24"/>
        </w:rPr>
        <w:t>1</w:t>
      </w:r>
      <w:r>
        <w:rPr>
          <w:rFonts w:cs="Arial"/>
          <w:bCs/>
          <w:color w:val="auto"/>
          <w:sz w:val="24"/>
        </w:rPr>
        <w:t>000多种病案首页质控规则，按照内置质控规则进行自动化质控。</w:t>
      </w:r>
    </w:p>
    <w:p w14:paraId="0B376753">
      <w:pPr>
        <w:pStyle w:val="94"/>
        <w:numPr>
          <w:ilvl w:val="0"/>
          <w:numId w:val="61"/>
        </w:numPr>
        <w:ind w:left="0" w:firstLine="480"/>
        <w:rPr>
          <w:rFonts w:cs="Arial"/>
          <w:bCs/>
          <w:color w:val="auto"/>
          <w:sz w:val="24"/>
        </w:rPr>
      </w:pPr>
      <w:r>
        <w:rPr>
          <w:rFonts w:hint="eastAsia" w:cs="Arial"/>
          <w:bCs/>
          <w:color w:val="auto"/>
          <w:sz w:val="24"/>
        </w:rPr>
        <w:t>支持患者信息、检验结果、手术信息自动导入到病案首页当中。</w:t>
      </w:r>
    </w:p>
    <w:p w14:paraId="718C8CCF">
      <w:pPr>
        <w:pStyle w:val="94"/>
        <w:numPr>
          <w:ilvl w:val="0"/>
          <w:numId w:val="61"/>
        </w:numPr>
        <w:ind w:left="0" w:firstLine="480"/>
        <w:rPr>
          <w:rFonts w:cs="Arial"/>
          <w:bCs/>
          <w:color w:val="auto"/>
          <w:sz w:val="24"/>
        </w:rPr>
      </w:pPr>
      <w:r>
        <w:rPr>
          <w:rFonts w:hint="eastAsia" w:cs="Arial"/>
          <w:bCs/>
          <w:color w:val="auto"/>
          <w:sz w:val="24"/>
        </w:rPr>
        <w:t>支持中医病案和西医病案两种模式。</w:t>
      </w:r>
    </w:p>
    <w:p w14:paraId="44784525">
      <w:pPr>
        <w:pStyle w:val="94"/>
        <w:numPr>
          <w:ilvl w:val="0"/>
          <w:numId w:val="61"/>
        </w:numPr>
        <w:ind w:left="0" w:firstLine="480"/>
        <w:rPr>
          <w:rFonts w:cs="Arial"/>
          <w:bCs/>
          <w:color w:val="auto"/>
          <w:sz w:val="24"/>
        </w:rPr>
      </w:pPr>
      <w:r>
        <w:rPr>
          <w:rFonts w:cs="Arial"/>
          <w:bCs/>
          <w:color w:val="auto"/>
          <w:sz w:val="24"/>
        </w:rPr>
        <w:t>支持修改患者入院时间。</w:t>
      </w:r>
    </w:p>
    <w:p w14:paraId="743BBF6F">
      <w:pPr>
        <w:pStyle w:val="94"/>
        <w:numPr>
          <w:ilvl w:val="0"/>
          <w:numId w:val="61"/>
        </w:numPr>
        <w:ind w:left="0" w:firstLine="480"/>
        <w:rPr>
          <w:rFonts w:cs="Arial"/>
          <w:bCs/>
          <w:color w:val="auto"/>
          <w:sz w:val="24"/>
        </w:rPr>
      </w:pPr>
      <w:r>
        <w:rPr>
          <w:rFonts w:cs="Arial"/>
          <w:bCs/>
          <w:color w:val="auto"/>
          <w:sz w:val="24"/>
        </w:rPr>
        <w:t>支持修改患者病历标志，确定是否写病历。</w:t>
      </w:r>
    </w:p>
    <w:p w14:paraId="20E795E3">
      <w:pPr>
        <w:pStyle w:val="94"/>
        <w:numPr>
          <w:ilvl w:val="0"/>
          <w:numId w:val="61"/>
        </w:numPr>
        <w:ind w:left="0" w:firstLine="480"/>
        <w:rPr>
          <w:rFonts w:cs="Arial"/>
          <w:bCs/>
          <w:color w:val="auto"/>
          <w:sz w:val="24"/>
        </w:rPr>
      </w:pPr>
      <w:r>
        <w:rPr>
          <w:rFonts w:cs="Arial"/>
          <w:bCs/>
          <w:color w:val="auto"/>
          <w:sz w:val="24"/>
        </w:rPr>
        <w:t>支持填报患者死亡卡。</w:t>
      </w:r>
    </w:p>
    <w:p w14:paraId="4253153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临床一体化应用</w:t>
      </w:r>
      <w:bookmarkEnd w:id="168"/>
    </w:p>
    <w:p w14:paraId="1C256B4D">
      <w:pPr>
        <w:pStyle w:val="94"/>
        <w:numPr>
          <w:ilvl w:val="0"/>
          <w:numId w:val="62"/>
        </w:numPr>
        <w:ind w:left="0" w:firstLine="480"/>
        <w:rPr>
          <w:rFonts w:cs="Arial"/>
          <w:bCs/>
          <w:color w:val="auto"/>
          <w:sz w:val="24"/>
        </w:rPr>
      </w:pPr>
      <w:r>
        <w:rPr>
          <w:rFonts w:cs="Arial"/>
          <w:bCs/>
          <w:color w:val="auto"/>
          <w:sz w:val="24"/>
        </w:rPr>
        <w:t>提供完整的就诊病人电子病历信息给医生随时随地浏览包括：主诉、病史、体</w:t>
      </w:r>
      <w:r>
        <w:rPr>
          <w:rFonts w:hint="eastAsia" w:cs="Arial"/>
          <w:bCs/>
          <w:color w:val="auto"/>
          <w:sz w:val="24"/>
        </w:rPr>
        <w:t>检</w:t>
      </w:r>
      <w:r>
        <w:rPr>
          <w:rFonts w:cs="Arial"/>
          <w:bCs/>
          <w:color w:val="auto"/>
          <w:sz w:val="24"/>
        </w:rPr>
        <w:t>、处方、手术治疗、检验、影像、心电、超声等信息。</w:t>
      </w:r>
    </w:p>
    <w:p w14:paraId="34CFE143">
      <w:pPr>
        <w:pStyle w:val="94"/>
        <w:numPr>
          <w:ilvl w:val="0"/>
          <w:numId w:val="62"/>
        </w:numPr>
        <w:ind w:left="0" w:firstLine="480"/>
        <w:rPr>
          <w:rFonts w:cs="Arial"/>
          <w:bCs/>
          <w:color w:val="auto"/>
          <w:sz w:val="24"/>
        </w:rPr>
      </w:pPr>
      <w:r>
        <w:rPr>
          <w:rFonts w:cs="Arial"/>
          <w:bCs/>
          <w:color w:val="auto"/>
          <w:sz w:val="24"/>
        </w:rPr>
        <w:t>支持医生监测病人的体温，脉搏，呼吸，血压。</w:t>
      </w:r>
    </w:p>
    <w:p w14:paraId="7CD8E464">
      <w:pPr>
        <w:pStyle w:val="94"/>
        <w:numPr>
          <w:ilvl w:val="0"/>
          <w:numId w:val="62"/>
        </w:numPr>
        <w:ind w:left="0" w:firstLine="480"/>
        <w:rPr>
          <w:rFonts w:cs="Arial"/>
          <w:bCs/>
          <w:color w:val="auto"/>
          <w:sz w:val="24"/>
        </w:rPr>
      </w:pPr>
      <w:r>
        <w:rPr>
          <w:rFonts w:cs="Arial"/>
          <w:bCs/>
          <w:color w:val="auto"/>
          <w:sz w:val="24"/>
        </w:rPr>
        <w:t>支持医生直接记录病人的生命体征。</w:t>
      </w:r>
    </w:p>
    <w:p w14:paraId="5FE0E29A">
      <w:pPr>
        <w:pStyle w:val="94"/>
        <w:numPr>
          <w:ilvl w:val="0"/>
          <w:numId w:val="62"/>
        </w:numPr>
        <w:ind w:left="0" w:firstLine="480"/>
        <w:rPr>
          <w:rFonts w:cs="Arial"/>
          <w:bCs/>
          <w:color w:val="auto"/>
          <w:sz w:val="24"/>
        </w:rPr>
      </w:pPr>
      <w:r>
        <w:rPr>
          <w:rFonts w:cs="Arial"/>
          <w:bCs/>
          <w:color w:val="auto"/>
          <w:sz w:val="24"/>
        </w:rPr>
        <w:t>提供病人本次就诊信息以及既往就诊信息，包括门诊和住院病历查询。</w:t>
      </w:r>
    </w:p>
    <w:p w14:paraId="2ED7E310">
      <w:pPr>
        <w:pStyle w:val="94"/>
        <w:numPr>
          <w:ilvl w:val="0"/>
          <w:numId w:val="62"/>
        </w:numPr>
        <w:ind w:left="0" w:firstLine="480"/>
        <w:rPr>
          <w:rFonts w:cs="Arial"/>
          <w:bCs/>
          <w:color w:val="auto"/>
          <w:sz w:val="24"/>
        </w:rPr>
      </w:pPr>
      <w:r>
        <w:rPr>
          <w:rFonts w:cs="Arial"/>
          <w:bCs/>
          <w:color w:val="auto"/>
          <w:sz w:val="24"/>
        </w:rPr>
        <w:t>支持查看历次检验、检查、心电结果，并支持对比功能，含</w:t>
      </w:r>
      <w:r>
        <w:rPr>
          <w:rFonts w:hint="eastAsia" w:cs="Arial"/>
          <w:bCs/>
          <w:color w:val="auto"/>
          <w:sz w:val="24"/>
        </w:rPr>
        <w:t>所有检查、检验结果</w:t>
      </w:r>
      <w:r>
        <w:rPr>
          <w:rFonts w:cs="Arial"/>
          <w:bCs/>
          <w:color w:val="auto"/>
          <w:sz w:val="24"/>
        </w:rPr>
        <w:t>。</w:t>
      </w:r>
    </w:p>
    <w:p w14:paraId="601D45E7">
      <w:pPr>
        <w:pStyle w:val="94"/>
        <w:numPr>
          <w:ilvl w:val="0"/>
          <w:numId w:val="62"/>
        </w:numPr>
        <w:ind w:left="0" w:firstLine="480"/>
        <w:rPr>
          <w:rFonts w:cs="Arial"/>
          <w:bCs/>
          <w:color w:val="auto"/>
          <w:sz w:val="24"/>
        </w:rPr>
      </w:pPr>
      <w:r>
        <w:rPr>
          <w:rFonts w:hint="eastAsia" w:cs="Arial"/>
          <w:bCs/>
          <w:color w:val="auto"/>
          <w:sz w:val="24"/>
        </w:rPr>
        <w:t>支持在住院医生站中进行院感预警。</w:t>
      </w:r>
    </w:p>
    <w:p w14:paraId="06DC3363">
      <w:pPr>
        <w:pStyle w:val="94"/>
        <w:numPr>
          <w:ilvl w:val="0"/>
          <w:numId w:val="62"/>
        </w:numPr>
        <w:ind w:left="0" w:firstLine="480"/>
        <w:rPr>
          <w:rFonts w:cs="Arial"/>
          <w:bCs/>
          <w:color w:val="auto"/>
          <w:sz w:val="24"/>
        </w:rPr>
      </w:pPr>
      <w:r>
        <w:rPr>
          <w:rFonts w:cs="Arial"/>
          <w:bCs/>
          <w:color w:val="auto"/>
          <w:sz w:val="24"/>
        </w:rPr>
        <w:t>支持影像图像操作，如图像测量、调窗等。</w:t>
      </w:r>
    </w:p>
    <w:p w14:paraId="1C24F209">
      <w:pPr>
        <w:pStyle w:val="94"/>
        <w:numPr>
          <w:ilvl w:val="0"/>
          <w:numId w:val="62"/>
        </w:numPr>
        <w:ind w:left="0" w:firstLine="480"/>
        <w:rPr>
          <w:rFonts w:cs="Arial"/>
          <w:bCs/>
          <w:color w:val="auto"/>
          <w:sz w:val="24"/>
        </w:rPr>
      </w:pPr>
      <w:r>
        <w:rPr>
          <w:rFonts w:hint="eastAsia" w:cs="Arial"/>
          <w:bCs/>
          <w:color w:val="auto"/>
          <w:sz w:val="24"/>
        </w:rPr>
        <w:t>支持原始心电图的测量、放大观察等操作。</w:t>
      </w:r>
    </w:p>
    <w:p w14:paraId="1158C3F3">
      <w:pPr>
        <w:pStyle w:val="94"/>
        <w:numPr>
          <w:ilvl w:val="0"/>
          <w:numId w:val="62"/>
        </w:numPr>
        <w:ind w:left="0" w:firstLine="480"/>
        <w:rPr>
          <w:rFonts w:cs="Arial"/>
          <w:bCs/>
          <w:color w:val="auto"/>
          <w:sz w:val="24"/>
        </w:rPr>
      </w:pPr>
      <w:r>
        <w:rPr>
          <w:rFonts w:cs="Arial"/>
          <w:bCs/>
          <w:color w:val="auto"/>
          <w:sz w:val="24"/>
        </w:rPr>
        <w:t>提供感染病例报告、登记功能：传染病例上报院感科，院感科批准后，填写传染病登记卡。</w:t>
      </w:r>
    </w:p>
    <w:p w14:paraId="47096E4C">
      <w:pPr>
        <w:pStyle w:val="94"/>
        <w:numPr>
          <w:ilvl w:val="0"/>
          <w:numId w:val="62"/>
        </w:numPr>
        <w:ind w:left="0" w:firstLine="480"/>
        <w:rPr>
          <w:rFonts w:cs="Arial"/>
          <w:bCs/>
          <w:color w:val="auto"/>
          <w:sz w:val="24"/>
        </w:rPr>
      </w:pPr>
      <w:r>
        <w:rPr>
          <w:rFonts w:cs="Arial"/>
          <w:bCs/>
          <w:color w:val="auto"/>
          <w:sz w:val="24"/>
        </w:rPr>
        <w:t>支持检验、检查危急值报告查看及处理。</w:t>
      </w:r>
    </w:p>
    <w:p w14:paraId="729355C9">
      <w:pPr>
        <w:pStyle w:val="94"/>
        <w:numPr>
          <w:ilvl w:val="0"/>
          <w:numId w:val="62"/>
        </w:numPr>
        <w:ind w:left="0" w:firstLine="480"/>
        <w:rPr>
          <w:rFonts w:cs="Arial"/>
          <w:bCs/>
          <w:color w:val="auto"/>
          <w:sz w:val="24"/>
        </w:rPr>
      </w:pPr>
      <w:r>
        <w:rPr>
          <w:rFonts w:cs="Arial"/>
          <w:bCs/>
          <w:color w:val="auto"/>
          <w:sz w:val="24"/>
        </w:rPr>
        <w:t>支持一键切换到麻醉报告界面，实时查看麻醉数据。</w:t>
      </w:r>
    </w:p>
    <w:p w14:paraId="00F38681">
      <w:pPr>
        <w:pStyle w:val="94"/>
        <w:numPr>
          <w:ilvl w:val="0"/>
          <w:numId w:val="62"/>
        </w:numPr>
        <w:ind w:left="0" w:firstLine="480"/>
        <w:rPr>
          <w:rFonts w:cs="Arial"/>
          <w:bCs/>
          <w:color w:val="auto"/>
          <w:sz w:val="24"/>
        </w:rPr>
      </w:pPr>
      <w:r>
        <w:rPr>
          <w:rFonts w:cs="Arial"/>
          <w:bCs/>
          <w:color w:val="auto"/>
          <w:sz w:val="24"/>
        </w:rPr>
        <w:t>支持浏览完整的护理记录、生命体征单功能。</w:t>
      </w:r>
    </w:p>
    <w:p w14:paraId="17FF21D4">
      <w:pPr>
        <w:pStyle w:val="94"/>
        <w:numPr>
          <w:ilvl w:val="0"/>
          <w:numId w:val="62"/>
        </w:numPr>
        <w:ind w:left="0" w:firstLine="480"/>
        <w:rPr>
          <w:rFonts w:cs="Arial"/>
          <w:bCs/>
          <w:color w:val="auto"/>
          <w:sz w:val="24"/>
        </w:rPr>
      </w:pPr>
      <w:r>
        <w:rPr>
          <w:rFonts w:cs="Arial"/>
          <w:bCs/>
          <w:color w:val="auto"/>
          <w:sz w:val="24"/>
        </w:rPr>
        <w:t>支持调用病案首页质控规则，在医生填写病案首页时进行相关提示。</w:t>
      </w:r>
    </w:p>
    <w:p w14:paraId="40869248">
      <w:pPr>
        <w:pStyle w:val="94"/>
        <w:numPr>
          <w:ilvl w:val="0"/>
          <w:numId w:val="62"/>
        </w:numPr>
        <w:ind w:left="0" w:firstLine="480"/>
        <w:rPr>
          <w:rFonts w:cs="Arial"/>
          <w:bCs/>
          <w:color w:val="auto"/>
          <w:sz w:val="24"/>
        </w:rPr>
      </w:pPr>
      <w:r>
        <w:rPr>
          <w:rFonts w:cs="Arial"/>
          <w:bCs/>
          <w:color w:val="auto"/>
          <w:sz w:val="24"/>
        </w:rPr>
        <w:t>提供新生儿登记，记录并察看婴儿出生时的所有信息。</w:t>
      </w:r>
    </w:p>
    <w:p w14:paraId="6F76316B">
      <w:pPr>
        <w:pStyle w:val="94"/>
        <w:numPr>
          <w:ilvl w:val="0"/>
          <w:numId w:val="62"/>
        </w:numPr>
        <w:ind w:left="0" w:firstLine="480"/>
        <w:rPr>
          <w:rFonts w:cs="Arial"/>
          <w:bCs/>
          <w:color w:val="auto"/>
          <w:sz w:val="24"/>
        </w:rPr>
      </w:pPr>
      <w:r>
        <w:rPr>
          <w:rFonts w:cs="Arial"/>
          <w:bCs/>
          <w:color w:val="auto"/>
          <w:sz w:val="24"/>
        </w:rPr>
        <w:t>提供查阅手术安排信息功能。</w:t>
      </w:r>
    </w:p>
    <w:p w14:paraId="05061013">
      <w:pPr>
        <w:pStyle w:val="94"/>
        <w:numPr>
          <w:ilvl w:val="0"/>
          <w:numId w:val="62"/>
        </w:numPr>
        <w:ind w:left="0" w:firstLine="480"/>
        <w:rPr>
          <w:rFonts w:cs="Arial"/>
          <w:bCs/>
          <w:color w:val="auto"/>
          <w:sz w:val="24"/>
        </w:rPr>
      </w:pPr>
      <w:r>
        <w:rPr>
          <w:rFonts w:cs="Arial"/>
          <w:bCs/>
          <w:color w:val="auto"/>
          <w:sz w:val="24"/>
        </w:rPr>
        <w:t>提供产科护理信息查看，包括产程图、待产记录、产后24小时护理记录等。</w:t>
      </w:r>
    </w:p>
    <w:p w14:paraId="512CAADA">
      <w:pPr>
        <w:pStyle w:val="94"/>
        <w:numPr>
          <w:ilvl w:val="0"/>
          <w:numId w:val="62"/>
        </w:numPr>
        <w:ind w:left="0" w:firstLine="480"/>
        <w:rPr>
          <w:rFonts w:cs="Arial"/>
          <w:bCs/>
          <w:color w:val="auto"/>
          <w:sz w:val="24"/>
        </w:rPr>
      </w:pPr>
      <w:r>
        <w:rPr>
          <w:rFonts w:cs="Arial"/>
          <w:bCs/>
          <w:color w:val="auto"/>
          <w:sz w:val="24"/>
        </w:rPr>
        <w:t>提供血糖监测表信息查看。</w:t>
      </w:r>
    </w:p>
    <w:p w14:paraId="5431CEB8">
      <w:pPr>
        <w:pStyle w:val="94"/>
        <w:numPr>
          <w:ilvl w:val="0"/>
          <w:numId w:val="62"/>
        </w:numPr>
        <w:ind w:left="0" w:firstLine="480"/>
        <w:rPr>
          <w:rFonts w:cs="Arial"/>
          <w:bCs/>
          <w:color w:val="auto"/>
          <w:sz w:val="24"/>
        </w:rPr>
      </w:pPr>
      <w:r>
        <w:rPr>
          <w:rFonts w:cs="Arial"/>
          <w:bCs/>
          <w:color w:val="auto"/>
          <w:sz w:val="24"/>
        </w:rPr>
        <w:t>支持由住院医生汇总产生领药单。</w:t>
      </w:r>
    </w:p>
    <w:p w14:paraId="2A1822A6">
      <w:pPr>
        <w:pStyle w:val="94"/>
        <w:numPr>
          <w:ilvl w:val="0"/>
          <w:numId w:val="62"/>
        </w:numPr>
        <w:ind w:left="0" w:firstLine="480"/>
        <w:rPr>
          <w:rFonts w:cs="Arial"/>
          <w:bCs/>
          <w:color w:val="auto"/>
          <w:sz w:val="24"/>
        </w:rPr>
      </w:pPr>
      <w:r>
        <w:rPr>
          <w:rFonts w:cs="Arial"/>
          <w:bCs/>
          <w:color w:val="auto"/>
          <w:sz w:val="24"/>
        </w:rPr>
        <w:t>支持由住院医生进行退费申请、退药申请。</w:t>
      </w:r>
    </w:p>
    <w:p w14:paraId="27720219">
      <w:pPr>
        <w:pStyle w:val="94"/>
        <w:numPr>
          <w:ilvl w:val="0"/>
          <w:numId w:val="62"/>
        </w:numPr>
        <w:ind w:left="0" w:firstLine="480"/>
        <w:rPr>
          <w:rFonts w:cs="Arial"/>
          <w:bCs/>
          <w:color w:val="auto"/>
          <w:sz w:val="24"/>
        </w:rPr>
      </w:pPr>
      <w:r>
        <w:rPr>
          <w:rFonts w:cs="Arial"/>
          <w:bCs/>
          <w:color w:val="auto"/>
          <w:sz w:val="24"/>
        </w:rPr>
        <w:t>支持与公共卫生系统融合，如基础档案共享、随访管理、家庭医生签约、慢病管理、健康档案等。</w:t>
      </w:r>
    </w:p>
    <w:p w14:paraId="71CFC256">
      <w:pPr>
        <w:pStyle w:val="94"/>
        <w:numPr>
          <w:ilvl w:val="0"/>
          <w:numId w:val="62"/>
        </w:numPr>
        <w:ind w:left="0" w:firstLine="480"/>
        <w:rPr>
          <w:rFonts w:cs="Arial"/>
          <w:bCs/>
          <w:color w:val="auto"/>
          <w:sz w:val="24"/>
        </w:rPr>
      </w:pPr>
      <w:r>
        <w:rPr>
          <w:rFonts w:hint="eastAsia" w:cs="Arial"/>
          <w:bCs/>
          <w:color w:val="auto"/>
          <w:sz w:val="24"/>
          <w:lang w:val="en-US" w:eastAsia="zh-CN"/>
        </w:rPr>
        <w:t>支持院内</w:t>
      </w:r>
      <w:r>
        <w:rPr>
          <w:rFonts w:hint="eastAsia" w:cs="Arial"/>
          <w:bCs/>
          <w:color w:val="auto"/>
          <w:sz w:val="24"/>
        </w:rPr>
        <w:t>双向转诊。</w:t>
      </w:r>
    </w:p>
    <w:p w14:paraId="37428E2A">
      <w:pPr>
        <w:pStyle w:val="94"/>
        <w:numPr>
          <w:ilvl w:val="0"/>
          <w:numId w:val="62"/>
        </w:numPr>
        <w:ind w:left="0" w:firstLine="480"/>
        <w:rPr>
          <w:rFonts w:cs="Arial"/>
          <w:bCs/>
          <w:color w:val="auto"/>
          <w:sz w:val="24"/>
        </w:rPr>
      </w:pPr>
      <w:r>
        <w:rPr>
          <w:rFonts w:cs="Arial"/>
          <w:bCs/>
          <w:color w:val="auto"/>
          <w:sz w:val="24"/>
        </w:rPr>
        <w:t>支持手术分级审核管理。</w:t>
      </w:r>
    </w:p>
    <w:p w14:paraId="74FFEEF1">
      <w:pPr>
        <w:pStyle w:val="14"/>
        <w:bidi w:val="0"/>
        <w:rPr>
          <w:color w:val="auto"/>
        </w:rPr>
      </w:pPr>
      <w:r>
        <w:rPr>
          <w:rFonts w:hint="eastAsia"/>
          <w:color w:val="auto"/>
          <w:lang w:val="en-US" w:eastAsia="zh-CN"/>
        </w:rPr>
        <w:t xml:space="preserve"> </w:t>
      </w:r>
      <w:r>
        <w:rPr>
          <w:rFonts w:hint="eastAsia"/>
          <w:color w:val="auto"/>
        </w:rPr>
        <w:t>住院电子病历系统</w:t>
      </w:r>
    </w:p>
    <w:p w14:paraId="3AF33F36">
      <w:pPr>
        <w:bidi w:val="0"/>
        <w:rPr>
          <w:color w:val="auto"/>
        </w:rPr>
      </w:pPr>
      <w:r>
        <w:rPr>
          <w:rFonts w:hint="eastAsia"/>
          <w:color w:val="auto"/>
          <w:lang w:val="en-US" w:eastAsia="zh-CN"/>
        </w:rPr>
        <w:t>住院电</w:t>
      </w:r>
      <w:r>
        <w:rPr>
          <w:color w:val="auto"/>
        </w:rPr>
        <w:t>子病历系统深度融合临床业务流程，通过结构化录入、智能模板库及多级权限管控实现病历全周期数字化管理，严格遵循HL7等国际标准与国内病历规范，确保数据可追溯、安全合规。其特色在于痕迹可视化、医学表达式支持及跨系统数据联动，显著提升病历书写效率与质控水平，同时支持知识库引用与第三方集成，为诊疗决策提供智能化支撑。</w:t>
      </w:r>
    </w:p>
    <w:p w14:paraId="796EC254">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AAE3125">
      <w:pPr>
        <w:pStyle w:val="341"/>
        <w:spacing w:beforeLines="0"/>
        <w:ind w:firstLine="482"/>
        <w:rPr>
          <w:rFonts w:hint="eastAsia" w:ascii="宋体" w:hAnsi="宋体" w:cs="仿宋"/>
          <w:b/>
          <w:bCs/>
          <w:color w:val="auto"/>
          <w:sz w:val="24"/>
          <w:szCs w:val="24"/>
        </w:rPr>
      </w:pPr>
      <w:bookmarkStart w:id="169" w:name="_Toc106372983"/>
      <w:r>
        <w:rPr>
          <w:rFonts w:hint="eastAsia" w:ascii="宋体" w:hAnsi="宋体" w:cs="仿宋"/>
          <w:b/>
          <w:bCs/>
          <w:color w:val="auto"/>
          <w:sz w:val="24"/>
          <w:szCs w:val="24"/>
        </w:rPr>
        <w:t>住院病历管理</w:t>
      </w:r>
      <w:bookmarkEnd w:id="169"/>
    </w:p>
    <w:p w14:paraId="599BB04D">
      <w:pPr>
        <w:pStyle w:val="94"/>
        <w:numPr>
          <w:ilvl w:val="0"/>
          <w:numId w:val="63"/>
        </w:numPr>
        <w:ind w:left="0" w:firstLine="480"/>
        <w:rPr>
          <w:rFonts w:cs="Arial"/>
          <w:bCs/>
          <w:color w:val="auto"/>
          <w:sz w:val="24"/>
        </w:rPr>
      </w:pPr>
      <w:bookmarkStart w:id="170" w:name="_Toc106372984"/>
      <w:r>
        <w:rPr>
          <w:rFonts w:hint="eastAsia" w:cs="Arial"/>
          <w:bCs/>
          <w:color w:val="auto"/>
          <w:sz w:val="24"/>
        </w:rPr>
        <w:t>与住院医生站一体化设计，减少医生上手熟悉时间，可以自动获取医嘱处方、检验报告、检查报告、心电报告、病人基本信息等。</w:t>
      </w:r>
    </w:p>
    <w:p w14:paraId="3B062E3F">
      <w:pPr>
        <w:pStyle w:val="94"/>
        <w:numPr>
          <w:ilvl w:val="0"/>
          <w:numId w:val="63"/>
        </w:numPr>
        <w:ind w:left="0" w:firstLine="480"/>
        <w:rPr>
          <w:rFonts w:cs="Arial"/>
          <w:bCs/>
          <w:color w:val="auto"/>
          <w:sz w:val="24"/>
        </w:rPr>
      </w:pPr>
      <w:r>
        <w:rPr>
          <w:rFonts w:hint="eastAsia" w:cs="Arial"/>
          <w:bCs/>
          <w:color w:val="auto"/>
          <w:sz w:val="24"/>
        </w:rPr>
        <w:t>支持设置用户配置痕迹可视化效果，包含痕迹的背景色、删除线颜色、删除线个数、下划线颜色和下划线个数。</w:t>
      </w:r>
    </w:p>
    <w:p w14:paraId="09CB196F">
      <w:pPr>
        <w:pStyle w:val="94"/>
        <w:numPr>
          <w:ilvl w:val="0"/>
          <w:numId w:val="63"/>
        </w:numPr>
        <w:ind w:left="0" w:firstLine="480"/>
        <w:rPr>
          <w:rFonts w:cs="Arial"/>
          <w:bCs/>
          <w:color w:val="auto"/>
          <w:sz w:val="24"/>
        </w:rPr>
      </w:pPr>
      <w:r>
        <w:rPr>
          <w:rFonts w:hint="eastAsia" w:cs="Arial"/>
          <w:bCs/>
          <w:color w:val="auto"/>
          <w:sz w:val="24"/>
        </w:rPr>
        <w:t>痕迹保留：支持痕迹保留，用户对文档中的内容的新增、修改和删除都能产生痕迹信息并保留在文档中，痕迹信息包括操作员的名称、时间、操作类型和操作的文档内容，支持痕迹信息的格式化设置。支持用户界面展现痕迹信息。支持设置用户配置痕迹可视化效果，包含痕迹的背景色、删除线颜色、删除线个数、下划线颜色和下划线个数。支持不显示痕迹的整洁视图和显示痕迹的留痕视图，支持留痕打印。</w:t>
      </w:r>
    </w:p>
    <w:p w14:paraId="5BB64365">
      <w:pPr>
        <w:pStyle w:val="94"/>
        <w:numPr>
          <w:ilvl w:val="0"/>
          <w:numId w:val="63"/>
        </w:numPr>
        <w:ind w:left="0" w:firstLine="480"/>
        <w:rPr>
          <w:rFonts w:cs="Arial"/>
          <w:bCs/>
          <w:color w:val="auto"/>
          <w:sz w:val="24"/>
        </w:rPr>
      </w:pPr>
      <w:r>
        <w:rPr>
          <w:rFonts w:hint="eastAsia" w:cs="Arial"/>
          <w:bCs/>
          <w:color w:val="auto"/>
          <w:sz w:val="24"/>
        </w:rPr>
        <w:t>权限控制：支持多级权限控制，每个用户可以分配不同的权限等级。高权限等级的用户能修改和删除低权限等级的文档内容；低权限等级的用户无法修改和删除高权限等级的文档内容，只能看，不能改。</w:t>
      </w:r>
    </w:p>
    <w:p w14:paraId="78A8B1A4">
      <w:pPr>
        <w:pStyle w:val="94"/>
        <w:numPr>
          <w:ilvl w:val="0"/>
          <w:numId w:val="63"/>
        </w:numPr>
        <w:ind w:left="0" w:firstLine="480"/>
        <w:rPr>
          <w:rFonts w:cs="Arial"/>
          <w:bCs/>
          <w:color w:val="auto"/>
          <w:sz w:val="24"/>
        </w:rPr>
      </w:pPr>
      <w:r>
        <w:rPr>
          <w:rFonts w:hint="eastAsia" w:cs="Arial"/>
          <w:bCs/>
          <w:color w:val="auto"/>
          <w:sz w:val="24"/>
        </w:rPr>
        <w:t>知识库：支持加载知识库，知识库中以树状结构组织了多个知识库节点，节点可以采用可选内容列表，也可以链接引用到模板中。知识库的内容可以动态的来自其他程序模块或数据库。</w:t>
      </w:r>
    </w:p>
    <w:p w14:paraId="2D720218">
      <w:pPr>
        <w:pStyle w:val="94"/>
        <w:numPr>
          <w:ilvl w:val="0"/>
          <w:numId w:val="63"/>
        </w:numPr>
        <w:ind w:left="0" w:firstLine="480"/>
        <w:rPr>
          <w:rFonts w:cs="Arial"/>
          <w:bCs/>
          <w:color w:val="auto"/>
          <w:sz w:val="24"/>
        </w:rPr>
      </w:pPr>
      <w:r>
        <w:rPr>
          <w:rFonts w:hint="eastAsia" w:cs="Arial"/>
          <w:bCs/>
          <w:color w:val="auto"/>
          <w:sz w:val="24"/>
        </w:rPr>
        <w:t>数据源绑定：文本输入域、单选框、复选框能绑定数据源。应用程序能传递数据源来批量的修改文档中输入域中的内容。</w:t>
      </w:r>
    </w:p>
    <w:p w14:paraId="4E049AE9">
      <w:pPr>
        <w:pStyle w:val="94"/>
        <w:numPr>
          <w:ilvl w:val="0"/>
          <w:numId w:val="63"/>
        </w:numPr>
        <w:ind w:left="0" w:firstLine="480"/>
        <w:rPr>
          <w:rFonts w:cs="Arial"/>
          <w:bCs/>
          <w:color w:val="auto"/>
          <w:sz w:val="24"/>
        </w:rPr>
      </w:pPr>
      <w:r>
        <w:rPr>
          <w:rFonts w:hint="eastAsia" w:cs="Arial"/>
          <w:bCs/>
          <w:color w:val="auto"/>
          <w:sz w:val="24"/>
        </w:rPr>
        <w:t>文档元素：支持多种结构化文档元素，包含输入域、字符、图片、页码、复选框、单选按钮、文档节、分页符、表格（表格、表格行、表格列、单元格）、段落、医学表达式。支持文档结构化元素的读取操作。</w:t>
      </w:r>
    </w:p>
    <w:p w14:paraId="11345937">
      <w:pPr>
        <w:pStyle w:val="94"/>
        <w:numPr>
          <w:ilvl w:val="0"/>
          <w:numId w:val="63"/>
        </w:numPr>
        <w:ind w:left="0" w:firstLine="480"/>
        <w:rPr>
          <w:rFonts w:cs="Arial"/>
          <w:bCs/>
          <w:color w:val="auto"/>
          <w:sz w:val="24"/>
        </w:rPr>
      </w:pPr>
      <w:r>
        <w:rPr>
          <w:rFonts w:hint="eastAsia" w:cs="Arial"/>
          <w:bCs/>
          <w:color w:val="auto"/>
          <w:sz w:val="24"/>
        </w:rPr>
        <w:t>输入域：支持在文档中插入输入域。输入域可以设置背景文本、固定宽度、数据录入方式、数据校验格式、边框等信息。支持动态加载、联动设置下拉列表内容。支持数值表达式。支持各个输入域之间的文本同步复制。支持自定义属性。支持输出与输入的格式化设置。支持时间日期格式输入域。</w:t>
      </w:r>
    </w:p>
    <w:p w14:paraId="22A75E1B">
      <w:pPr>
        <w:pStyle w:val="94"/>
        <w:numPr>
          <w:ilvl w:val="0"/>
          <w:numId w:val="63"/>
        </w:numPr>
        <w:ind w:left="0" w:firstLine="480"/>
        <w:rPr>
          <w:rFonts w:cs="Arial"/>
          <w:bCs/>
          <w:color w:val="auto"/>
          <w:sz w:val="24"/>
        </w:rPr>
      </w:pPr>
      <w:r>
        <w:rPr>
          <w:rFonts w:hint="eastAsia" w:cs="Arial"/>
          <w:bCs/>
          <w:color w:val="auto"/>
          <w:sz w:val="24"/>
        </w:rPr>
        <w:t>医学表达式：支持常用的医学表达式，包含月经史（四种）、瞳孔图、光定位、胎心图。</w:t>
      </w:r>
    </w:p>
    <w:p w14:paraId="42DAEEBE">
      <w:pPr>
        <w:pStyle w:val="94"/>
        <w:numPr>
          <w:ilvl w:val="0"/>
          <w:numId w:val="63"/>
        </w:numPr>
        <w:ind w:left="0" w:firstLine="480"/>
        <w:rPr>
          <w:rFonts w:cs="Arial"/>
          <w:bCs/>
          <w:color w:val="auto"/>
          <w:sz w:val="24"/>
        </w:rPr>
      </w:pPr>
      <w:r>
        <w:rPr>
          <w:rFonts w:hint="eastAsia" w:cs="Arial"/>
          <w:bCs/>
          <w:color w:val="auto"/>
          <w:sz w:val="24"/>
        </w:rPr>
        <w:t>内容保护：能设置指定文档内容或元素是否只读，只读时不能删除和修改属性、内容和样式。</w:t>
      </w:r>
    </w:p>
    <w:p w14:paraId="1BF00AE2">
      <w:pPr>
        <w:pStyle w:val="94"/>
        <w:numPr>
          <w:ilvl w:val="0"/>
          <w:numId w:val="63"/>
        </w:numPr>
        <w:ind w:left="0" w:firstLine="480"/>
        <w:rPr>
          <w:rFonts w:cs="Arial"/>
          <w:bCs/>
          <w:color w:val="auto"/>
          <w:sz w:val="24"/>
        </w:rPr>
      </w:pPr>
      <w:r>
        <w:rPr>
          <w:rFonts w:hint="eastAsia" w:cs="Arial"/>
          <w:bCs/>
          <w:color w:val="auto"/>
          <w:sz w:val="24"/>
        </w:rPr>
        <w:t>级联模板：设置某个输入域的内容能自动的控制其他文档片段的显示和隐藏。使得文档具有一定的智能判断效果。通过设置输入域的动作表达式就能实现级联模板的功能。支持嵌套级联模版。支持多选级联模版功能。</w:t>
      </w:r>
    </w:p>
    <w:p w14:paraId="61D2C687">
      <w:pPr>
        <w:pStyle w:val="94"/>
        <w:numPr>
          <w:ilvl w:val="0"/>
          <w:numId w:val="63"/>
        </w:numPr>
        <w:ind w:left="0" w:firstLine="480"/>
        <w:rPr>
          <w:rFonts w:cs="Arial"/>
          <w:bCs/>
          <w:color w:val="auto"/>
          <w:sz w:val="24"/>
        </w:rPr>
      </w:pPr>
      <w:r>
        <w:rPr>
          <w:rFonts w:hint="eastAsia" w:cs="Arial"/>
          <w:bCs/>
          <w:color w:val="auto"/>
          <w:sz w:val="24"/>
        </w:rPr>
        <w:t>数据范围：支持自定义设置复制内容应用的范围，支持自定义设置操作越界的提示信息，支持自定义设置是否清空剪切板。</w:t>
      </w:r>
    </w:p>
    <w:p w14:paraId="5C3FFCBD">
      <w:pPr>
        <w:pStyle w:val="94"/>
        <w:numPr>
          <w:ilvl w:val="0"/>
          <w:numId w:val="63"/>
        </w:numPr>
        <w:ind w:left="0" w:firstLine="480"/>
        <w:rPr>
          <w:rFonts w:cs="Arial"/>
          <w:bCs/>
          <w:color w:val="auto"/>
          <w:sz w:val="24"/>
        </w:rPr>
      </w:pPr>
      <w:r>
        <w:rPr>
          <w:rFonts w:hint="eastAsia" w:cs="Arial"/>
          <w:bCs/>
          <w:color w:val="auto"/>
          <w:sz w:val="24"/>
        </w:rPr>
        <w:t>病程记录：支持两种病程记录方式：单文档模式和多文档模式。</w:t>
      </w:r>
    </w:p>
    <w:p w14:paraId="7C43DBED">
      <w:pPr>
        <w:pStyle w:val="94"/>
        <w:numPr>
          <w:ilvl w:val="0"/>
          <w:numId w:val="63"/>
        </w:numPr>
        <w:ind w:left="0" w:firstLine="480"/>
        <w:rPr>
          <w:rFonts w:cs="Arial"/>
          <w:bCs/>
          <w:color w:val="auto"/>
          <w:sz w:val="24"/>
        </w:rPr>
      </w:pPr>
      <w:r>
        <w:rPr>
          <w:rFonts w:hint="eastAsia" w:cs="Arial"/>
          <w:bCs/>
          <w:color w:val="auto"/>
          <w:sz w:val="24"/>
        </w:rPr>
        <w:t>命令：提供一种统一的编辑器命令调用方式，将功能整合，简化开发接口，提供程序兼容性。支持自定义设置命令。</w:t>
      </w:r>
    </w:p>
    <w:p w14:paraId="302CA03E">
      <w:pPr>
        <w:pStyle w:val="94"/>
        <w:numPr>
          <w:ilvl w:val="0"/>
          <w:numId w:val="63"/>
        </w:numPr>
        <w:ind w:left="0" w:firstLine="480"/>
        <w:rPr>
          <w:rFonts w:cs="Arial"/>
          <w:bCs/>
          <w:color w:val="auto"/>
          <w:sz w:val="24"/>
        </w:rPr>
      </w:pPr>
      <w:r>
        <w:rPr>
          <w:rFonts w:hint="eastAsia" w:cs="Arial"/>
          <w:bCs/>
          <w:color w:val="auto"/>
          <w:sz w:val="24"/>
        </w:rPr>
        <w:t>完全标准化、结构化的电子病历；系统采用ICD-10、HL7、DICOM3等国际医疗卫生标准。遵循中/西病历书写规范，电子病历系统严格遵循《病历书写规范》，符合病历书写习惯。遵循中/西医诊疗规范及诊断标准。</w:t>
      </w:r>
    </w:p>
    <w:p w14:paraId="01117354">
      <w:pPr>
        <w:pStyle w:val="94"/>
        <w:numPr>
          <w:ilvl w:val="0"/>
          <w:numId w:val="63"/>
        </w:numPr>
        <w:ind w:left="0" w:firstLine="480"/>
        <w:rPr>
          <w:rFonts w:cs="Arial"/>
          <w:bCs/>
          <w:color w:val="auto"/>
          <w:sz w:val="24"/>
        </w:rPr>
      </w:pPr>
      <w:r>
        <w:rPr>
          <w:rFonts w:hint="eastAsia" w:cs="Arial"/>
          <w:bCs/>
          <w:color w:val="auto"/>
          <w:sz w:val="24"/>
        </w:rPr>
        <w:t>能够按卫生部数据元定义的结构化电子病历、可按卫生部相关标准导出XML格式电子病历、电子病可完整保留修改痕迹、按卫生部规定共享文档规范的导出交换文档、可调用医学专用术语库SNOMEND。</w:t>
      </w:r>
    </w:p>
    <w:p w14:paraId="42BEBDC5">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病历的修改：显示各级医师修改记录，病历的修改都是有痕迹的修改，通过权限控制，上级医师可以修改病历，实现三级修改权限，修改的记录可以打印。</w:t>
      </w:r>
    </w:p>
    <w:p w14:paraId="2F060352">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病历书写规范要求的时限和部分内容实时监控。</w:t>
      </w:r>
    </w:p>
    <w:p w14:paraId="1AFCC31F">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支持临床数据提取：病历书写时候可以快速查询当前患者住院期间的各种检验、检查、医嘱等临床数据，可以选择导入到病历文档中。</w:t>
      </w:r>
    </w:p>
    <w:p w14:paraId="61B9A494">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病历归档处理：对于病历终末质控完成的病历提交到待归档列表等待病案归档系统处理。</w:t>
      </w:r>
    </w:p>
    <w:p w14:paraId="20BD6A7C">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病历打印：可以进行病历文档打印、选择打印、病程续打、打印分页预览。</w:t>
      </w:r>
    </w:p>
    <w:p w14:paraId="2B3ADB6C">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提供临床诊疗知识库引用功能。</w:t>
      </w:r>
    </w:p>
    <w:p w14:paraId="7357EFA6">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与医生工作站、护士工作站互联。</w:t>
      </w:r>
    </w:p>
    <w:p w14:paraId="330165F3">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电子病历系统维护：维护电子病历常用的系统配置参数。</w:t>
      </w:r>
    </w:p>
    <w:p w14:paraId="03D25D6E">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具有电子病历数据和恢复功能；当电子病历系统更新、升级时，应当确保原有数据的继承与使用。</w:t>
      </w:r>
    </w:p>
    <w:p w14:paraId="5A6FBEF2">
      <w:pPr>
        <w:pStyle w:val="84"/>
        <w:widowControl w:val="0"/>
        <w:numPr>
          <w:ilvl w:val="0"/>
          <w:numId w:val="63"/>
        </w:numPr>
        <w:spacing w:before="0" w:after="0"/>
        <w:ind w:left="0" w:firstLine="480" w:firstLineChars="200"/>
        <w:jc w:val="both"/>
        <w:rPr>
          <w:rFonts w:hint="eastAsia" w:ascii="宋体" w:hAnsi="宋体"/>
          <w:color w:val="auto"/>
        </w:rPr>
      </w:pPr>
      <w:r>
        <w:rPr>
          <w:rFonts w:hint="eastAsia" w:ascii="宋体" w:hAnsi="宋体"/>
          <w:color w:val="auto"/>
        </w:rPr>
        <w:t>支持按结构化要素查询功能。</w:t>
      </w:r>
    </w:p>
    <w:p w14:paraId="659FEE71">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病历模板</w:t>
      </w:r>
      <w:bookmarkEnd w:id="170"/>
    </w:p>
    <w:p w14:paraId="1D7E6C33">
      <w:pPr>
        <w:pStyle w:val="94"/>
        <w:numPr>
          <w:ilvl w:val="0"/>
          <w:numId w:val="64"/>
        </w:numPr>
        <w:ind w:left="0" w:firstLine="480"/>
        <w:rPr>
          <w:rFonts w:cs="Arial"/>
          <w:bCs/>
          <w:color w:val="auto"/>
          <w:sz w:val="24"/>
        </w:rPr>
      </w:pPr>
      <w:bookmarkStart w:id="171" w:name="_Toc106372985"/>
      <w:r>
        <w:rPr>
          <w:rFonts w:hint="eastAsia" w:cs="Arial"/>
          <w:bCs/>
          <w:color w:val="auto"/>
          <w:sz w:val="24"/>
        </w:rPr>
        <w:t>提供病历模板功能：</w:t>
      </w:r>
    </w:p>
    <w:p w14:paraId="6B86C792">
      <w:pPr>
        <w:pStyle w:val="84"/>
        <w:spacing w:before="0" w:after="0"/>
        <w:ind w:firstLine="480"/>
        <w:jc w:val="both"/>
        <w:rPr>
          <w:rFonts w:hint="eastAsia" w:ascii="宋体" w:hAnsi="宋体"/>
          <w:color w:val="auto"/>
        </w:rPr>
      </w:pPr>
      <w:r>
        <w:rPr>
          <w:rFonts w:hint="eastAsia" w:ascii="宋体" w:hAnsi="宋体"/>
          <w:color w:val="auto"/>
        </w:rPr>
        <w:t>（1）病历内容框架采用标准化、结构化。</w:t>
      </w:r>
    </w:p>
    <w:p w14:paraId="4498C1F9">
      <w:pPr>
        <w:pStyle w:val="84"/>
        <w:spacing w:before="0" w:after="0"/>
        <w:ind w:firstLine="480"/>
        <w:jc w:val="both"/>
        <w:rPr>
          <w:rFonts w:hint="eastAsia" w:ascii="宋体" w:hAnsi="宋体"/>
          <w:color w:val="auto"/>
        </w:rPr>
      </w:pPr>
      <w:r>
        <w:rPr>
          <w:rFonts w:hint="eastAsia" w:ascii="宋体" w:hAnsi="宋体"/>
          <w:color w:val="auto"/>
        </w:rPr>
        <w:t>（2）格式病历具有内容全面、标准化程序高、病历质量可靠、特别适合电脑操作等特点，并能与对应的内容自动匹配；</w:t>
      </w:r>
    </w:p>
    <w:p w14:paraId="075743A2">
      <w:pPr>
        <w:pStyle w:val="84"/>
        <w:spacing w:before="0" w:after="0"/>
        <w:ind w:firstLine="480"/>
        <w:jc w:val="both"/>
        <w:rPr>
          <w:rFonts w:hint="eastAsia" w:ascii="宋体" w:hAnsi="宋体"/>
          <w:color w:val="auto"/>
        </w:rPr>
      </w:pPr>
      <w:r>
        <w:rPr>
          <w:rFonts w:hint="eastAsia" w:ascii="宋体" w:hAnsi="宋体"/>
          <w:color w:val="auto"/>
        </w:rPr>
        <w:t>（3）提供病历模板列表功能：模板名称、病种、适用级别、文档类型检索查询模板；新增、编辑、删除相应模板；</w:t>
      </w:r>
    </w:p>
    <w:p w14:paraId="319BE0D2">
      <w:pPr>
        <w:pStyle w:val="84"/>
        <w:spacing w:before="0" w:after="0"/>
        <w:ind w:firstLine="480"/>
        <w:jc w:val="both"/>
        <w:rPr>
          <w:rFonts w:hint="eastAsia" w:ascii="宋体" w:hAnsi="宋体"/>
          <w:color w:val="auto"/>
        </w:rPr>
      </w:pPr>
      <w:r>
        <w:rPr>
          <w:rFonts w:hint="eastAsia" w:ascii="宋体" w:hAnsi="宋体"/>
          <w:color w:val="auto"/>
        </w:rPr>
        <w:t>（4）提供结构化界面模板，可以按照住院病历组成部分、疾病病种选择所需模板；模板内容应当符合该疾病现有诊疗指南、规范要求。</w:t>
      </w:r>
    </w:p>
    <w:p w14:paraId="408713DF">
      <w:pPr>
        <w:pStyle w:val="84"/>
        <w:spacing w:before="0" w:after="0"/>
        <w:ind w:firstLine="480"/>
        <w:jc w:val="both"/>
        <w:rPr>
          <w:rFonts w:hint="eastAsia" w:ascii="宋体" w:hAnsi="宋体"/>
          <w:color w:val="auto"/>
        </w:rPr>
      </w:pPr>
      <w:r>
        <w:rPr>
          <w:rFonts w:hint="eastAsia" w:ascii="宋体" w:hAnsi="宋体"/>
          <w:color w:val="auto"/>
        </w:rPr>
        <w:t>（5）可定义各科的格式病历。支持模块与病种关联功能；</w:t>
      </w:r>
    </w:p>
    <w:p w14:paraId="14BBBB9C">
      <w:pPr>
        <w:pStyle w:val="84"/>
        <w:spacing w:before="0" w:after="0"/>
        <w:ind w:firstLine="480"/>
        <w:jc w:val="both"/>
        <w:rPr>
          <w:rFonts w:hint="eastAsia" w:ascii="宋体" w:hAnsi="宋体"/>
          <w:color w:val="auto"/>
        </w:rPr>
      </w:pPr>
      <w:r>
        <w:rPr>
          <w:rFonts w:hint="eastAsia" w:ascii="宋体" w:hAnsi="宋体"/>
          <w:color w:val="auto"/>
        </w:rPr>
        <w:t>（6）提供用户常用文本，用短语自动记忆，简易调出。提供方便书写病历时使用常用的符号、文字；</w:t>
      </w:r>
    </w:p>
    <w:p w14:paraId="5C439D73">
      <w:pPr>
        <w:pStyle w:val="84"/>
        <w:spacing w:before="0" w:after="0"/>
        <w:ind w:firstLine="480"/>
        <w:jc w:val="both"/>
        <w:rPr>
          <w:rFonts w:hint="eastAsia" w:ascii="宋体" w:hAnsi="宋体"/>
          <w:color w:val="auto"/>
        </w:rPr>
      </w:pPr>
      <w:r>
        <w:rPr>
          <w:rFonts w:hint="eastAsia" w:ascii="宋体" w:hAnsi="宋体"/>
          <w:color w:val="auto"/>
        </w:rPr>
        <w:t>（7）支持绘制各类医学图示功能。</w:t>
      </w:r>
      <w:r>
        <w:rPr>
          <w:rFonts w:hint="eastAsia" w:ascii="宋体" w:hAnsi="宋体"/>
          <w:color w:val="auto"/>
        </w:rPr>
        <w:tab/>
      </w:r>
    </w:p>
    <w:p w14:paraId="3A240C9F">
      <w:pPr>
        <w:pStyle w:val="94"/>
        <w:numPr>
          <w:ilvl w:val="0"/>
          <w:numId w:val="64"/>
        </w:numPr>
        <w:ind w:left="0" w:firstLine="480"/>
        <w:rPr>
          <w:rFonts w:cs="Arial"/>
          <w:bCs/>
          <w:color w:val="auto"/>
          <w:sz w:val="24"/>
        </w:rPr>
      </w:pPr>
      <w:r>
        <w:rPr>
          <w:rFonts w:cs="Arial"/>
          <w:bCs/>
          <w:color w:val="auto"/>
          <w:sz w:val="24"/>
        </w:rPr>
        <w:t>提供本科模板</w:t>
      </w:r>
      <w:r>
        <w:rPr>
          <w:rFonts w:hint="eastAsia" w:cs="Arial"/>
          <w:bCs/>
          <w:color w:val="auto"/>
          <w:sz w:val="24"/>
        </w:rPr>
        <w:t>、</w:t>
      </w:r>
      <w:r>
        <w:rPr>
          <w:rFonts w:cs="Arial"/>
          <w:bCs/>
          <w:color w:val="auto"/>
          <w:sz w:val="24"/>
        </w:rPr>
        <w:t>全院模板</w:t>
      </w:r>
      <w:r>
        <w:rPr>
          <w:rFonts w:hint="eastAsia" w:cs="Arial"/>
          <w:bCs/>
          <w:color w:val="auto"/>
          <w:sz w:val="24"/>
        </w:rPr>
        <w:t>、</w:t>
      </w:r>
      <w:r>
        <w:rPr>
          <w:rFonts w:cs="Arial"/>
          <w:bCs/>
          <w:color w:val="auto"/>
          <w:sz w:val="24"/>
        </w:rPr>
        <w:t>整体模板</w:t>
      </w:r>
      <w:r>
        <w:rPr>
          <w:rFonts w:hint="eastAsia" w:cs="Arial"/>
          <w:bCs/>
          <w:color w:val="auto"/>
          <w:sz w:val="24"/>
        </w:rPr>
        <w:t>、</w:t>
      </w:r>
      <w:r>
        <w:rPr>
          <w:rFonts w:cs="Arial"/>
          <w:bCs/>
          <w:color w:val="auto"/>
          <w:sz w:val="24"/>
        </w:rPr>
        <w:t>个人整体模板</w:t>
      </w:r>
      <w:r>
        <w:rPr>
          <w:rFonts w:hint="eastAsia" w:cs="Arial"/>
          <w:bCs/>
          <w:color w:val="auto"/>
          <w:sz w:val="24"/>
        </w:rPr>
        <w:t>、个人</w:t>
      </w:r>
      <w:r>
        <w:rPr>
          <w:rFonts w:cs="Arial"/>
          <w:bCs/>
          <w:color w:val="auto"/>
          <w:sz w:val="24"/>
        </w:rPr>
        <w:t>模板组套</w:t>
      </w:r>
      <w:r>
        <w:rPr>
          <w:rFonts w:hint="eastAsia" w:cs="Arial"/>
          <w:bCs/>
          <w:color w:val="auto"/>
          <w:sz w:val="24"/>
        </w:rPr>
        <w:t>、</w:t>
      </w:r>
      <w:r>
        <w:rPr>
          <w:rFonts w:cs="Arial"/>
          <w:bCs/>
          <w:color w:val="auto"/>
          <w:sz w:val="24"/>
        </w:rPr>
        <w:t>个人常用模板浏览功能</w:t>
      </w:r>
      <w:r>
        <w:rPr>
          <w:rFonts w:hint="eastAsia" w:cs="Arial"/>
          <w:bCs/>
          <w:color w:val="auto"/>
          <w:sz w:val="24"/>
        </w:rPr>
        <w:t>。</w:t>
      </w:r>
    </w:p>
    <w:p w14:paraId="30E0283B">
      <w:pPr>
        <w:pStyle w:val="94"/>
        <w:numPr>
          <w:ilvl w:val="0"/>
          <w:numId w:val="64"/>
        </w:numPr>
        <w:ind w:left="0" w:firstLine="480"/>
        <w:rPr>
          <w:rFonts w:cs="Arial"/>
          <w:bCs/>
          <w:color w:val="auto"/>
          <w:sz w:val="24"/>
        </w:rPr>
      </w:pPr>
      <w:r>
        <w:rPr>
          <w:rFonts w:cs="Arial"/>
          <w:bCs/>
          <w:color w:val="auto"/>
          <w:sz w:val="24"/>
        </w:rPr>
        <w:t>支持模板多选并保存为</w:t>
      </w:r>
      <w:r>
        <w:rPr>
          <w:rFonts w:hint="eastAsia" w:cs="Arial"/>
          <w:bCs/>
          <w:color w:val="auto"/>
          <w:sz w:val="24"/>
        </w:rPr>
        <w:t>模板组套，在创建病历时，通过模板组套一次性创建多份病历。</w:t>
      </w:r>
    </w:p>
    <w:p w14:paraId="1CA43E0D">
      <w:pPr>
        <w:pStyle w:val="94"/>
        <w:numPr>
          <w:ilvl w:val="0"/>
          <w:numId w:val="64"/>
        </w:numPr>
        <w:ind w:left="0" w:firstLine="480"/>
        <w:rPr>
          <w:rFonts w:cs="Arial"/>
          <w:bCs/>
          <w:color w:val="auto"/>
          <w:sz w:val="24"/>
        </w:rPr>
      </w:pPr>
      <w:r>
        <w:rPr>
          <w:rFonts w:cs="Arial"/>
          <w:bCs/>
          <w:color w:val="auto"/>
          <w:sz w:val="24"/>
        </w:rPr>
        <w:t>支持根据病历分类查找病历</w:t>
      </w:r>
      <w:r>
        <w:rPr>
          <w:rFonts w:hint="eastAsia" w:cs="Arial"/>
          <w:bCs/>
          <w:color w:val="auto"/>
          <w:sz w:val="24"/>
        </w:rPr>
        <w:t>。</w:t>
      </w:r>
    </w:p>
    <w:p w14:paraId="57FE6198">
      <w:pPr>
        <w:pStyle w:val="94"/>
        <w:numPr>
          <w:ilvl w:val="0"/>
          <w:numId w:val="64"/>
        </w:numPr>
        <w:ind w:left="0" w:firstLine="480"/>
        <w:rPr>
          <w:rFonts w:cs="Arial"/>
          <w:bCs/>
          <w:color w:val="auto"/>
          <w:sz w:val="24"/>
        </w:rPr>
      </w:pPr>
      <w:r>
        <w:rPr>
          <w:rFonts w:cs="Arial"/>
          <w:bCs/>
          <w:color w:val="auto"/>
          <w:sz w:val="24"/>
        </w:rPr>
        <w:t>支持通过拼音码</w:t>
      </w:r>
      <w:r>
        <w:rPr>
          <w:rFonts w:hint="eastAsia" w:cs="Arial"/>
          <w:bCs/>
          <w:color w:val="auto"/>
          <w:sz w:val="24"/>
        </w:rPr>
        <w:t>、</w:t>
      </w:r>
      <w:r>
        <w:rPr>
          <w:rFonts w:cs="Arial"/>
          <w:bCs/>
          <w:color w:val="auto"/>
          <w:sz w:val="24"/>
        </w:rPr>
        <w:t>五笔码筛选病历</w:t>
      </w:r>
      <w:r>
        <w:rPr>
          <w:rFonts w:hint="eastAsia" w:cs="Arial"/>
          <w:bCs/>
          <w:color w:val="auto"/>
          <w:sz w:val="24"/>
        </w:rPr>
        <w:t>。</w:t>
      </w:r>
    </w:p>
    <w:p w14:paraId="7614F579">
      <w:pPr>
        <w:pStyle w:val="94"/>
        <w:numPr>
          <w:ilvl w:val="0"/>
          <w:numId w:val="64"/>
        </w:numPr>
        <w:ind w:left="0" w:firstLine="480"/>
        <w:rPr>
          <w:rFonts w:cs="Arial"/>
          <w:bCs/>
          <w:color w:val="auto"/>
          <w:sz w:val="24"/>
        </w:rPr>
      </w:pPr>
      <w:r>
        <w:rPr>
          <w:rFonts w:cs="Arial"/>
          <w:bCs/>
          <w:color w:val="auto"/>
          <w:sz w:val="24"/>
        </w:rPr>
        <w:t>支持设置科室模板</w:t>
      </w:r>
      <w:r>
        <w:rPr>
          <w:rFonts w:hint="eastAsia" w:cs="Arial"/>
          <w:bCs/>
          <w:color w:val="auto"/>
          <w:sz w:val="24"/>
        </w:rPr>
        <w:t>。</w:t>
      </w:r>
    </w:p>
    <w:p w14:paraId="28BF07CC">
      <w:pPr>
        <w:pStyle w:val="94"/>
        <w:numPr>
          <w:ilvl w:val="0"/>
          <w:numId w:val="64"/>
        </w:numPr>
        <w:ind w:left="0" w:firstLine="480"/>
        <w:rPr>
          <w:rFonts w:cs="Arial"/>
          <w:bCs/>
          <w:color w:val="auto"/>
          <w:sz w:val="24"/>
        </w:rPr>
      </w:pPr>
      <w:r>
        <w:rPr>
          <w:rFonts w:cs="Arial"/>
          <w:bCs/>
          <w:color w:val="auto"/>
          <w:sz w:val="24"/>
        </w:rPr>
        <w:t>支持右键标记为常用模板</w:t>
      </w:r>
      <w:r>
        <w:rPr>
          <w:rFonts w:hint="eastAsia" w:cs="Arial"/>
          <w:bCs/>
          <w:color w:val="auto"/>
          <w:sz w:val="24"/>
        </w:rPr>
        <w:t>。</w:t>
      </w:r>
    </w:p>
    <w:p w14:paraId="318F6A0B">
      <w:pPr>
        <w:pStyle w:val="94"/>
        <w:numPr>
          <w:ilvl w:val="0"/>
          <w:numId w:val="64"/>
        </w:numPr>
        <w:ind w:left="0" w:firstLine="480"/>
        <w:rPr>
          <w:rFonts w:cs="Arial"/>
          <w:bCs/>
          <w:color w:val="auto"/>
          <w:sz w:val="24"/>
        </w:rPr>
      </w:pPr>
      <w:r>
        <w:rPr>
          <w:rFonts w:cs="Arial"/>
          <w:bCs/>
          <w:color w:val="auto"/>
          <w:sz w:val="24"/>
        </w:rPr>
        <w:t>支持病历保存为整体模板，病历书写时可从整体模板中导入。</w:t>
      </w:r>
    </w:p>
    <w:p w14:paraId="7C5AE054">
      <w:pPr>
        <w:pStyle w:val="94"/>
        <w:numPr>
          <w:ilvl w:val="0"/>
          <w:numId w:val="64"/>
        </w:numPr>
        <w:ind w:left="0" w:firstLine="480"/>
        <w:rPr>
          <w:rFonts w:cs="Arial"/>
          <w:bCs/>
          <w:color w:val="auto"/>
          <w:sz w:val="24"/>
        </w:rPr>
      </w:pPr>
      <w:r>
        <w:rPr>
          <w:rFonts w:cs="Arial"/>
          <w:bCs/>
          <w:color w:val="auto"/>
          <w:sz w:val="24"/>
        </w:rPr>
        <w:t>整体模板支持公有和私有两种模式，根据模式区分科室是否共享。</w:t>
      </w:r>
    </w:p>
    <w:p w14:paraId="2EDB216E">
      <w:pPr>
        <w:pStyle w:val="94"/>
        <w:numPr>
          <w:ilvl w:val="0"/>
          <w:numId w:val="64"/>
        </w:numPr>
        <w:ind w:left="0" w:firstLine="480"/>
        <w:rPr>
          <w:rFonts w:cs="等线"/>
          <w:color w:val="auto"/>
          <w:sz w:val="24"/>
        </w:rPr>
      </w:pPr>
      <w:r>
        <w:rPr>
          <w:rFonts w:hint="eastAsia" w:cs="等线"/>
          <w:color w:val="auto"/>
          <w:sz w:val="24"/>
        </w:rPr>
        <w:t>可根据各级卫生部门及本院要求，设计各种病历样式。</w:t>
      </w:r>
    </w:p>
    <w:p w14:paraId="2247196C">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住院病历书写</w:t>
      </w:r>
      <w:bookmarkEnd w:id="171"/>
    </w:p>
    <w:p w14:paraId="05414F5B">
      <w:pPr>
        <w:pStyle w:val="94"/>
        <w:numPr>
          <w:ilvl w:val="0"/>
          <w:numId w:val="65"/>
        </w:numPr>
        <w:ind w:left="0" w:firstLine="480"/>
        <w:rPr>
          <w:rFonts w:cs="Arial"/>
          <w:bCs/>
          <w:color w:val="auto"/>
          <w:sz w:val="24"/>
        </w:rPr>
      </w:pPr>
      <w:bookmarkStart w:id="172" w:name="_Toc106372986"/>
      <w:r>
        <w:rPr>
          <w:rFonts w:hint="eastAsia" w:cs="Arial"/>
          <w:bCs/>
          <w:color w:val="auto"/>
          <w:sz w:val="24"/>
        </w:rPr>
        <w:t>支持</w:t>
      </w:r>
      <w:r>
        <w:rPr>
          <w:rFonts w:cs="Arial"/>
          <w:bCs/>
          <w:color w:val="auto"/>
          <w:sz w:val="24"/>
        </w:rPr>
        <w:t>患者基本信息自动带入病历</w:t>
      </w:r>
      <w:r>
        <w:rPr>
          <w:rFonts w:hint="eastAsia" w:cs="Arial"/>
          <w:bCs/>
          <w:color w:val="auto"/>
          <w:sz w:val="24"/>
        </w:rPr>
        <w:t>；</w:t>
      </w:r>
    </w:p>
    <w:p w14:paraId="1782FEDC">
      <w:pPr>
        <w:pStyle w:val="94"/>
        <w:numPr>
          <w:ilvl w:val="0"/>
          <w:numId w:val="65"/>
        </w:numPr>
        <w:ind w:left="0" w:firstLine="480"/>
        <w:rPr>
          <w:rFonts w:cs="Arial"/>
          <w:bCs/>
          <w:color w:val="auto"/>
          <w:sz w:val="24"/>
        </w:rPr>
      </w:pPr>
      <w:r>
        <w:rPr>
          <w:rFonts w:hint="eastAsia" w:cs="Arial"/>
          <w:bCs/>
          <w:color w:val="auto"/>
          <w:sz w:val="24"/>
        </w:rPr>
        <w:t>支持住院</w:t>
      </w:r>
      <w:r>
        <w:rPr>
          <w:rFonts w:cs="Arial"/>
          <w:bCs/>
          <w:color w:val="auto"/>
          <w:sz w:val="24"/>
        </w:rPr>
        <w:t>病历的结构化录入</w:t>
      </w:r>
      <w:r>
        <w:rPr>
          <w:rFonts w:hint="eastAsia" w:cs="Arial"/>
          <w:bCs/>
          <w:color w:val="auto"/>
          <w:sz w:val="24"/>
        </w:rPr>
        <w:t>；</w:t>
      </w:r>
    </w:p>
    <w:p w14:paraId="61D748E9">
      <w:pPr>
        <w:pStyle w:val="94"/>
        <w:numPr>
          <w:ilvl w:val="0"/>
          <w:numId w:val="65"/>
        </w:numPr>
        <w:ind w:left="0" w:firstLine="480"/>
        <w:rPr>
          <w:rFonts w:cs="Arial"/>
          <w:bCs/>
          <w:color w:val="auto"/>
          <w:sz w:val="24"/>
        </w:rPr>
      </w:pPr>
      <w:r>
        <w:rPr>
          <w:rFonts w:cs="Arial"/>
          <w:bCs/>
          <w:color w:val="auto"/>
          <w:sz w:val="24"/>
        </w:rPr>
        <w:t>支持动态结构化住院电子病历。</w:t>
      </w:r>
    </w:p>
    <w:p w14:paraId="7A960F71">
      <w:pPr>
        <w:pStyle w:val="94"/>
        <w:numPr>
          <w:ilvl w:val="0"/>
          <w:numId w:val="65"/>
        </w:numPr>
        <w:ind w:left="0" w:firstLine="480"/>
        <w:rPr>
          <w:rFonts w:cs="Arial"/>
          <w:bCs/>
          <w:color w:val="auto"/>
          <w:sz w:val="24"/>
        </w:rPr>
      </w:pPr>
      <w:r>
        <w:rPr>
          <w:rFonts w:hint="eastAsia" w:cs="Arial"/>
          <w:bCs/>
          <w:color w:val="auto"/>
          <w:sz w:val="24"/>
        </w:rPr>
        <w:t>支持设置用户配置痕迹可视化效果，包含痕迹的背景色、删除线颜色、删除线个数、下划线颜色和下划线个数。</w:t>
      </w:r>
    </w:p>
    <w:p w14:paraId="7B3DE5E3">
      <w:pPr>
        <w:pStyle w:val="94"/>
        <w:numPr>
          <w:ilvl w:val="0"/>
          <w:numId w:val="65"/>
        </w:numPr>
        <w:ind w:left="0" w:firstLine="480"/>
        <w:rPr>
          <w:rFonts w:cs="Arial"/>
          <w:bCs/>
          <w:color w:val="auto"/>
          <w:sz w:val="24"/>
        </w:rPr>
      </w:pPr>
      <w:r>
        <w:rPr>
          <w:rFonts w:hint="eastAsia" w:cs="Arial"/>
          <w:bCs/>
          <w:color w:val="auto"/>
          <w:sz w:val="24"/>
        </w:rPr>
        <w:t>支持不显示痕迹的整洁视图和显示痕迹的留痕视图，支持留痕打印。</w:t>
      </w:r>
    </w:p>
    <w:p w14:paraId="1807D748">
      <w:pPr>
        <w:pStyle w:val="94"/>
        <w:numPr>
          <w:ilvl w:val="0"/>
          <w:numId w:val="65"/>
        </w:numPr>
        <w:ind w:left="0" w:firstLine="480"/>
        <w:rPr>
          <w:rFonts w:cs="Arial"/>
          <w:bCs/>
          <w:color w:val="auto"/>
          <w:sz w:val="24"/>
        </w:rPr>
      </w:pPr>
      <w:r>
        <w:rPr>
          <w:rFonts w:hint="eastAsia" w:cs="Arial"/>
          <w:bCs/>
          <w:color w:val="auto"/>
          <w:sz w:val="24"/>
        </w:rPr>
        <w:t>支持书写病历时调用整体模版、短语等，提高病历书写效率。</w:t>
      </w:r>
    </w:p>
    <w:p w14:paraId="50585E3A">
      <w:pPr>
        <w:pStyle w:val="94"/>
        <w:numPr>
          <w:ilvl w:val="0"/>
          <w:numId w:val="65"/>
        </w:numPr>
        <w:ind w:left="0" w:firstLine="480"/>
        <w:rPr>
          <w:rFonts w:cs="Arial"/>
          <w:bCs/>
          <w:color w:val="auto"/>
          <w:sz w:val="24"/>
        </w:rPr>
      </w:pPr>
      <w:r>
        <w:rPr>
          <w:rFonts w:hint="eastAsia" w:cs="Arial"/>
          <w:bCs/>
          <w:color w:val="auto"/>
          <w:sz w:val="24"/>
        </w:rPr>
        <w:t>支持病历书写时引用医学公式，例如：PD牙位图、病变下牙牙位图、病变上牙牙位图、月经史。</w:t>
      </w:r>
    </w:p>
    <w:p w14:paraId="41F01339">
      <w:pPr>
        <w:pStyle w:val="94"/>
        <w:numPr>
          <w:ilvl w:val="0"/>
          <w:numId w:val="65"/>
        </w:numPr>
        <w:ind w:left="0" w:firstLine="480"/>
        <w:rPr>
          <w:rFonts w:cs="Arial"/>
          <w:bCs/>
          <w:color w:val="auto"/>
          <w:sz w:val="24"/>
        </w:rPr>
      </w:pPr>
      <w:r>
        <w:rPr>
          <w:rFonts w:cs="Arial"/>
          <w:bCs/>
          <w:color w:val="auto"/>
          <w:sz w:val="24"/>
        </w:rPr>
        <w:t>支持引入医学图像</w:t>
      </w:r>
      <w:r>
        <w:rPr>
          <w:rFonts w:hint="eastAsia" w:cs="Arial"/>
          <w:bCs/>
          <w:color w:val="auto"/>
          <w:sz w:val="24"/>
        </w:rPr>
        <w:t>，</w:t>
      </w:r>
      <w:r>
        <w:rPr>
          <w:rFonts w:cs="Arial"/>
          <w:bCs/>
          <w:color w:val="auto"/>
          <w:sz w:val="24"/>
        </w:rPr>
        <w:t>例如</w:t>
      </w:r>
      <w:r>
        <w:rPr>
          <w:rFonts w:hint="eastAsia" w:cs="Arial"/>
          <w:bCs/>
          <w:color w:val="auto"/>
          <w:sz w:val="24"/>
        </w:rPr>
        <w:t>：</w:t>
      </w:r>
      <w:r>
        <w:rPr>
          <w:rFonts w:cs="Arial"/>
          <w:bCs/>
          <w:color w:val="auto"/>
          <w:sz w:val="24"/>
        </w:rPr>
        <w:t>人体医学图像</w:t>
      </w:r>
      <w:r>
        <w:rPr>
          <w:rFonts w:hint="eastAsia" w:cs="Arial"/>
          <w:bCs/>
          <w:color w:val="auto"/>
          <w:sz w:val="24"/>
        </w:rPr>
        <w:t>、</w:t>
      </w:r>
      <w:r>
        <w:rPr>
          <w:rFonts w:cs="Arial"/>
          <w:bCs/>
          <w:color w:val="auto"/>
          <w:sz w:val="24"/>
        </w:rPr>
        <w:t>肺部医学图像</w:t>
      </w:r>
      <w:r>
        <w:rPr>
          <w:rFonts w:hint="eastAsia" w:cs="Arial"/>
          <w:bCs/>
          <w:color w:val="auto"/>
          <w:sz w:val="24"/>
        </w:rPr>
        <w:t>。</w:t>
      </w:r>
    </w:p>
    <w:p w14:paraId="264FAE72">
      <w:pPr>
        <w:pStyle w:val="94"/>
        <w:numPr>
          <w:ilvl w:val="0"/>
          <w:numId w:val="65"/>
        </w:numPr>
        <w:ind w:left="0" w:firstLine="480"/>
        <w:rPr>
          <w:rFonts w:cs="Arial"/>
          <w:bCs/>
          <w:color w:val="auto"/>
          <w:sz w:val="24"/>
        </w:rPr>
      </w:pPr>
      <w:r>
        <w:rPr>
          <w:rFonts w:cs="Arial"/>
          <w:bCs/>
          <w:color w:val="auto"/>
          <w:sz w:val="24"/>
        </w:rPr>
        <w:t>支持多种图像标注功能</w:t>
      </w:r>
      <w:r>
        <w:rPr>
          <w:rFonts w:hint="eastAsia" w:cs="Arial"/>
          <w:bCs/>
          <w:color w:val="auto"/>
          <w:sz w:val="24"/>
        </w:rPr>
        <w:t>，</w:t>
      </w:r>
      <w:r>
        <w:rPr>
          <w:rFonts w:cs="Arial"/>
          <w:bCs/>
          <w:color w:val="auto"/>
          <w:sz w:val="24"/>
        </w:rPr>
        <w:t>例如</w:t>
      </w:r>
      <w:r>
        <w:rPr>
          <w:rFonts w:hint="eastAsia" w:cs="Arial"/>
          <w:bCs/>
          <w:color w:val="auto"/>
          <w:sz w:val="24"/>
        </w:rPr>
        <w:t>：</w:t>
      </w:r>
      <w:r>
        <w:rPr>
          <w:rFonts w:cs="Arial"/>
          <w:bCs/>
          <w:color w:val="auto"/>
          <w:sz w:val="24"/>
        </w:rPr>
        <w:t>直线标注</w:t>
      </w:r>
      <w:r>
        <w:rPr>
          <w:rFonts w:hint="eastAsia" w:cs="Arial"/>
          <w:bCs/>
          <w:color w:val="auto"/>
          <w:sz w:val="24"/>
        </w:rPr>
        <w:t>、</w:t>
      </w:r>
      <w:r>
        <w:rPr>
          <w:rFonts w:cs="Arial"/>
          <w:bCs/>
          <w:color w:val="auto"/>
          <w:sz w:val="24"/>
        </w:rPr>
        <w:t>画笔标注</w:t>
      </w:r>
      <w:r>
        <w:rPr>
          <w:rFonts w:hint="eastAsia" w:cs="Arial"/>
          <w:bCs/>
          <w:color w:val="auto"/>
          <w:sz w:val="24"/>
        </w:rPr>
        <w:t>、</w:t>
      </w:r>
      <w:r>
        <w:rPr>
          <w:rFonts w:cs="Arial"/>
          <w:bCs/>
          <w:color w:val="auto"/>
          <w:sz w:val="24"/>
        </w:rPr>
        <w:t>矩形标注</w:t>
      </w:r>
      <w:r>
        <w:rPr>
          <w:rFonts w:hint="eastAsia" w:cs="Arial"/>
          <w:bCs/>
          <w:color w:val="auto"/>
          <w:sz w:val="24"/>
        </w:rPr>
        <w:t>、</w:t>
      </w:r>
      <w:r>
        <w:rPr>
          <w:rFonts w:cs="Arial"/>
          <w:bCs/>
          <w:color w:val="auto"/>
          <w:sz w:val="24"/>
        </w:rPr>
        <w:t>圆形标注</w:t>
      </w:r>
      <w:r>
        <w:rPr>
          <w:rFonts w:hint="eastAsia" w:cs="Arial"/>
          <w:bCs/>
          <w:color w:val="auto"/>
          <w:sz w:val="24"/>
        </w:rPr>
        <w:t>、</w:t>
      </w:r>
      <w:r>
        <w:rPr>
          <w:rFonts w:cs="Arial"/>
          <w:bCs/>
          <w:color w:val="auto"/>
          <w:sz w:val="24"/>
        </w:rPr>
        <w:t>文字标注</w:t>
      </w:r>
      <w:r>
        <w:rPr>
          <w:rFonts w:hint="eastAsia" w:cs="Arial"/>
          <w:bCs/>
          <w:color w:val="auto"/>
          <w:sz w:val="24"/>
        </w:rPr>
        <w:t>。</w:t>
      </w:r>
    </w:p>
    <w:p w14:paraId="51D00FBE">
      <w:pPr>
        <w:pStyle w:val="94"/>
        <w:numPr>
          <w:ilvl w:val="0"/>
          <w:numId w:val="65"/>
        </w:numPr>
        <w:ind w:left="0" w:firstLine="480"/>
        <w:rPr>
          <w:rFonts w:cs="Arial"/>
          <w:bCs/>
          <w:color w:val="auto"/>
          <w:sz w:val="24"/>
        </w:rPr>
      </w:pPr>
      <w:r>
        <w:rPr>
          <w:rFonts w:cs="Arial"/>
          <w:bCs/>
          <w:color w:val="auto"/>
          <w:sz w:val="24"/>
        </w:rPr>
        <w:t>支持调节文字标注中的文字大小</w:t>
      </w:r>
      <w:r>
        <w:rPr>
          <w:rFonts w:hint="eastAsia" w:cs="Arial"/>
          <w:bCs/>
          <w:color w:val="auto"/>
          <w:sz w:val="24"/>
        </w:rPr>
        <w:t>。</w:t>
      </w:r>
    </w:p>
    <w:p w14:paraId="391449A9">
      <w:pPr>
        <w:pStyle w:val="94"/>
        <w:numPr>
          <w:ilvl w:val="0"/>
          <w:numId w:val="65"/>
        </w:numPr>
        <w:ind w:left="0" w:firstLine="480"/>
        <w:rPr>
          <w:rFonts w:cs="Arial"/>
          <w:bCs/>
          <w:color w:val="auto"/>
          <w:sz w:val="24"/>
        </w:rPr>
      </w:pPr>
      <w:r>
        <w:rPr>
          <w:rFonts w:cs="Arial"/>
          <w:bCs/>
          <w:color w:val="auto"/>
          <w:sz w:val="24"/>
        </w:rPr>
        <w:t>支持移动</w:t>
      </w:r>
      <w:r>
        <w:rPr>
          <w:rFonts w:hint="eastAsia" w:cs="Arial"/>
          <w:bCs/>
          <w:color w:val="auto"/>
          <w:sz w:val="24"/>
        </w:rPr>
        <w:t>、</w:t>
      </w:r>
      <w:r>
        <w:rPr>
          <w:rFonts w:cs="Arial"/>
          <w:bCs/>
          <w:color w:val="auto"/>
          <w:sz w:val="24"/>
        </w:rPr>
        <w:t>删除</w:t>
      </w:r>
      <w:r>
        <w:rPr>
          <w:rFonts w:hint="eastAsia" w:cs="Arial"/>
          <w:bCs/>
          <w:color w:val="auto"/>
          <w:sz w:val="24"/>
        </w:rPr>
        <w:t>、</w:t>
      </w:r>
      <w:r>
        <w:rPr>
          <w:rFonts w:cs="Arial"/>
          <w:bCs/>
          <w:color w:val="auto"/>
          <w:sz w:val="24"/>
        </w:rPr>
        <w:t>撤回</w:t>
      </w:r>
      <w:r>
        <w:rPr>
          <w:rFonts w:hint="eastAsia" w:cs="Arial"/>
          <w:bCs/>
          <w:color w:val="auto"/>
          <w:sz w:val="24"/>
        </w:rPr>
        <w:t>、</w:t>
      </w:r>
      <w:r>
        <w:rPr>
          <w:rFonts w:cs="Arial"/>
          <w:bCs/>
          <w:color w:val="auto"/>
          <w:sz w:val="24"/>
        </w:rPr>
        <w:t>清空标注</w:t>
      </w:r>
      <w:r>
        <w:rPr>
          <w:rFonts w:hint="eastAsia" w:cs="Arial"/>
          <w:bCs/>
          <w:color w:val="auto"/>
          <w:sz w:val="24"/>
        </w:rPr>
        <w:t>。</w:t>
      </w:r>
    </w:p>
    <w:p w14:paraId="5AFAEB8E">
      <w:pPr>
        <w:pStyle w:val="94"/>
        <w:numPr>
          <w:ilvl w:val="0"/>
          <w:numId w:val="65"/>
        </w:numPr>
        <w:ind w:left="0" w:firstLine="480"/>
        <w:rPr>
          <w:rFonts w:cs="Arial"/>
          <w:bCs/>
          <w:color w:val="auto"/>
          <w:sz w:val="24"/>
        </w:rPr>
      </w:pPr>
      <w:r>
        <w:rPr>
          <w:rFonts w:hint="eastAsia" w:cs="Arial"/>
          <w:bCs/>
          <w:color w:val="auto"/>
          <w:sz w:val="24"/>
        </w:rPr>
        <w:t>支持病历书写过程中插入表格。</w:t>
      </w:r>
    </w:p>
    <w:p w14:paraId="05646E7A">
      <w:pPr>
        <w:pStyle w:val="94"/>
        <w:numPr>
          <w:ilvl w:val="0"/>
          <w:numId w:val="65"/>
        </w:numPr>
        <w:ind w:left="0" w:firstLine="480"/>
        <w:rPr>
          <w:rFonts w:cs="Arial"/>
          <w:bCs/>
          <w:color w:val="auto"/>
          <w:sz w:val="24"/>
        </w:rPr>
      </w:pPr>
      <w:r>
        <w:rPr>
          <w:rFonts w:cs="Arial"/>
          <w:bCs/>
          <w:color w:val="auto"/>
          <w:sz w:val="24"/>
        </w:rPr>
        <w:t>支持设置表格内容是否可编辑</w:t>
      </w:r>
      <w:r>
        <w:rPr>
          <w:rFonts w:hint="eastAsia" w:cs="Arial"/>
          <w:bCs/>
          <w:color w:val="auto"/>
          <w:sz w:val="24"/>
        </w:rPr>
        <w:t>。</w:t>
      </w:r>
    </w:p>
    <w:p w14:paraId="2B8A4471">
      <w:pPr>
        <w:pStyle w:val="94"/>
        <w:numPr>
          <w:ilvl w:val="0"/>
          <w:numId w:val="65"/>
        </w:numPr>
        <w:ind w:left="0" w:firstLine="480"/>
        <w:rPr>
          <w:rFonts w:cs="Arial"/>
          <w:bCs/>
          <w:color w:val="auto"/>
          <w:sz w:val="24"/>
        </w:rPr>
      </w:pPr>
      <w:r>
        <w:rPr>
          <w:rFonts w:hint="eastAsia" w:cs="Arial"/>
          <w:bCs/>
          <w:color w:val="auto"/>
          <w:sz w:val="24"/>
        </w:rPr>
        <w:t>支持病历内容信息与病案首页信息互通，如I</w:t>
      </w:r>
      <w:r>
        <w:rPr>
          <w:rFonts w:cs="Arial"/>
          <w:bCs/>
          <w:color w:val="auto"/>
          <w:sz w:val="24"/>
        </w:rPr>
        <w:t>CD-10</w:t>
      </w:r>
      <w:r>
        <w:rPr>
          <w:rFonts w:hint="eastAsia" w:cs="Arial"/>
          <w:bCs/>
          <w:color w:val="auto"/>
          <w:sz w:val="24"/>
        </w:rPr>
        <w:t>编码。</w:t>
      </w:r>
    </w:p>
    <w:p w14:paraId="21CC0540">
      <w:pPr>
        <w:pStyle w:val="94"/>
        <w:numPr>
          <w:ilvl w:val="0"/>
          <w:numId w:val="65"/>
        </w:numPr>
        <w:ind w:left="0" w:firstLine="480"/>
        <w:rPr>
          <w:rFonts w:cs="Arial"/>
          <w:bCs/>
          <w:color w:val="auto"/>
          <w:sz w:val="24"/>
        </w:rPr>
      </w:pPr>
      <w:r>
        <w:rPr>
          <w:rFonts w:hint="eastAsia" w:cs="Arial"/>
          <w:bCs/>
          <w:color w:val="auto"/>
          <w:sz w:val="24"/>
        </w:rPr>
        <w:t>支持书写病历时调用整体模版、短语等，提高病历书写效率。</w:t>
      </w:r>
    </w:p>
    <w:p w14:paraId="4B45BE17">
      <w:pPr>
        <w:pStyle w:val="94"/>
        <w:numPr>
          <w:ilvl w:val="0"/>
          <w:numId w:val="65"/>
        </w:numPr>
        <w:ind w:left="0" w:firstLine="480"/>
        <w:rPr>
          <w:rFonts w:cs="Arial"/>
          <w:bCs/>
          <w:color w:val="auto"/>
          <w:sz w:val="24"/>
        </w:rPr>
      </w:pPr>
      <w:r>
        <w:rPr>
          <w:rFonts w:hint="eastAsia" w:cs="Arial"/>
          <w:bCs/>
          <w:color w:val="auto"/>
          <w:sz w:val="24"/>
        </w:rPr>
        <w:t>支持患者历史病历、已完成病历的整体引用与部分内容引用。</w:t>
      </w:r>
    </w:p>
    <w:p w14:paraId="10A64261">
      <w:pPr>
        <w:pStyle w:val="94"/>
        <w:numPr>
          <w:ilvl w:val="0"/>
          <w:numId w:val="65"/>
        </w:numPr>
        <w:ind w:left="0" w:firstLine="480"/>
        <w:rPr>
          <w:rFonts w:cs="Arial"/>
          <w:bCs/>
          <w:color w:val="auto"/>
          <w:sz w:val="24"/>
        </w:rPr>
      </w:pPr>
      <w:r>
        <w:rPr>
          <w:rFonts w:hint="eastAsia" w:cs="Arial"/>
          <w:bCs/>
          <w:color w:val="auto"/>
          <w:sz w:val="24"/>
        </w:rPr>
        <w:t>支持文档的基本操作，包括新建、打开、保存、另存为、剪切、复制、粘帖、选择性粘帖、撤销、重做、单选、全选、删除、清除格式、格式刷、查找和替换。</w:t>
      </w:r>
    </w:p>
    <w:p w14:paraId="1DF96DF3">
      <w:pPr>
        <w:pStyle w:val="94"/>
        <w:numPr>
          <w:ilvl w:val="0"/>
          <w:numId w:val="65"/>
        </w:numPr>
        <w:ind w:left="0" w:firstLine="480"/>
        <w:rPr>
          <w:rFonts w:cs="Arial"/>
          <w:bCs/>
          <w:color w:val="auto"/>
          <w:sz w:val="24"/>
        </w:rPr>
      </w:pPr>
      <w:r>
        <w:rPr>
          <w:rFonts w:hint="eastAsia" w:cs="Arial"/>
          <w:bCs/>
          <w:color w:val="auto"/>
          <w:sz w:val="24"/>
        </w:rPr>
        <w:t>支持控制程序内外内容的复制、粘帖操作。</w:t>
      </w:r>
    </w:p>
    <w:p w14:paraId="07165C6E">
      <w:pPr>
        <w:pStyle w:val="94"/>
        <w:numPr>
          <w:ilvl w:val="0"/>
          <w:numId w:val="65"/>
        </w:numPr>
        <w:ind w:left="0" w:firstLine="480"/>
        <w:rPr>
          <w:rFonts w:cs="Arial"/>
          <w:bCs/>
          <w:color w:val="auto"/>
          <w:sz w:val="24"/>
        </w:rPr>
      </w:pPr>
      <w:r>
        <w:rPr>
          <w:rFonts w:cs="Arial"/>
          <w:bCs/>
          <w:color w:val="auto"/>
          <w:sz w:val="24"/>
        </w:rPr>
        <w:t>支持效验是否复制同一病人来源信息</w:t>
      </w:r>
      <w:r>
        <w:rPr>
          <w:rFonts w:hint="eastAsia" w:cs="Arial"/>
          <w:bCs/>
          <w:color w:val="auto"/>
          <w:sz w:val="24"/>
        </w:rPr>
        <w:t>。</w:t>
      </w:r>
    </w:p>
    <w:p w14:paraId="473231DF">
      <w:pPr>
        <w:pStyle w:val="94"/>
        <w:numPr>
          <w:ilvl w:val="0"/>
          <w:numId w:val="65"/>
        </w:numPr>
        <w:ind w:left="0" w:firstLine="480"/>
        <w:rPr>
          <w:rFonts w:cs="Arial"/>
          <w:bCs/>
          <w:color w:val="auto"/>
          <w:sz w:val="24"/>
        </w:rPr>
      </w:pPr>
      <w:r>
        <w:rPr>
          <w:rFonts w:hint="eastAsia" w:cs="Arial"/>
          <w:bCs/>
          <w:color w:val="auto"/>
          <w:sz w:val="24"/>
        </w:rPr>
        <w:t>支持患者所有病历中相同节点内容的自动引用。</w:t>
      </w:r>
    </w:p>
    <w:p w14:paraId="35BDC2CD">
      <w:pPr>
        <w:pStyle w:val="94"/>
        <w:numPr>
          <w:ilvl w:val="0"/>
          <w:numId w:val="65"/>
        </w:numPr>
        <w:ind w:left="0" w:firstLine="480"/>
        <w:rPr>
          <w:rFonts w:cs="Arial"/>
          <w:bCs/>
          <w:color w:val="auto"/>
          <w:sz w:val="24"/>
        </w:rPr>
      </w:pPr>
      <w:r>
        <w:rPr>
          <w:rFonts w:cs="Arial"/>
          <w:bCs/>
          <w:color w:val="auto"/>
          <w:sz w:val="24"/>
        </w:rPr>
        <w:t>支持</w:t>
      </w:r>
      <w:r>
        <w:rPr>
          <w:rFonts w:hint="eastAsia" w:cs="Arial"/>
          <w:bCs/>
          <w:color w:val="auto"/>
          <w:sz w:val="24"/>
        </w:rPr>
        <w:t>数字</w:t>
      </w:r>
      <w:r>
        <w:rPr>
          <w:rFonts w:cs="Arial"/>
          <w:bCs/>
          <w:color w:val="auto"/>
          <w:sz w:val="24"/>
        </w:rPr>
        <w:t>签名</w:t>
      </w:r>
      <w:r>
        <w:rPr>
          <w:rFonts w:hint="eastAsia" w:cs="Arial"/>
          <w:bCs/>
          <w:color w:val="auto"/>
          <w:sz w:val="24"/>
        </w:rPr>
        <w:t>（CA签名）</w:t>
      </w:r>
      <w:r>
        <w:rPr>
          <w:rFonts w:cs="Arial"/>
          <w:bCs/>
          <w:color w:val="auto"/>
          <w:sz w:val="24"/>
        </w:rPr>
        <w:t>。</w:t>
      </w:r>
    </w:p>
    <w:p w14:paraId="58A27EEB">
      <w:pPr>
        <w:pStyle w:val="94"/>
        <w:numPr>
          <w:ilvl w:val="0"/>
          <w:numId w:val="65"/>
        </w:numPr>
        <w:ind w:left="0" w:firstLine="480"/>
        <w:rPr>
          <w:rFonts w:cs="Arial"/>
          <w:bCs/>
          <w:color w:val="auto"/>
          <w:sz w:val="24"/>
        </w:rPr>
      </w:pPr>
      <w:r>
        <w:rPr>
          <w:rFonts w:hint="eastAsia" w:cs="Arial"/>
          <w:bCs/>
          <w:color w:val="auto"/>
          <w:sz w:val="24"/>
        </w:rPr>
        <w:t>支持</w:t>
      </w:r>
      <w:r>
        <w:rPr>
          <w:rFonts w:cs="Arial"/>
          <w:bCs/>
          <w:color w:val="auto"/>
          <w:sz w:val="24"/>
        </w:rPr>
        <w:t>签名三级审核功能。</w:t>
      </w:r>
    </w:p>
    <w:p w14:paraId="0AD74517">
      <w:pPr>
        <w:pStyle w:val="94"/>
        <w:numPr>
          <w:ilvl w:val="0"/>
          <w:numId w:val="65"/>
        </w:numPr>
        <w:ind w:left="0" w:firstLine="480"/>
        <w:rPr>
          <w:rFonts w:cs="Arial"/>
          <w:bCs/>
          <w:color w:val="auto"/>
          <w:sz w:val="24"/>
        </w:rPr>
      </w:pPr>
      <w:r>
        <w:rPr>
          <w:rFonts w:hint="eastAsia" w:cs="Arial"/>
          <w:bCs/>
          <w:color w:val="auto"/>
          <w:sz w:val="24"/>
        </w:rPr>
        <w:t>支持住院病历四级权限管理（含实习医师、住院医师、主治医师、主任医师）。</w:t>
      </w:r>
    </w:p>
    <w:p w14:paraId="64A7A942">
      <w:pPr>
        <w:pStyle w:val="94"/>
        <w:numPr>
          <w:ilvl w:val="0"/>
          <w:numId w:val="65"/>
        </w:numPr>
        <w:ind w:left="0" w:firstLine="480"/>
        <w:rPr>
          <w:rFonts w:cs="Arial"/>
          <w:bCs/>
          <w:color w:val="auto"/>
          <w:sz w:val="24"/>
        </w:rPr>
      </w:pPr>
      <w:r>
        <w:rPr>
          <w:rFonts w:hint="eastAsia" w:cs="Arial"/>
          <w:bCs/>
          <w:color w:val="auto"/>
          <w:sz w:val="24"/>
        </w:rPr>
        <w:t>支持保留</w:t>
      </w:r>
      <w:r>
        <w:rPr>
          <w:rFonts w:cs="Arial"/>
          <w:bCs/>
          <w:color w:val="auto"/>
          <w:sz w:val="24"/>
        </w:rPr>
        <w:t>各级医师病历的修改痕迹，</w:t>
      </w:r>
      <w:r>
        <w:rPr>
          <w:rFonts w:hint="eastAsia" w:cs="Arial"/>
          <w:bCs/>
          <w:color w:val="auto"/>
          <w:sz w:val="24"/>
        </w:rPr>
        <w:t>提供</w:t>
      </w:r>
      <w:r>
        <w:rPr>
          <w:rFonts w:cs="Arial"/>
          <w:bCs/>
          <w:color w:val="auto"/>
          <w:sz w:val="24"/>
        </w:rPr>
        <w:t>修改记录打印。</w:t>
      </w:r>
    </w:p>
    <w:p w14:paraId="2F533F06">
      <w:pPr>
        <w:pStyle w:val="94"/>
        <w:numPr>
          <w:ilvl w:val="0"/>
          <w:numId w:val="65"/>
        </w:numPr>
        <w:ind w:left="0" w:firstLine="480"/>
        <w:rPr>
          <w:rFonts w:cs="Arial"/>
          <w:bCs/>
          <w:color w:val="auto"/>
          <w:sz w:val="24"/>
        </w:rPr>
      </w:pPr>
      <w:r>
        <w:rPr>
          <w:rFonts w:hint="eastAsia" w:cs="Arial"/>
          <w:bCs/>
          <w:color w:val="auto"/>
          <w:sz w:val="24"/>
        </w:rPr>
        <w:t>支持病历终末质控完成后，系统提醒病案及时归档。</w:t>
      </w:r>
    </w:p>
    <w:p w14:paraId="62992A30">
      <w:pPr>
        <w:pStyle w:val="94"/>
        <w:numPr>
          <w:ilvl w:val="0"/>
          <w:numId w:val="65"/>
        </w:numPr>
        <w:ind w:left="0" w:firstLine="480"/>
        <w:rPr>
          <w:rFonts w:cs="Arial"/>
          <w:bCs/>
          <w:color w:val="auto"/>
          <w:sz w:val="24"/>
        </w:rPr>
      </w:pPr>
      <w:r>
        <w:rPr>
          <w:rFonts w:hint="eastAsia" w:cs="Arial"/>
          <w:bCs/>
          <w:color w:val="auto"/>
          <w:sz w:val="24"/>
        </w:rPr>
        <w:t>支持集成第三方知识库，并提供相关资料查询。</w:t>
      </w:r>
    </w:p>
    <w:p w14:paraId="50CFF42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病程记录</w:t>
      </w:r>
      <w:bookmarkEnd w:id="172"/>
    </w:p>
    <w:p w14:paraId="05549534">
      <w:pPr>
        <w:pStyle w:val="94"/>
        <w:numPr>
          <w:ilvl w:val="0"/>
          <w:numId w:val="66"/>
        </w:numPr>
        <w:ind w:left="0" w:firstLine="480"/>
        <w:rPr>
          <w:rFonts w:cs="Arial"/>
          <w:bCs/>
          <w:color w:val="auto"/>
          <w:sz w:val="24"/>
        </w:rPr>
      </w:pPr>
      <w:bookmarkStart w:id="173" w:name="_Toc106372987"/>
      <w:r>
        <w:rPr>
          <w:rFonts w:cs="Arial"/>
          <w:bCs/>
          <w:color w:val="auto"/>
          <w:sz w:val="24"/>
        </w:rPr>
        <w:t>支持</w:t>
      </w:r>
      <w:r>
        <w:rPr>
          <w:rFonts w:hint="eastAsia" w:cs="Arial"/>
          <w:bCs/>
          <w:color w:val="auto"/>
          <w:sz w:val="24"/>
        </w:rPr>
        <w:t>创建病程记录相关病历，如：首次病程记录、上级医师查房记录、日常病程记录、操作记录、交接班记录、转入转出记录、术前小结、术前讨论记录、疑难病例讨论记录、死亡病历讨论记录、输血病程记录、阶段小结、抢救记录；</w:t>
      </w:r>
    </w:p>
    <w:p w14:paraId="7C71B79C">
      <w:pPr>
        <w:pStyle w:val="94"/>
        <w:numPr>
          <w:ilvl w:val="0"/>
          <w:numId w:val="66"/>
        </w:numPr>
        <w:ind w:left="0" w:firstLine="480"/>
        <w:rPr>
          <w:rFonts w:cs="Arial"/>
          <w:bCs/>
          <w:color w:val="auto"/>
          <w:sz w:val="24"/>
        </w:rPr>
      </w:pPr>
      <w:r>
        <w:rPr>
          <w:rFonts w:hint="eastAsia" w:cs="Arial"/>
          <w:bCs/>
          <w:color w:val="auto"/>
          <w:sz w:val="24"/>
        </w:rPr>
        <w:t>支持所见即所得的打印和打印预览，包含续打、整洁打印、区域选择打印。</w:t>
      </w:r>
    </w:p>
    <w:p w14:paraId="4214E05B">
      <w:pPr>
        <w:pStyle w:val="94"/>
        <w:numPr>
          <w:ilvl w:val="0"/>
          <w:numId w:val="66"/>
        </w:numPr>
        <w:ind w:left="0" w:firstLine="480"/>
        <w:rPr>
          <w:rFonts w:cs="Arial"/>
          <w:bCs/>
          <w:color w:val="auto"/>
          <w:sz w:val="24"/>
        </w:rPr>
      </w:pPr>
      <w:r>
        <w:rPr>
          <w:rFonts w:cs="Arial"/>
          <w:bCs/>
          <w:color w:val="auto"/>
          <w:sz w:val="24"/>
        </w:rPr>
        <w:t>支持病程记录连续性展示及打印。</w:t>
      </w:r>
    </w:p>
    <w:p w14:paraId="42DD85EC">
      <w:pPr>
        <w:pStyle w:val="94"/>
        <w:numPr>
          <w:ilvl w:val="0"/>
          <w:numId w:val="66"/>
        </w:numPr>
        <w:ind w:left="0" w:firstLine="480"/>
        <w:rPr>
          <w:rFonts w:cs="Arial"/>
          <w:bCs/>
          <w:color w:val="auto"/>
          <w:sz w:val="24"/>
        </w:rPr>
      </w:pPr>
      <w:r>
        <w:rPr>
          <w:rFonts w:hint="eastAsia" w:cs="Arial"/>
          <w:bCs/>
          <w:color w:val="auto"/>
          <w:sz w:val="24"/>
        </w:rPr>
        <w:t>支持修改病历创建时间。</w:t>
      </w:r>
    </w:p>
    <w:p w14:paraId="12F79E71">
      <w:pPr>
        <w:pStyle w:val="94"/>
        <w:numPr>
          <w:ilvl w:val="0"/>
          <w:numId w:val="66"/>
        </w:numPr>
        <w:ind w:left="0" w:firstLine="480"/>
        <w:rPr>
          <w:rFonts w:cs="Arial"/>
          <w:bCs/>
          <w:color w:val="auto"/>
          <w:sz w:val="24"/>
        </w:rPr>
      </w:pPr>
      <w:r>
        <w:rPr>
          <w:rFonts w:cs="Arial"/>
          <w:bCs/>
          <w:color w:val="auto"/>
          <w:sz w:val="24"/>
        </w:rPr>
        <w:t>支持</w:t>
      </w:r>
      <w:r>
        <w:rPr>
          <w:rFonts w:hint="eastAsia" w:cs="Arial"/>
          <w:bCs/>
          <w:color w:val="auto"/>
          <w:sz w:val="24"/>
        </w:rPr>
        <w:t>修改</w:t>
      </w:r>
      <w:r>
        <w:rPr>
          <w:rFonts w:cs="Arial"/>
          <w:bCs/>
          <w:color w:val="auto"/>
          <w:sz w:val="24"/>
        </w:rPr>
        <w:t>上级医师查房记录上级医师信息。</w:t>
      </w:r>
    </w:p>
    <w:p w14:paraId="359B082E">
      <w:pPr>
        <w:pStyle w:val="94"/>
        <w:numPr>
          <w:ilvl w:val="0"/>
          <w:numId w:val="66"/>
        </w:numPr>
        <w:ind w:left="0" w:firstLine="480"/>
        <w:rPr>
          <w:rFonts w:cs="Arial"/>
          <w:bCs/>
          <w:color w:val="auto"/>
          <w:sz w:val="24"/>
        </w:rPr>
      </w:pPr>
      <w:r>
        <w:rPr>
          <w:rFonts w:cs="Arial"/>
          <w:bCs/>
          <w:color w:val="auto"/>
          <w:sz w:val="24"/>
        </w:rPr>
        <w:t>支持定义上级医师级别。</w:t>
      </w:r>
    </w:p>
    <w:p w14:paraId="1E6CC9AF">
      <w:pPr>
        <w:pStyle w:val="94"/>
        <w:numPr>
          <w:ilvl w:val="0"/>
          <w:numId w:val="66"/>
        </w:numPr>
        <w:ind w:left="0" w:firstLine="480"/>
        <w:rPr>
          <w:rFonts w:cs="Arial"/>
          <w:bCs/>
          <w:color w:val="auto"/>
          <w:sz w:val="24"/>
        </w:rPr>
      </w:pPr>
      <w:r>
        <w:rPr>
          <w:rFonts w:cs="Arial"/>
          <w:bCs/>
          <w:color w:val="auto"/>
          <w:sz w:val="24"/>
        </w:rPr>
        <w:t>支持定义指定的病程记录隔页打印。</w:t>
      </w:r>
    </w:p>
    <w:p w14:paraId="63C9995B">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病历引用</w:t>
      </w:r>
      <w:bookmarkEnd w:id="173"/>
    </w:p>
    <w:p w14:paraId="621DF0B6">
      <w:pPr>
        <w:pStyle w:val="94"/>
        <w:numPr>
          <w:ilvl w:val="0"/>
          <w:numId w:val="67"/>
        </w:numPr>
        <w:ind w:left="0" w:firstLine="480"/>
        <w:rPr>
          <w:rFonts w:cs="Arial"/>
          <w:bCs/>
          <w:color w:val="auto"/>
          <w:sz w:val="24"/>
        </w:rPr>
      </w:pPr>
      <w:r>
        <w:rPr>
          <w:rFonts w:hint="eastAsia" w:cs="Arial"/>
          <w:bCs/>
          <w:color w:val="auto"/>
          <w:sz w:val="24"/>
        </w:rPr>
        <w:t>支持病历书写时候可以快速查询当前患者住院期间的各种检验、检查、医嘱等临床数据，可以选择导入到病历文档中。</w:t>
      </w:r>
    </w:p>
    <w:p w14:paraId="524896CC">
      <w:pPr>
        <w:pStyle w:val="94"/>
        <w:numPr>
          <w:ilvl w:val="0"/>
          <w:numId w:val="67"/>
        </w:numPr>
        <w:ind w:left="0" w:firstLine="480"/>
        <w:rPr>
          <w:rFonts w:cs="Arial"/>
          <w:bCs/>
          <w:color w:val="auto"/>
          <w:sz w:val="24"/>
        </w:rPr>
      </w:pPr>
      <w:r>
        <w:rPr>
          <w:rFonts w:hint="eastAsia" w:cs="Arial"/>
          <w:bCs/>
          <w:color w:val="auto"/>
          <w:sz w:val="24"/>
        </w:rPr>
        <w:t>提供临床诊疗知识库引用功能。</w:t>
      </w:r>
    </w:p>
    <w:p w14:paraId="029A3062">
      <w:pPr>
        <w:pStyle w:val="94"/>
        <w:numPr>
          <w:ilvl w:val="0"/>
          <w:numId w:val="67"/>
        </w:numPr>
        <w:ind w:left="0" w:firstLine="480"/>
        <w:rPr>
          <w:rFonts w:cs="Arial"/>
          <w:bCs/>
          <w:color w:val="auto"/>
          <w:sz w:val="24"/>
        </w:rPr>
      </w:pPr>
      <w:r>
        <w:rPr>
          <w:rFonts w:hint="eastAsia" w:cs="Arial"/>
          <w:bCs/>
          <w:color w:val="auto"/>
          <w:sz w:val="24"/>
        </w:rPr>
        <w:t>支持书写病历时调用整体模版、短语等，提高病历书写效率。</w:t>
      </w:r>
    </w:p>
    <w:p w14:paraId="764F5AB9">
      <w:pPr>
        <w:pStyle w:val="94"/>
        <w:numPr>
          <w:ilvl w:val="0"/>
          <w:numId w:val="67"/>
        </w:numPr>
        <w:ind w:left="0" w:firstLine="480"/>
        <w:rPr>
          <w:rFonts w:cs="Arial"/>
          <w:bCs/>
          <w:color w:val="auto"/>
          <w:sz w:val="24"/>
        </w:rPr>
      </w:pPr>
      <w:r>
        <w:rPr>
          <w:rFonts w:hint="eastAsia" w:cs="Arial"/>
          <w:bCs/>
          <w:color w:val="auto"/>
          <w:sz w:val="24"/>
        </w:rPr>
        <w:t>支持患者历史病历、已完成病历的整体引用与部分内容引用。</w:t>
      </w:r>
    </w:p>
    <w:p w14:paraId="73937221">
      <w:pPr>
        <w:pStyle w:val="94"/>
        <w:numPr>
          <w:ilvl w:val="0"/>
          <w:numId w:val="67"/>
        </w:numPr>
        <w:ind w:left="0" w:firstLine="480"/>
        <w:rPr>
          <w:rFonts w:cs="Arial"/>
          <w:bCs/>
          <w:color w:val="auto"/>
          <w:sz w:val="24"/>
        </w:rPr>
      </w:pPr>
      <w:r>
        <w:rPr>
          <w:rFonts w:hint="eastAsia" w:cs="Arial"/>
          <w:bCs/>
          <w:color w:val="auto"/>
          <w:sz w:val="24"/>
        </w:rPr>
        <w:t>支持患者所有病历中相同节点内容的自动引用。</w:t>
      </w:r>
    </w:p>
    <w:p w14:paraId="60D9B283">
      <w:pPr>
        <w:pStyle w:val="94"/>
        <w:numPr>
          <w:ilvl w:val="0"/>
          <w:numId w:val="67"/>
        </w:numPr>
        <w:ind w:left="0" w:firstLine="480"/>
        <w:rPr>
          <w:rFonts w:cs="Arial"/>
          <w:bCs/>
          <w:color w:val="auto"/>
          <w:sz w:val="24"/>
        </w:rPr>
      </w:pPr>
      <w:r>
        <w:rPr>
          <w:rFonts w:hint="eastAsia" w:cs="Arial"/>
          <w:bCs/>
          <w:color w:val="auto"/>
          <w:sz w:val="24"/>
        </w:rPr>
        <w:t>支持</w:t>
      </w:r>
      <w:r>
        <w:rPr>
          <w:rFonts w:cs="Arial"/>
          <w:bCs/>
          <w:color w:val="auto"/>
          <w:sz w:val="24"/>
        </w:rPr>
        <w:t>调用</w:t>
      </w:r>
      <w:r>
        <w:rPr>
          <w:rFonts w:hint="eastAsia" w:cs="Arial"/>
          <w:bCs/>
          <w:color w:val="auto"/>
          <w:sz w:val="24"/>
        </w:rPr>
        <w:t>检验报告</w:t>
      </w:r>
      <w:r>
        <w:rPr>
          <w:rFonts w:cs="Arial"/>
          <w:bCs/>
          <w:color w:val="auto"/>
          <w:sz w:val="24"/>
        </w:rPr>
        <w:t>、</w:t>
      </w:r>
      <w:r>
        <w:rPr>
          <w:rFonts w:hint="eastAsia" w:cs="Arial"/>
          <w:bCs/>
          <w:color w:val="auto"/>
          <w:sz w:val="24"/>
        </w:rPr>
        <w:t>检查报告</w:t>
      </w:r>
      <w:r>
        <w:rPr>
          <w:rFonts w:cs="Arial"/>
          <w:bCs/>
          <w:color w:val="auto"/>
          <w:sz w:val="24"/>
        </w:rPr>
        <w:t>、医嘱内容</w:t>
      </w:r>
      <w:r>
        <w:rPr>
          <w:rFonts w:hint="eastAsia" w:cs="Arial"/>
          <w:bCs/>
          <w:color w:val="auto"/>
          <w:sz w:val="24"/>
        </w:rPr>
        <w:t>、护理记录等信息。</w:t>
      </w:r>
    </w:p>
    <w:p w14:paraId="51DB2C3A">
      <w:pPr>
        <w:pStyle w:val="94"/>
        <w:numPr>
          <w:ilvl w:val="0"/>
          <w:numId w:val="67"/>
        </w:numPr>
        <w:ind w:left="0" w:firstLine="480"/>
        <w:rPr>
          <w:rFonts w:cs="Arial"/>
          <w:bCs/>
          <w:color w:val="auto"/>
          <w:sz w:val="24"/>
        </w:rPr>
      </w:pPr>
      <w:r>
        <w:rPr>
          <w:rFonts w:cs="Arial"/>
          <w:bCs/>
          <w:color w:val="auto"/>
          <w:sz w:val="24"/>
        </w:rPr>
        <w:t>支持快速插入特殊符号</w:t>
      </w:r>
      <w:r>
        <w:rPr>
          <w:rFonts w:hint="eastAsia" w:cs="Arial"/>
          <w:bCs/>
          <w:color w:val="auto"/>
          <w:sz w:val="24"/>
        </w:rPr>
        <w:t>。</w:t>
      </w:r>
    </w:p>
    <w:p w14:paraId="14B12D7A">
      <w:pPr>
        <w:pStyle w:val="94"/>
        <w:numPr>
          <w:ilvl w:val="0"/>
          <w:numId w:val="67"/>
        </w:numPr>
        <w:ind w:left="0" w:firstLine="480"/>
        <w:rPr>
          <w:rFonts w:cs="Arial"/>
          <w:bCs/>
          <w:color w:val="auto"/>
          <w:sz w:val="24"/>
        </w:rPr>
      </w:pPr>
      <w:r>
        <w:rPr>
          <w:rFonts w:hint="eastAsia" w:cs="Arial"/>
          <w:bCs/>
          <w:color w:val="auto"/>
          <w:sz w:val="24"/>
        </w:rPr>
        <w:t>支持引用检验结果时选择性加入、全部加入、只加入异常项目。</w:t>
      </w:r>
    </w:p>
    <w:p w14:paraId="50B8DD0F">
      <w:pPr>
        <w:pStyle w:val="94"/>
        <w:numPr>
          <w:ilvl w:val="0"/>
          <w:numId w:val="67"/>
        </w:numPr>
        <w:ind w:left="0" w:firstLine="480"/>
        <w:rPr>
          <w:rFonts w:cs="Arial"/>
          <w:bCs/>
          <w:color w:val="auto"/>
          <w:sz w:val="24"/>
        </w:rPr>
      </w:pPr>
      <w:r>
        <w:rPr>
          <w:rFonts w:hint="eastAsia" w:cs="Arial"/>
          <w:bCs/>
          <w:color w:val="auto"/>
          <w:sz w:val="24"/>
        </w:rPr>
        <w:t>提供个人、科室、公共级模板，提供模板检索功能，医生可以快速引用需要的模板。维护好的元素也可通过左侧进行快速引用。</w:t>
      </w:r>
    </w:p>
    <w:p w14:paraId="6F49BC08">
      <w:pPr>
        <w:pStyle w:val="14"/>
        <w:bidi w:val="0"/>
        <w:rPr>
          <w:color w:val="auto"/>
        </w:rPr>
      </w:pPr>
      <w:r>
        <w:rPr>
          <w:rFonts w:hint="eastAsia"/>
          <w:color w:val="auto"/>
          <w:lang w:val="en-US" w:eastAsia="zh-CN"/>
        </w:rPr>
        <w:t xml:space="preserve"> </w:t>
      </w:r>
      <w:r>
        <w:rPr>
          <w:rFonts w:hint="eastAsia"/>
          <w:color w:val="auto"/>
        </w:rPr>
        <w:t>临床路径系统</w:t>
      </w:r>
    </w:p>
    <w:p w14:paraId="2F999B29">
      <w:pPr>
        <w:bidi w:val="0"/>
        <w:rPr>
          <w:color w:val="auto"/>
        </w:rPr>
      </w:pPr>
      <w:r>
        <w:rPr>
          <w:color w:val="auto"/>
        </w:rPr>
        <w:t>通过标准化路径导入、智能入径判断及一体化医嘱联动，实现诊疗流程规范化与执行自动化，支持变异监控与动态调整</w:t>
      </w:r>
      <w:r>
        <w:rPr>
          <w:rFonts w:hint="eastAsia"/>
          <w:color w:val="auto"/>
          <w:lang w:eastAsia="zh-CN"/>
        </w:rPr>
        <w:t>，</w:t>
      </w:r>
      <w:r>
        <w:rPr>
          <w:color w:val="auto"/>
        </w:rPr>
        <w:t>有效提升医疗质量、控制费用并缩短住院周期。</w:t>
      </w:r>
    </w:p>
    <w:p w14:paraId="7D68728B">
      <w:pPr>
        <w:bidi w:val="0"/>
        <w:rPr>
          <w:color w:val="auto"/>
        </w:rPr>
      </w:pPr>
      <w:r>
        <w:rPr>
          <w:rFonts w:hint="eastAsia"/>
          <w:color w:val="auto"/>
          <w:lang w:val="en-US" w:eastAsia="zh-CN"/>
        </w:rPr>
        <w:t>系统数量满足医院使用需求。</w:t>
      </w:r>
    </w:p>
    <w:p w14:paraId="5A4D3324">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3C24663B">
      <w:pPr>
        <w:pStyle w:val="341"/>
        <w:spacing w:beforeLines="0"/>
        <w:ind w:firstLine="482"/>
        <w:rPr>
          <w:rFonts w:hint="eastAsia" w:ascii="宋体" w:hAnsi="宋体" w:cs="仿宋"/>
          <w:b/>
          <w:bCs/>
          <w:color w:val="auto"/>
          <w:sz w:val="24"/>
          <w:szCs w:val="24"/>
        </w:rPr>
      </w:pPr>
      <w:bookmarkStart w:id="174" w:name="_Toc106372991"/>
      <w:r>
        <w:rPr>
          <w:rFonts w:hint="eastAsia" w:ascii="宋体" w:hAnsi="宋体" w:cs="仿宋"/>
          <w:b/>
          <w:bCs/>
          <w:color w:val="auto"/>
          <w:sz w:val="24"/>
          <w:szCs w:val="24"/>
        </w:rPr>
        <w:t>基础路径设置</w:t>
      </w:r>
      <w:bookmarkEnd w:id="174"/>
    </w:p>
    <w:p w14:paraId="45B1FCAC">
      <w:pPr>
        <w:pStyle w:val="94"/>
        <w:numPr>
          <w:ilvl w:val="0"/>
          <w:numId w:val="68"/>
        </w:numPr>
        <w:ind w:left="0" w:firstLine="480"/>
        <w:rPr>
          <w:rFonts w:cs="Arial"/>
          <w:bCs/>
          <w:color w:val="auto"/>
          <w:sz w:val="24"/>
        </w:rPr>
      </w:pPr>
      <w:bookmarkStart w:id="175" w:name="_Toc106372992"/>
      <w:r>
        <w:rPr>
          <w:rFonts w:hint="eastAsia" w:cs="Arial"/>
          <w:bCs/>
          <w:color w:val="auto"/>
          <w:sz w:val="24"/>
        </w:rPr>
        <w:t>支持按照国家标准路径进行数据导入。</w:t>
      </w:r>
    </w:p>
    <w:p w14:paraId="5D0071F5">
      <w:pPr>
        <w:pStyle w:val="94"/>
        <w:numPr>
          <w:ilvl w:val="0"/>
          <w:numId w:val="68"/>
        </w:numPr>
        <w:ind w:left="0" w:firstLine="480"/>
        <w:rPr>
          <w:rFonts w:cs="Arial"/>
          <w:bCs/>
          <w:color w:val="auto"/>
          <w:sz w:val="24"/>
        </w:rPr>
      </w:pPr>
      <w:r>
        <w:rPr>
          <w:rFonts w:hint="eastAsia" w:cs="Arial"/>
          <w:bCs/>
          <w:color w:val="auto"/>
          <w:sz w:val="24"/>
        </w:rPr>
        <w:t>支持定义路径标准、诊断依据、路径说明、变异信息等。</w:t>
      </w:r>
    </w:p>
    <w:p w14:paraId="6D2D4BFC">
      <w:pPr>
        <w:pStyle w:val="94"/>
        <w:numPr>
          <w:ilvl w:val="0"/>
          <w:numId w:val="68"/>
        </w:numPr>
        <w:ind w:left="0" w:firstLine="480"/>
        <w:rPr>
          <w:rFonts w:cs="Arial"/>
          <w:bCs/>
          <w:color w:val="auto"/>
          <w:sz w:val="24"/>
        </w:rPr>
      </w:pPr>
      <w:r>
        <w:rPr>
          <w:rFonts w:cs="Arial"/>
          <w:bCs/>
          <w:color w:val="auto"/>
          <w:sz w:val="24"/>
        </w:rPr>
        <w:t>支持路径绑定医嘱</w:t>
      </w:r>
      <w:r>
        <w:rPr>
          <w:rFonts w:hint="eastAsia" w:cs="Arial"/>
          <w:bCs/>
          <w:color w:val="auto"/>
          <w:sz w:val="24"/>
        </w:rPr>
        <w:t>、</w:t>
      </w:r>
      <w:r>
        <w:rPr>
          <w:rFonts w:cs="Arial"/>
          <w:bCs/>
          <w:color w:val="auto"/>
          <w:sz w:val="24"/>
        </w:rPr>
        <w:t>病历</w:t>
      </w:r>
      <w:r>
        <w:rPr>
          <w:rFonts w:hint="eastAsia" w:cs="Arial"/>
          <w:bCs/>
          <w:color w:val="auto"/>
          <w:sz w:val="24"/>
        </w:rPr>
        <w:t>、</w:t>
      </w:r>
      <w:r>
        <w:rPr>
          <w:rFonts w:cs="Arial"/>
          <w:bCs/>
          <w:color w:val="auto"/>
          <w:sz w:val="24"/>
        </w:rPr>
        <w:t>检查等项目</w:t>
      </w:r>
      <w:r>
        <w:rPr>
          <w:rFonts w:hint="eastAsia" w:cs="Arial"/>
          <w:bCs/>
          <w:color w:val="auto"/>
          <w:sz w:val="24"/>
        </w:rPr>
        <w:t>。</w:t>
      </w:r>
    </w:p>
    <w:p w14:paraId="21675A27">
      <w:pPr>
        <w:pStyle w:val="94"/>
        <w:numPr>
          <w:ilvl w:val="0"/>
          <w:numId w:val="68"/>
        </w:numPr>
        <w:ind w:left="0" w:firstLine="480"/>
        <w:rPr>
          <w:rFonts w:cs="Arial"/>
          <w:bCs/>
          <w:color w:val="auto"/>
          <w:sz w:val="24"/>
        </w:rPr>
      </w:pPr>
      <w:r>
        <w:rPr>
          <w:rFonts w:hint="eastAsia" w:cs="Arial"/>
          <w:bCs/>
          <w:color w:val="auto"/>
          <w:sz w:val="24"/>
        </w:rPr>
        <w:t>支持路径分发到制定科室。</w:t>
      </w:r>
    </w:p>
    <w:p w14:paraId="2B3FD4F8">
      <w:pPr>
        <w:pStyle w:val="94"/>
        <w:numPr>
          <w:ilvl w:val="0"/>
          <w:numId w:val="68"/>
        </w:numPr>
        <w:ind w:left="0" w:firstLine="480"/>
        <w:rPr>
          <w:rFonts w:cs="Arial"/>
          <w:bCs/>
          <w:color w:val="auto"/>
          <w:sz w:val="24"/>
        </w:rPr>
      </w:pPr>
      <w:r>
        <w:rPr>
          <w:rFonts w:cs="Arial"/>
          <w:bCs/>
          <w:color w:val="auto"/>
          <w:sz w:val="24"/>
        </w:rPr>
        <w:t>支持定义路径费用标准</w:t>
      </w:r>
      <w:r>
        <w:rPr>
          <w:rFonts w:hint="eastAsia" w:cs="Arial"/>
          <w:bCs/>
          <w:color w:val="auto"/>
          <w:sz w:val="24"/>
        </w:rPr>
        <w:t>、</w:t>
      </w:r>
      <w:r>
        <w:rPr>
          <w:rFonts w:cs="Arial"/>
          <w:bCs/>
          <w:color w:val="auto"/>
          <w:sz w:val="24"/>
        </w:rPr>
        <w:t>入径规则</w:t>
      </w:r>
      <w:r>
        <w:rPr>
          <w:rFonts w:hint="eastAsia" w:cs="Arial"/>
          <w:bCs/>
          <w:color w:val="auto"/>
          <w:sz w:val="24"/>
        </w:rPr>
        <w:t>、</w:t>
      </w:r>
      <w:r>
        <w:rPr>
          <w:rFonts w:cs="Arial"/>
          <w:bCs/>
          <w:color w:val="auto"/>
          <w:sz w:val="24"/>
        </w:rPr>
        <w:t>标准住院日</w:t>
      </w:r>
      <w:r>
        <w:rPr>
          <w:rFonts w:hint="eastAsia" w:cs="Arial"/>
          <w:bCs/>
          <w:color w:val="auto"/>
          <w:sz w:val="24"/>
        </w:rPr>
        <w:t>、</w:t>
      </w:r>
      <w:r>
        <w:rPr>
          <w:rFonts w:cs="Arial"/>
          <w:bCs/>
          <w:color w:val="auto"/>
          <w:sz w:val="24"/>
        </w:rPr>
        <w:t>最大住院日</w:t>
      </w:r>
      <w:r>
        <w:rPr>
          <w:rFonts w:hint="eastAsia" w:cs="Arial"/>
          <w:bCs/>
          <w:color w:val="auto"/>
          <w:sz w:val="24"/>
        </w:rPr>
        <w:t>。</w:t>
      </w:r>
    </w:p>
    <w:p w14:paraId="53FCE8C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一体化临床路径</w:t>
      </w:r>
      <w:bookmarkEnd w:id="175"/>
    </w:p>
    <w:p w14:paraId="512F4923">
      <w:pPr>
        <w:pStyle w:val="94"/>
        <w:numPr>
          <w:ilvl w:val="0"/>
          <w:numId w:val="69"/>
        </w:numPr>
        <w:ind w:left="0" w:firstLine="480"/>
        <w:rPr>
          <w:rFonts w:cs="Arial"/>
          <w:bCs/>
          <w:color w:val="auto"/>
          <w:sz w:val="24"/>
        </w:rPr>
      </w:pPr>
      <w:bookmarkStart w:id="176" w:name="_Toc106372993"/>
      <w:r>
        <w:rPr>
          <w:rFonts w:hint="eastAsia" w:cs="Arial"/>
          <w:bCs/>
          <w:color w:val="auto"/>
          <w:sz w:val="24"/>
        </w:rPr>
        <w:t>支持</w:t>
      </w:r>
      <w:r>
        <w:rPr>
          <w:rFonts w:cs="Arial"/>
          <w:bCs/>
          <w:color w:val="auto"/>
          <w:sz w:val="24"/>
        </w:rPr>
        <w:t>临床路径信息在住院医师界面一体化展现</w:t>
      </w:r>
      <w:r>
        <w:rPr>
          <w:rFonts w:hint="eastAsia" w:cs="Arial"/>
          <w:bCs/>
          <w:color w:val="auto"/>
          <w:sz w:val="24"/>
        </w:rPr>
        <w:t>。</w:t>
      </w:r>
    </w:p>
    <w:p w14:paraId="0E3A4855">
      <w:pPr>
        <w:pStyle w:val="94"/>
        <w:numPr>
          <w:ilvl w:val="0"/>
          <w:numId w:val="69"/>
        </w:numPr>
        <w:ind w:left="0" w:firstLine="480"/>
        <w:rPr>
          <w:rFonts w:cs="Arial"/>
          <w:bCs/>
          <w:color w:val="auto"/>
          <w:sz w:val="24"/>
        </w:rPr>
      </w:pPr>
      <w:r>
        <w:rPr>
          <w:rFonts w:hint="eastAsia" w:cs="Arial"/>
          <w:bCs/>
          <w:color w:val="auto"/>
          <w:sz w:val="24"/>
        </w:rPr>
        <w:t xml:space="preserve">进入路径：根据诊断等相关指标自动判断病人是否应该加入临床路径。 </w:t>
      </w:r>
    </w:p>
    <w:p w14:paraId="4D8CBEC6">
      <w:pPr>
        <w:pStyle w:val="94"/>
        <w:numPr>
          <w:ilvl w:val="0"/>
          <w:numId w:val="69"/>
        </w:numPr>
        <w:ind w:left="0" w:firstLine="480"/>
        <w:rPr>
          <w:rFonts w:cs="Arial"/>
          <w:bCs/>
          <w:color w:val="auto"/>
          <w:sz w:val="24"/>
        </w:rPr>
      </w:pPr>
      <w:r>
        <w:rPr>
          <w:rFonts w:hint="eastAsia" w:cs="Arial"/>
          <w:bCs/>
          <w:color w:val="auto"/>
          <w:sz w:val="24"/>
        </w:rPr>
        <w:t xml:space="preserve">当天提醒：路径中制定的内容，当天提醒医生按时完成。 </w:t>
      </w:r>
    </w:p>
    <w:p w14:paraId="4CF317FC">
      <w:pPr>
        <w:pStyle w:val="94"/>
        <w:numPr>
          <w:ilvl w:val="0"/>
          <w:numId w:val="69"/>
        </w:numPr>
        <w:ind w:left="0" w:firstLine="480"/>
        <w:rPr>
          <w:rFonts w:cs="Arial"/>
          <w:bCs/>
          <w:color w:val="auto"/>
          <w:sz w:val="24"/>
        </w:rPr>
      </w:pPr>
      <w:r>
        <w:rPr>
          <w:rFonts w:hint="eastAsia" w:cs="Arial"/>
          <w:bCs/>
          <w:color w:val="auto"/>
          <w:sz w:val="24"/>
        </w:rPr>
        <w:t xml:space="preserve">预约安排：根据路径中检查内容事先与医院的检查科室进行预约。 </w:t>
      </w:r>
    </w:p>
    <w:p w14:paraId="275AE02B">
      <w:pPr>
        <w:pStyle w:val="94"/>
        <w:numPr>
          <w:ilvl w:val="0"/>
          <w:numId w:val="69"/>
        </w:numPr>
        <w:ind w:left="0" w:firstLine="480"/>
        <w:rPr>
          <w:rFonts w:cs="Arial"/>
          <w:bCs/>
          <w:color w:val="auto"/>
          <w:sz w:val="24"/>
        </w:rPr>
      </w:pPr>
      <w:r>
        <w:rPr>
          <w:rFonts w:hint="eastAsia" w:cs="Arial"/>
          <w:bCs/>
          <w:color w:val="auto"/>
          <w:sz w:val="24"/>
        </w:rPr>
        <w:t>路径执行判断：根据医生医嘱信息，病历信息，自动勾选路径信息。</w:t>
      </w:r>
    </w:p>
    <w:p w14:paraId="1FD12AB3">
      <w:pPr>
        <w:pStyle w:val="94"/>
        <w:numPr>
          <w:ilvl w:val="0"/>
          <w:numId w:val="69"/>
        </w:numPr>
        <w:ind w:left="0" w:firstLine="480"/>
        <w:rPr>
          <w:rFonts w:cs="Arial"/>
          <w:bCs/>
          <w:color w:val="auto"/>
          <w:sz w:val="24"/>
        </w:rPr>
      </w:pPr>
      <w:r>
        <w:rPr>
          <w:rFonts w:hint="eastAsia" w:cs="Arial"/>
          <w:bCs/>
          <w:color w:val="auto"/>
          <w:sz w:val="24"/>
        </w:rPr>
        <w:t xml:space="preserve">变异记录：路径执行过程中发生与路径变异不一致的地方，记录变异原因。 </w:t>
      </w:r>
    </w:p>
    <w:p w14:paraId="552B553B">
      <w:pPr>
        <w:pStyle w:val="94"/>
        <w:numPr>
          <w:ilvl w:val="0"/>
          <w:numId w:val="69"/>
        </w:numPr>
        <w:ind w:left="0" w:firstLine="480"/>
        <w:rPr>
          <w:rFonts w:cs="Arial"/>
          <w:bCs/>
          <w:color w:val="auto"/>
          <w:sz w:val="24"/>
        </w:rPr>
      </w:pPr>
      <w:r>
        <w:rPr>
          <w:rFonts w:hint="eastAsia" w:cs="Arial"/>
          <w:bCs/>
          <w:color w:val="auto"/>
          <w:sz w:val="24"/>
        </w:rPr>
        <w:t>路径修改：在执行过程中可对路径的内容进行修改。</w:t>
      </w:r>
    </w:p>
    <w:p w14:paraId="13A1112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诊疗包</w:t>
      </w:r>
      <w:bookmarkEnd w:id="176"/>
    </w:p>
    <w:p w14:paraId="556E5E1E">
      <w:pPr>
        <w:pStyle w:val="94"/>
        <w:numPr>
          <w:ilvl w:val="0"/>
          <w:numId w:val="70"/>
        </w:numPr>
        <w:ind w:left="0" w:firstLine="480"/>
        <w:rPr>
          <w:rFonts w:cs="Arial"/>
          <w:bCs/>
          <w:color w:val="auto"/>
          <w:sz w:val="24"/>
        </w:rPr>
      </w:pPr>
      <w:r>
        <w:rPr>
          <w:rFonts w:hint="eastAsia" w:cs="Arial"/>
          <w:bCs/>
          <w:color w:val="auto"/>
          <w:sz w:val="24"/>
        </w:rPr>
        <w:t xml:space="preserve">定义路径内容（含诊疗包）：按照每天的检查、治疗内容定义路径中的内容。可定义当天的预计目标、当天的病人须知、当天的护理措施、当天的每项检查和治疗的预期效果。 </w:t>
      </w:r>
    </w:p>
    <w:p w14:paraId="158727B5">
      <w:pPr>
        <w:pStyle w:val="94"/>
        <w:numPr>
          <w:ilvl w:val="0"/>
          <w:numId w:val="70"/>
        </w:numPr>
        <w:ind w:left="0" w:firstLine="480"/>
        <w:rPr>
          <w:rFonts w:cs="Arial"/>
          <w:bCs/>
          <w:color w:val="auto"/>
          <w:sz w:val="24"/>
        </w:rPr>
      </w:pPr>
      <w:r>
        <w:rPr>
          <w:rFonts w:hint="eastAsia" w:cs="Arial"/>
          <w:bCs/>
          <w:color w:val="auto"/>
          <w:sz w:val="24"/>
        </w:rPr>
        <w:t>诊疗包使用规则：由医务科制定分支路径内容，医生开具分支路径内项目不会产生变异，临床医生也可申请添加分支路径内容，由医务科审批后即可加入分支路径中。</w:t>
      </w:r>
    </w:p>
    <w:p w14:paraId="6EC761BB">
      <w:pPr>
        <w:pStyle w:val="14"/>
        <w:bidi w:val="0"/>
        <w:rPr>
          <w:color w:val="auto"/>
        </w:rPr>
      </w:pPr>
      <w:r>
        <w:rPr>
          <w:rFonts w:hint="eastAsia"/>
          <w:color w:val="auto"/>
          <w:lang w:val="en-US" w:eastAsia="zh-CN"/>
        </w:rPr>
        <w:t xml:space="preserve"> </w:t>
      </w:r>
      <w:r>
        <w:rPr>
          <w:rFonts w:hint="eastAsia"/>
          <w:color w:val="auto"/>
        </w:rPr>
        <w:t>住院护理记录</w:t>
      </w:r>
    </w:p>
    <w:p w14:paraId="6708D3B3">
      <w:pPr>
        <w:bidi w:val="0"/>
        <w:rPr>
          <w:color w:val="auto"/>
        </w:rPr>
      </w:pPr>
      <w:r>
        <w:rPr>
          <w:color w:val="auto"/>
        </w:rPr>
        <w:t>系统整合患者病历、医嘱及评估量表数据，提供动态出入量计算、多维度打印及风险预警功能，显著提升护理效率与记录规范性。</w:t>
      </w:r>
    </w:p>
    <w:p w14:paraId="3EF483DE">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48F4DA9">
      <w:pPr>
        <w:pStyle w:val="94"/>
        <w:numPr>
          <w:ilvl w:val="0"/>
          <w:numId w:val="71"/>
        </w:numPr>
        <w:ind w:left="0" w:firstLine="480"/>
        <w:rPr>
          <w:rFonts w:cs="Arial"/>
          <w:bCs/>
          <w:color w:val="auto"/>
          <w:sz w:val="24"/>
        </w:rPr>
      </w:pPr>
      <w:r>
        <w:rPr>
          <w:rFonts w:hint="eastAsia" w:cs="Arial"/>
          <w:bCs/>
          <w:color w:val="auto"/>
          <w:sz w:val="24"/>
        </w:rPr>
        <w:t>支持</w:t>
      </w:r>
      <w:r>
        <w:rPr>
          <w:rFonts w:cs="Arial"/>
          <w:bCs/>
          <w:color w:val="auto"/>
          <w:sz w:val="24"/>
        </w:rPr>
        <w:t>根据医嘱产生相关生命体征数据自动画出三测单</w:t>
      </w:r>
      <w:r>
        <w:rPr>
          <w:rFonts w:hint="eastAsia" w:cs="Arial"/>
          <w:bCs/>
          <w:color w:val="auto"/>
          <w:sz w:val="24"/>
        </w:rPr>
        <w:t>。</w:t>
      </w:r>
    </w:p>
    <w:p w14:paraId="7DCBAD80">
      <w:pPr>
        <w:pStyle w:val="94"/>
        <w:numPr>
          <w:ilvl w:val="0"/>
          <w:numId w:val="71"/>
        </w:numPr>
        <w:ind w:left="0" w:firstLine="480"/>
        <w:rPr>
          <w:rFonts w:cs="Arial"/>
          <w:bCs/>
          <w:color w:val="auto"/>
          <w:sz w:val="24"/>
        </w:rPr>
      </w:pPr>
      <w:r>
        <w:rPr>
          <w:rFonts w:hint="eastAsia" w:cs="Arial"/>
          <w:bCs/>
          <w:color w:val="auto"/>
          <w:sz w:val="24"/>
        </w:rPr>
        <w:t>支持护</w:t>
      </w:r>
      <w:r>
        <w:rPr>
          <w:rFonts w:cs="Arial"/>
          <w:bCs/>
          <w:color w:val="auto"/>
          <w:sz w:val="24"/>
        </w:rPr>
        <w:t>理记录书写专用功能，有自定义模板</w:t>
      </w:r>
      <w:r>
        <w:rPr>
          <w:rFonts w:hint="eastAsia" w:cs="Arial"/>
          <w:bCs/>
          <w:color w:val="auto"/>
          <w:sz w:val="24"/>
        </w:rPr>
        <w:t>。</w:t>
      </w:r>
    </w:p>
    <w:p w14:paraId="12974C1E">
      <w:pPr>
        <w:pStyle w:val="94"/>
        <w:numPr>
          <w:ilvl w:val="0"/>
          <w:numId w:val="71"/>
        </w:numPr>
        <w:ind w:left="0" w:firstLine="480"/>
        <w:rPr>
          <w:rFonts w:cs="Arial"/>
          <w:bCs/>
          <w:color w:val="auto"/>
          <w:sz w:val="24"/>
        </w:rPr>
      </w:pPr>
      <w:r>
        <w:rPr>
          <w:rFonts w:hint="eastAsia" w:cs="Arial"/>
          <w:bCs/>
          <w:color w:val="auto"/>
          <w:sz w:val="24"/>
        </w:rPr>
        <w:t>支持</w:t>
      </w:r>
      <w:r>
        <w:rPr>
          <w:rFonts w:cs="Arial"/>
          <w:bCs/>
          <w:color w:val="auto"/>
          <w:sz w:val="24"/>
        </w:rPr>
        <w:t>护理记录单</w:t>
      </w:r>
      <w:r>
        <w:rPr>
          <w:rFonts w:hint="eastAsia" w:cs="Arial"/>
          <w:bCs/>
          <w:color w:val="auto"/>
          <w:sz w:val="24"/>
        </w:rPr>
        <w:t>书写</w:t>
      </w:r>
      <w:r>
        <w:rPr>
          <w:rFonts w:cs="Arial"/>
          <w:bCs/>
          <w:color w:val="auto"/>
          <w:sz w:val="24"/>
        </w:rPr>
        <w:t>：包括首次护理评估单、一般护理记录单、新生儿护理记录单、ICU护理记录单、产前检查记录、产程记录及产程图、产生护理记录等。</w:t>
      </w:r>
    </w:p>
    <w:p w14:paraId="26A7E397">
      <w:pPr>
        <w:pStyle w:val="94"/>
        <w:numPr>
          <w:ilvl w:val="0"/>
          <w:numId w:val="71"/>
        </w:numPr>
        <w:ind w:left="0" w:firstLine="480"/>
        <w:rPr>
          <w:rFonts w:cs="Arial"/>
          <w:bCs/>
          <w:color w:val="auto"/>
          <w:sz w:val="24"/>
        </w:rPr>
      </w:pPr>
      <w:r>
        <w:rPr>
          <w:rFonts w:hint="eastAsia" w:cs="Arial"/>
          <w:bCs/>
          <w:color w:val="auto"/>
          <w:sz w:val="24"/>
        </w:rPr>
        <w:t>支持</w:t>
      </w:r>
      <w:r>
        <w:rPr>
          <w:rFonts w:cs="Arial"/>
          <w:bCs/>
          <w:color w:val="auto"/>
          <w:sz w:val="24"/>
        </w:rPr>
        <w:t>体温单输入</w:t>
      </w:r>
      <w:r>
        <w:rPr>
          <w:rFonts w:hint="eastAsia" w:cs="Arial"/>
          <w:bCs/>
          <w:color w:val="auto"/>
          <w:sz w:val="24"/>
        </w:rPr>
        <w:t>，</w:t>
      </w:r>
      <w:r>
        <w:rPr>
          <w:rFonts w:cs="Arial"/>
          <w:bCs/>
          <w:color w:val="auto"/>
          <w:sz w:val="24"/>
        </w:rPr>
        <w:t>以图形</w:t>
      </w:r>
      <w:r>
        <w:rPr>
          <w:rFonts w:hint="eastAsia" w:cs="Arial"/>
          <w:bCs/>
          <w:color w:val="auto"/>
          <w:sz w:val="24"/>
        </w:rPr>
        <w:t>方式</w:t>
      </w:r>
      <w:r>
        <w:rPr>
          <w:rFonts w:cs="Arial"/>
          <w:bCs/>
          <w:color w:val="auto"/>
          <w:sz w:val="24"/>
        </w:rPr>
        <w:t>显示标准体温单，一目了然。</w:t>
      </w:r>
    </w:p>
    <w:p w14:paraId="25026323">
      <w:pPr>
        <w:pStyle w:val="94"/>
        <w:numPr>
          <w:ilvl w:val="0"/>
          <w:numId w:val="71"/>
        </w:numPr>
        <w:ind w:left="0" w:firstLine="480"/>
        <w:rPr>
          <w:rFonts w:cs="Arial"/>
          <w:bCs/>
          <w:color w:val="auto"/>
          <w:sz w:val="24"/>
        </w:rPr>
      </w:pPr>
      <w:r>
        <w:rPr>
          <w:rFonts w:hint="eastAsia" w:cs="Arial"/>
          <w:bCs/>
          <w:color w:val="auto"/>
          <w:sz w:val="24"/>
        </w:rPr>
        <w:t>支持</w:t>
      </w:r>
      <w:r>
        <w:rPr>
          <w:rFonts w:cs="Arial"/>
          <w:bCs/>
          <w:color w:val="auto"/>
          <w:sz w:val="24"/>
        </w:rPr>
        <w:t>护理记录输入</w:t>
      </w:r>
      <w:r>
        <w:rPr>
          <w:rFonts w:hint="eastAsia" w:cs="Arial"/>
          <w:bCs/>
          <w:color w:val="auto"/>
          <w:sz w:val="24"/>
        </w:rPr>
        <w:t>，</w:t>
      </w:r>
      <w:r>
        <w:rPr>
          <w:rFonts w:cs="Arial"/>
          <w:bCs/>
          <w:color w:val="auto"/>
          <w:sz w:val="24"/>
        </w:rPr>
        <w:t>护士根据医嘱和病情对一般患者住院期间护理过程的客观记录。包括护士观察到的客观病情变化及采取的护理措施和效果评价。</w:t>
      </w:r>
    </w:p>
    <w:p w14:paraId="4E6F32DB">
      <w:pPr>
        <w:pStyle w:val="94"/>
        <w:numPr>
          <w:ilvl w:val="0"/>
          <w:numId w:val="71"/>
        </w:numPr>
        <w:ind w:left="0" w:firstLine="480"/>
        <w:rPr>
          <w:rFonts w:cs="Arial"/>
          <w:bCs/>
          <w:color w:val="auto"/>
          <w:sz w:val="24"/>
        </w:rPr>
      </w:pPr>
      <w:r>
        <w:rPr>
          <w:rFonts w:hint="eastAsia" w:cs="Arial"/>
          <w:bCs/>
          <w:color w:val="auto"/>
          <w:sz w:val="24"/>
        </w:rPr>
        <w:t>支持</w:t>
      </w:r>
      <w:r>
        <w:rPr>
          <w:rFonts w:cs="Arial"/>
          <w:bCs/>
          <w:color w:val="auto"/>
          <w:sz w:val="24"/>
        </w:rPr>
        <w:t>根据产科记录自动生成产程图</w:t>
      </w:r>
      <w:r>
        <w:rPr>
          <w:rFonts w:hint="eastAsia" w:cs="Arial"/>
          <w:bCs/>
          <w:color w:val="auto"/>
          <w:sz w:val="24"/>
        </w:rPr>
        <w:t>。</w:t>
      </w:r>
    </w:p>
    <w:p w14:paraId="18ECD91B">
      <w:pPr>
        <w:pStyle w:val="94"/>
        <w:numPr>
          <w:ilvl w:val="0"/>
          <w:numId w:val="71"/>
        </w:numPr>
        <w:ind w:left="0" w:firstLine="480"/>
        <w:rPr>
          <w:rFonts w:cs="Arial"/>
          <w:bCs/>
          <w:color w:val="auto"/>
          <w:sz w:val="24"/>
        </w:rPr>
      </w:pPr>
      <w:r>
        <w:rPr>
          <w:rFonts w:hint="eastAsia" w:cs="Arial"/>
          <w:bCs/>
          <w:color w:val="auto"/>
          <w:sz w:val="24"/>
        </w:rPr>
        <w:t>支持产科护理专科记录，如</w:t>
      </w:r>
      <w:r>
        <w:rPr>
          <w:rFonts w:cs="Arial"/>
          <w:bCs/>
          <w:color w:val="auto"/>
          <w:sz w:val="24"/>
        </w:rPr>
        <w:t>待产记录、产后24小时护理记录</w:t>
      </w:r>
      <w:r>
        <w:rPr>
          <w:rFonts w:hint="eastAsia" w:cs="Arial"/>
          <w:bCs/>
          <w:color w:val="auto"/>
          <w:sz w:val="24"/>
        </w:rPr>
        <w:t>等。</w:t>
      </w:r>
    </w:p>
    <w:p w14:paraId="3B466B62">
      <w:pPr>
        <w:pStyle w:val="94"/>
        <w:numPr>
          <w:ilvl w:val="0"/>
          <w:numId w:val="71"/>
        </w:numPr>
        <w:ind w:left="0" w:firstLine="480"/>
        <w:rPr>
          <w:rFonts w:cs="Arial"/>
          <w:bCs/>
          <w:color w:val="auto"/>
          <w:sz w:val="24"/>
        </w:rPr>
      </w:pPr>
      <w:r>
        <w:rPr>
          <w:rFonts w:cs="Arial"/>
          <w:bCs/>
          <w:color w:val="auto"/>
          <w:sz w:val="24"/>
        </w:rPr>
        <w:t>支持根据出入量情况自动计算出入量小结及出入量总结</w:t>
      </w:r>
      <w:r>
        <w:rPr>
          <w:rFonts w:hint="eastAsia" w:cs="Arial"/>
          <w:bCs/>
          <w:color w:val="auto"/>
          <w:sz w:val="24"/>
        </w:rPr>
        <w:t>。</w:t>
      </w:r>
    </w:p>
    <w:p w14:paraId="4367FE44">
      <w:pPr>
        <w:pStyle w:val="94"/>
        <w:numPr>
          <w:ilvl w:val="0"/>
          <w:numId w:val="71"/>
        </w:numPr>
        <w:ind w:left="0" w:firstLine="480"/>
        <w:rPr>
          <w:rFonts w:cs="Arial"/>
          <w:bCs/>
          <w:color w:val="auto"/>
          <w:sz w:val="24"/>
        </w:rPr>
      </w:pPr>
      <w:r>
        <w:rPr>
          <w:rFonts w:hint="eastAsia" w:cs="Arial"/>
          <w:bCs/>
          <w:color w:val="auto"/>
          <w:sz w:val="24"/>
        </w:rPr>
        <w:t>支持根据护士录入的生命体征结果自动产生三测单、护理记录单。</w:t>
      </w:r>
    </w:p>
    <w:p w14:paraId="73D3A237">
      <w:pPr>
        <w:pStyle w:val="94"/>
        <w:numPr>
          <w:ilvl w:val="0"/>
          <w:numId w:val="71"/>
        </w:numPr>
        <w:ind w:left="0" w:firstLine="480"/>
        <w:rPr>
          <w:rFonts w:cs="Arial"/>
          <w:bCs/>
          <w:color w:val="auto"/>
          <w:sz w:val="24"/>
        </w:rPr>
      </w:pPr>
      <w:r>
        <w:rPr>
          <w:rFonts w:hint="eastAsia" w:cs="Arial"/>
          <w:bCs/>
          <w:color w:val="auto"/>
          <w:sz w:val="24"/>
        </w:rPr>
        <w:t>支持护理记录单按天、按月、按周打印。</w:t>
      </w:r>
    </w:p>
    <w:p w14:paraId="09BE7915">
      <w:pPr>
        <w:pStyle w:val="94"/>
        <w:numPr>
          <w:ilvl w:val="0"/>
          <w:numId w:val="71"/>
        </w:numPr>
        <w:ind w:left="0" w:firstLine="480"/>
        <w:rPr>
          <w:rFonts w:cs="Arial"/>
          <w:bCs/>
          <w:color w:val="auto"/>
          <w:sz w:val="24"/>
        </w:rPr>
      </w:pPr>
      <w:r>
        <w:rPr>
          <w:rFonts w:hint="eastAsia" w:cs="Arial"/>
          <w:bCs/>
          <w:color w:val="auto"/>
          <w:sz w:val="24"/>
        </w:rPr>
        <w:t>支持护理记录单病情及处理调用患者基本信息、病历信息、检验检查信息、医嘱信息及知识库。</w:t>
      </w:r>
    </w:p>
    <w:p w14:paraId="3E896F34">
      <w:pPr>
        <w:pStyle w:val="94"/>
        <w:numPr>
          <w:ilvl w:val="0"/>
          <w:numId w:val="71"/>
        </w:numPr>
        <w:ind w:left="0" w:firstLine="480"/>
        <w:rPr>
          <w:rFonts w:cs="Arial"/>
          <w:bCs/>
          <w:color w:val="auto"/>
          <w:sz w:val="24"/>
        </w:rPr>
      </w:pPr>
      <w:r>
        <w:rPr>
          <w:rFonts w:hint="eastAsia" w:cs="Arial"/>
          <w:bCs/>
          <w:color w:val="auto"/>
          <w:sz w:val="24"/>
        </w:rPr>
        <w:t>支持定义各类评估样表，例如：</w:t>
      </w:r>
      <w:r>
        <w:rPr>
          <w:rFonts w:cs="Arial"/>
          <w:bCs/>
          <w:color w:val="auto"/>
          <w:sz w:val="24"/>
        </w:rPr>
        <w:t>barthel指数评定量表</w:t>
      </w:r>
      <w:r>
        <w:rPr>
          <w:rFonts w:hint="eastAsia" w:cs="Arial"/>
          <w:bCs/>
          <w:color w:val="auto"/>
          <w:sz w:val="24"/>
        </w:rPr>
        <w:t>、</w:t>
      </w:r>
      <w:r>
        <w:rPr>
          <w:rFonts w:cs="Arial"/>
          <w:bCs/>
          <w:color w:val="auto"/>
          <w:sz w:val="24"/>
        </w:rPr>
        <w:t>导管滑脱风险评估表</w:t>
      </w:r>
      <w:r>
        <w:rPr>
          <w:rFonts w:hint="eastAsia" w:cs="Arial"/>
          <w:bCs/>
          <w:color w:val="auto"/>
          <w:sz w:val="24"/>
        </w:rPr>
        <w:t>、</w:t>
      </w:r>
      <w:r>
        <w:rPr>
          <w:rFonts w:cs="Arial"/>
          <w:bCs/>
          <w:color w:val="auto"/>
          <w:sz w:val="24"/>
        </w:rPr>
        <w:t>压力性损伤危险因素评估表</w:t>
      </w:r>
      <w:r>
        <w:rPr>
          <w:rFonts w:hint="eastAsia" w:cs="Arial"/>
          <w:bCs/>
          <w:color w:val="auto"/>
          <w:sz w:val="24"/>
        </w:rPr>
        <w:t>、</w:t>
      </w:r>
      <w:r>
        <w:rPr>
          <w:rFonts w:cs="Arial"/>
          <w:bCs/>
          <w:color w:val="auto"/>
          <w:sz w:val="24"/>
        </w:rPr>
        <w:t>住院成人Morse跌倒/坠床风险评估表</w:t>
      </w:r>
      <w:r>
        <w:rPr>
          <w:rFonts w:hint="eastAsia" w:cs="Arial"/>
          <w:bCs/>
          <w:color w:val="auto"/>
          <w:sz w:val="24"/>
        </w:rPr>
        <w:t>等。</w:t>
      </w:r>
    </w:p>
    <w:p w14:paraId="06E04CB6">
      <w:pPr>
        <w:pStyle w:val="14"/>
        <w:bidi w:val="0"/>
        <w:rPr>
          <w:color w:val="auto"/>
        </w:rPr>
      </w:pPr>
      <w:r>
        <w:rPr>
          <w:rFonts w:hint="eastAsia"/>
          <w:color w:val="auto"/>
          <w:lang w:val="en-US" w:eastAsia="zh-CN"/>
        </w:rPr>
        <w:t xml:space="preserve"> </w:t>
      </w:r>
      <w:r>
        <w:rPr>
          <w:rFonts w:hint="eastAsia"/>
          <w:color w:val="auto"/>
        </w:rPr>
        <w:t>护理医嘱执行</w:t>
      </w:r>
    </w:p>
    <w:p w14:paraId="7AB04A47">
      <w:pPr>
        <w:bidi w:val="0"/>
        <w:rPr>
          <w:color w:val="auto"/>
        </w:rPr>
      </w:pPr>
      <w:r>
        <w:rPr>
          <w:color w:val="auto"/>
        </w:rPr>
        <w:t>整合临床诊疗、医嘱处理、费用及用药管理全流程，为护士提供智能化工作平台，实现医嘱自动获取、执行反馈、费用监控及药品精细化管理，全面提升护理效率与医疗安全。其支持远程会诊、个性化标记、多维度统计及自动化单据生成，确保诊疗信息无缝协同，助力优质护理服务落地。</w:t>
      </w:r>
    </w:p>
    <w:p w14:paraId="7AECA2F9">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B7467C6">
      <w:pPr>
        <w:pStyle w:val="341"/>
        <w:spacing w:beforeLines="0"/>
        <w:ind w:firstLine="482"/>
        <w:rPr>
          <w:rFonts w:hint="eastAsia" w:ascii="宋体" w:hAnsi="宋体" w:cs="仿宋"/>
          <w:b/>
          <w:bCs/>
          <w:color w:val="auto"/>
          <w:sz w:val="24"/>
          <w:szCs w:val="24"/>
        </w:rPr>
      </w:pPr>
      <w:bookmarkStart w:id="177" w:name="_Toc106372997"/>
      <w:r>
        <w:rPr>
          <w:rFonts w:hint="eastAsia" w:ascii="宋体" w:hAnsi="宋体" w:cs="仿宋"/>
          <w:b/>
          <w:bCs/>
          <w:color w:val="auto"/>
          <w:sz w:val="24"/>
          <w:szCs w:val="24"/>
        </w:rPr>
        <w:t>临床一体化应用</w:t>
      </w:r>
      <w:bookmarkEnd w:id="177"/>
    </w:p>
    <w:p w14:paraId="14F4F43E">
      <w:pPr>
        <w:pStyle w:val="94"/>
        <w:numPr>
          <w:ilvl w:val="0"/>
          <w:numId w:val="72"/>
        </w:numPr>
        <w:ind w:left="0" w:firstLine="480"/>
        <w:rPr>
          <w:rFonts w:cs="Arial"/>
          <w:bCs/>
          <w:color w:val="auto"/>
          <w:sz w:val="24"/>
        </w:rPr>
      </w:pPr>
      <w:bookmarkStart w:id="178" w:name="_Toc106372998"/>
      <w:r>
        <w:rPr>
          <w:rFonts w:cs="Arial"/>
          <w:bCs/>
          <w:color w:val="auto"/>
          <w:sz w:val="24"/>
        </w:rPr>
        <w:t>提供完整的就诊病人</w:t>
      </w:r>
      <w:r>
        <w:rPr>
          <w:rFonts w:hint="eastAsia" w:cs="Arial"/>
          <w:bCs/>
          <w:color w:val="auto"/>
          <w:sz w:val="24"/>
        </w:rPr>
        <w:t>诊疗</w:t>
      </w:r>
      <w:r>
        <w:rPr>
          <w:rFonts w:cs="Arial"/>
          <w:bCs/>
          <w:color w:val="auto"/>
          <w:sz w:val="24"/>
        </w:rPr>
        <w:t>信息给</w:t>
      </w:r>
      <w:r>
        <w:rPr>
          <w:rFonts w:hint="eastAsia" w:cs="Arial"/>
          <w:bCs/>
          <w:color w:val="auto"/>
          <w:sz w:val="24"/>
        </w:rPr>
        <w:t>护士</w:t>
      </w:r>
      <w:r>
        <w:rPr>
          <w:rFonts w:cs="Arial"/>
          <w:bCs/>
          <w:color w:val="auto"/>
          <w:sz w:val="24"/>
        </w:rPr>
        <w:t>浏览</w:t>
      </w:r>
      <w:r>
        <w:rPr>
          <w:rFonts w:hint="eastAsia" w:cs="Arial"/>
          <w:bCs/>
          <w:color w:val="auto"/>
          <w:sz w:val="24"/>
        </w:rPr>
        <w:t>，</w:t>
      </w:r>
      <w:r>
        <w:rPr>
          <w:rFonts w:cs="Arial"/>
          <w:bCs/>
          <w:color w:val="auto"/>
          <w:sz w:val="24"/>
        </w:rPr>
        <w:t>包括：主诉、病史、体</w:t>
      </w:r>
      <w:r>
        <w:rPr>
          <w:rFonts w:hint="eastAsia" w:cs="Arial"/>
          <w:bCs/>
          <w:color w:val="auto"/>
          <w:sz w:val="24"/>
        </w:rPr>
        <w:t>检</w:t>
      </w:r>
      <w:r>
        <w:rPr>
          <w:rFonts w:cs="Arial"/>
          <w:bCs/>
          <w:color w:val="auto"/>
          <w:sz w:val="24"/>
        </w:rPr>
        <w:t>、处方、手术治疗、检验、影像、心电、超声</w:t>
      </w:r>
      <w:r>
        <w:rPr>
          <w:rFonts w:hint="eastAsia" w:cs="Arial"/>
          <w:bCs/>
          <w:color w:val="auto"/>
          <w:sz w:val="24"/>
        </w:rPr>
        <w:t>、费用明细</w:t>
      </w:r>
      <w:r>
        <w:rPr>
          <w:rFonts w:cs="Arial"/>
          <w:bCs/>
          <w:color w:val="auto"/>
          <w:sz w:val="24"/>
        </w:rPr>
        <w:t>等信息。</w:t>
      </w:r>
    </w:p>
    <w:p w14:paraId="00D85584">
      <w:pPr>
        <w:pStyle w:val="94"/>
        <w:numPr>
          <w:ilvl w:val="0"/>
          <w:numId w:val="72"/>
        </w:numPr>
        <w:ind w:left="0" w:firstLine="480"/>
        <w:rPr>
          <w:rFonts w:cs="Arial"/>
          <w:bCs/>
          <w:color w:val="auto"/>
          <w:sz w:val="24"/>
        </w:rPr>
      </w:pPr>
      <w:r>
        <w:rPr>
          <w:rFonts w:hint="eastAsia" w:cs="Arial"/>
          <w:bCs/>
          <w:color w:val="auto"/>
          <w:sz w:val="24"/>
        </w:rPr>
        <w:t>支持</w:t>
      </w:r>
      <w:r>
        <w:rPr>
          <w:rFonts w:cs="Arial"/>
          <w:bCs/>
          <w:color w:val="auto"/>
          <w:sz w:val="24"/>
        </w:rPr>
        <w:t>重要及特殊病人有特别显示，不同护理级别有</w:t>
      </w:r>
      <w:r>
        <w:rPr>
          <w:rFonts w:hint="eastAsia" w:cs="Arial"/>
          <w:bCs/>
          <w:color w:val="auto"/>
          <w:sz w:val="24"/>
        </w:rPr>
        <w:t>特殊标记，例如危重标记、手术标记、新入院、高风险、褥疮标记等。</w:t>
      </w:r>
    </w:p>
    <w:p w14:paraId="66D913EF">
      <w:pPr>
        <w:pStyle w:val="94"/>
        <w:numPr>
          <w:ilvl w:val="0"/>
          <w:numId w:val="72"/>
        </w:numPr>
        <w:ind w:left="0" w:firstLine="480"/>
        <w:rPr>
          <w:rFonts w:cs="Arial"/>
          <w:bCs/>
          <w:color w:val="auto"/>
          <w:sz w:val="24"/>
        </w:rPr>
      </w:pPr>
      <w:r>
        <w:rPr>
          <w:rFonts w:hint="eastAsia" w:cs="Arial"/>
          <w:bCs/>
          <w:color w:val="auto"/>
          <w:sz w:val="24"/>
        </w:rPr>
        <w:t>支持护士参与远程会诊。</w:t>
      </w:r>
    </w:p>
    <w:p w14:paraId="6D10B113">
      <w:pPr>
        <w:pStyle w:val="94"/>
        <w:numPr>
          <w:ilvl w:val="0"/>
          <w:numId w:val="72"/>
        </w:numPr>
        <w:ind w:left="0" w:firstLine="480"/>
        <w:rPr>
          <w:rFonts w:cs="Arial"/>
          <w:bCs/>
          <w:color w:val="auto"/>
          <w:sz w:val="24"/>
        </w:rPr>
      </w:pPr>
      <w:r>
        <w:rPr>
          <w:rFonts w:hint="eastAsia" w:cs="Arial"/>
          <w:bCs/>
          <w:color w:val="auto"/>
          <w:sz w:val="24"/>
        </w:rPr>
        <w:t>支持在护理主界面进行接诊、安排床位、转科、出院等。</w:t>
      </w:r>
    </w:p>
    <w:p w14:paraId="18B0227A">
      <w:pPr>
        <w:pStyle w:val="94"/>
        <w:numPr>
          <w:ilvl w:val="0"/>
          <w:numId w:val="72"/>
        </w:numPr>
        <w:ind w:left="0" w:firstLine="480"/>
        <w:rPr>
          <w:rFonts w:cs="Arial"/>
          <w:bCs/>
          <w:color w:val="auto"/>
          <w:sz w:val="24"/>
        </w:rPr>
      </w:pPr>
      <w:r>
        <w:rPr>
          <w:rFonts w:hint="eastAsia" w:cs="Arial"/>
          <w:bCs/>
          <w:color w:val="auto"/>
          <w:sz w:val="24"/>
        </w:rPr>
        <w:t>支持患者显示信息自定义（例如</w:t>
      </w:r>
      <w:r>
        <w:rPr>
          <w:rFonts w:cs="Arial"/>
          <w:bCs/>
          <w:color w:val="auto"/>
          <w:sz w:val="24"/>
        </w:rPr>
        <w:t>显示床号、病历号、姓名、性别、年龄、诊断、病情、护理等级、陪护</w:t>
      </w:r>
      <w:r>
        <w:rPr>
          <w:rFonts w:hint="eastAsia" w:cs="Arial"/>
          <w:bCs/>
          <w:color w:val="auto"/>
          <w:sz w:val="24"/>
        </w:rPr>
        <w:t>等）。</w:t>
      </w:r>
    </w:p>
    <w:p w14:paraId="164FCCF5">
      <w:pPr>
        <w:pStyle w:val="94"/>
        <w:numPr>
          <w:ilvl w:val="0"/>
          <w:numId w:val="72"/>
        </w:numPr>
        <w:ind w:left="0" w:firstLine="480"/>
        <w:rPr>
          <w:rFonts w:cs="Arial"/>
          <w:bCs/>
          <w:color w:val="auto"/>
          <w:sz w:val="24"/>
        </w:rPr>
      </w:pPr>
      <w:r>
        <w:rPr>
          <w:rFonts w:hint="eastAsia" w:cs="Arial"/>
          <w:bCs/>
          <w:color w:val="auto"/>
          <w:sz w:val="24"/>
        </w:rPr>
        <w:t>支持查看患者历次就诊信息。</w:t>
      </w:r>
    </w:p>
    <w:p w14:paraId="4531EB08">
      <w:pPr>
        <w:pStyle w:val="94"/>
        <w:numPr>
          <w:ilvl w:val="0"/>
          <w:numId w:val="72"/>
        </w:numPr>
        <w:ind w:left="0" w:firstLine="480"/>
        <w:rPr>
          <w:rFonts w:cs="Arial"/>
          <w:bCs/>
          <w:color w:val="auto"/>
          <w:sz w:val="24"/>
        </w:rPr>
      </w:pPr>
      <w:r>
        <w:rPr>
          <w:rFonts w:hint="eastAsia" w:cs="Arial"/>
          <w:bCs/>
          <w:color w:val="auto"/>
          <w:sz w:val="24"/>
        </w:rPr>
        <w:t>支持</w:t>
      </w:r>
      <w:r>
        <w:rPr>
          <w:rFonts w:cs="Arial"/>
          <w:bCs/>
          <w:color w:val="auto"/>
          <w:sz w:val="24"/>
        </w:rPr>
        <w:t>手术管理</w:t>
      </w:r>
      <w:r>
        <w:rPr>
          <w:rFonts w:hint="eastAsia" w:cs="Arial"/>
          <w:bCs/>
          <w:color w:val="auto"/>
          <w:sz w:val="24"/>
        </w:rPr>
        <w:t>，提供</w:t>
      </w:r>
      <w:r>
        <w:rPr>
          <w:rFonts w:cs="Arial"/>
          <w:bCs/>
          <w:color w:val="auto"/>
          <w:sz w:val="24"/>
        </w:rPr>
        <w:t>包括病人手术申请、申请单管理、手术安排查询、综合信息查询四个功能。</w:t>
      </w:r>
    </w:p>
    <w:p w14:paraId="25C261B0">
      <w:pPr>
        <w:pStyle w:val="94"/>
        <w:numPr>
          <w:ilvl w:val="0"/>
          <w:numId w:val="72"/>
        </w:numPr>
        <w:ind w:left="0" w:firstLine="480"/>
        <w:rPr>
          <w:rFonts w:cs="Arial"/>
          <w:bCs/>
          <w:color w:val="auto"/>
          <w:sz w:val="24"/>
        </w:rPr>
      </w:pPr>
      <w:r>
        <w:rPr>
          <w:rFonts w:hint="eastAsia" w:cs="Arial"/>
          <w:bCs/>
          <w:color w:val="auto"/>
          <w:sz w:val="24"/>
        </w:rPr>
        <w:t>支持</w:t>
      </w:r>
      <w:r>
        <w:rPr>
          <w:rFonts w:cs="Arial"/>
          <w:bCs/>
          <w:color w:val="auto"/>
          <w:sz w:val="24"/>
        </w:rPr>
        <w:t>查询病区各项信息，如在院、出院病人信息，发药退药情况、病区日报表、医院未执行单查询、医院病区收入核算、病区饮食医嘱统计、病区收入核算、护士工作评估等病区统计。</w:t>
      </w:r>
    </w:p>
    <w:p w14:paraId="6D58FF08">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医嘱处理</w:t>
      </w:r>
      <w:bookmarkEnd w:id="178"/>
    </w:p>
    <w:p w14:paraId="7F1EDBBF">
      <w:pPr>
        <w:pStyle w:val="94"/>
        <w:numPr>
          <w:ilvl w:val="0"/>
          <w:numId w:val="73"/>
        </w:numPr>
        <w:ind w:left="0" w:firstLine="480"/>
        <w:rPr>
          <w:rFonts w:cs="Arial"/>
          <w:bCs/>
          <w:color w:val="auto"/>
          <w:sz w:val="24"/>
        </w:rPr>
      </w:pPr>
      <w:bookmarkStart w:id="179" w:name="_Toc106372999"/>
      <w:r>
        <w:rPr>
          <w:rFonts w:hint="eastAsia" w:cs="Arial"/>
          <w:bCs/>
          <w:color w:val="auto"/>
          <w:sz w:val="24"/>
        </w:rPr>
        <w:t>支持自动获取医</w:t>
      </w:r>
      <w:r>
        <w:rPr>
          <w:rFonts w:cs="Arial"/>
          <w:bCs/>
          <w:color w:val="auto"/>
          <w:sz w:val="24"/>
        </w:rPr>
        <w:t>嘱</w:t>
      </w:r>
      <w:r>
        <w:rPr>
          <w:rFonts w:hint="eastAsia" w:cs="Arial"/>
          <w:bCs/>
          <w:color w:val="auto"/>
          <w:sz w:val="24"/>
        </w:rPr>
        <w:t>，医嘱产生变化时，工作站</w:t>
      </w:r>
      <w:r>
        <w:rPr>
          <w:rFonts w:cs="Arial"/>
          <w:bCs/>
          <w:color w:val="auto"/>
          <w:sz w:val="24"/>
        </w:rPr>
        <w:t>有消息提示。</w:t>
      </w:r>
    </w:p>
    <w:p w14:paraId="1771D52F">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审核医嘱（新开立、停止、作</w:t>
      </w:r>
      <w:r>
        <w:rPr>
          <w:rFonts w:hint="eastAsia" w:cs="Arial"/>
          <w:bCs/>
          <w:color w:val="auto"/>
          <w:sz w:val="24"/>
        </w:rPr>
        <w:t>废</w:t>
      </w:r>
      <w:r>
        <w:rPr>
          <w:rFonts w:cs="Arial"/>
          <w:bCs/>
          <w:color w:val="auto"/>
          <w:sz w:val="24"/>
        </w:rPr>
        <w:t>）</w:t>
      </w:r>
      <w:r>
        <w:rPr>
          <w:rFonts w:hint="eastAsia" w:cs="Arial"/>
          <w:bCs/>
          <w:color w:val="auto"/>
          <w:sz w:val="24"/>
        </w:rPr>
        <w:t>、补费、退费、超期发送医嘱收回等，</w:t>
      </w:r>
      <w:r>
        <w:rPr>
          <w:rFonts w:cs="Arial"/>
          <w:bCs/>
          <w:color w:val="auto"/>
          <w:sz w:val="24"/>
        </w:rPr>
        <w:t>查询、打印病区医嘱审核处理情况。</w:t>
      </w:r>
    </w:p>
    <w:p w14:paraId="7606AC0A">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长期及临时医嘱的确认及执行情况</w:t>
      </w:r>
      <w:r>
        <w:rPr>
          <w:rFonts w:hint="eastAsia" w:cs="Arial"/>
          <w:bCs/>
          <w:color w:val="auto"/>
          <w:sz w:val="24"/>
        </w:rPr>
        <w:t>，</w:t>
      </w:r>
      <w:r>
        <w:rPr>
          <w:rFonts w:cs="Arial"/>
          <w:bCs/>
          <w:color w:val="auto"/>
          <w:sz w:val="24"/>
        </w:rPr>
        <w:t>未执行的医嘱特别显示。</w:t>
      </w:r>
    </w:p>
    <w:p w14:paraId="30FC6EAD">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将医嘱的执行情况、皮试结果等反馈给住院医生工作站。</w:t>
      </w:r>
    </w:p>
    <w:p w14:paraId="58A4BBBA">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医嘱记录查询。</w:t>
      </w:r>
    </w:p>
    <w:p w14:paraId="30478432">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护士在核对医嘱，发现医嘱有错误，对该医嘱进行处理，并返回给医生，且有提示信息返回到医生</w:t>
      </w:r>
      <w:r>
        <w:rPr>
          <w:rFonts w:hint="eastAsia" w:cs="Arial"/>
          <w:bCs/>
          <w:color w:val="auto"/>
          <w:sz w:val="24"/>
        </w:rPr>
        <w:t>工作站。</w:t>
      </w:r>
    </w:p>
    <w:p w14:paraId="5F150654">
      <w:pPr>
        <w:pStyle w:val="94"/>
        <w:numPr>
          <w:ilvl w:val="0"/>
          <w:numId w:val="73"/>
        </w:numPr>
        <w:ind w:left="0" w:firstLine="480"/>
        <w:rPr>
          <w:rFonts w:cs="Arial"/>
          <w:bCs/>
          <w:color w:val="auto"/>
          <w:sz w:val="24"/>
        </w:rPr>
      </w:pPr>
      <w:r>
        <w:rPr>
          <w:rFonts w:hint="eastAsia" w:cs="Arial"/>
          <w:bCs/>
          <w:color w:val="auto"/>
          <w:sz w:val="24"/>
        </w:rPr>
        <w:t>支持分科设置医嘱辅材模板，针对不同用法绑定不同费用。</w:t>
      </w:r>
    </w:p>
    <w:p w14:paraId="1C47AA25">
      <w:pPr>
        <w:pStyle w:val="94"/>
        <w:numPr>
          <w:ilvl w:val="0"/>
          <w:numId w:val="73"/>
        </w:numPr>
        <w:ind w:left="0" w:firstLine="480"/>
        <w:rPr>
          <w:rFonts w:cs="Arial"/>
          <w:bCs/>
          <w:color w:val="auto"/>
          <w:sz w:val="24"/>
        </w:rPr>
      </w:pPr>
      <w:r>
        <w:rPr>
          <w:rFonts w:hint="eastAsia" w:cs="Arial"/>
          <w:bCs/>
          <w:color w:val="auto"/>
          <w:sz w:val="24"/>
        </w:rPr>
        <w:t>支持药品医嘱设定主组、次组，并分别设置不同收费标准。</w:t>
      </w:r>
    </w:p>
    <w:p w14:paraId="391317BE">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打印长期及临时医嘱单，具备续打</w:t>
      </w:r>
      <w:r>
        <w:rPr>
          <w:rFonts w:hint="eastAsia" w:cs="Arial"/>
          <w:bCs/>
          <w:color w:val="auto"/>
          <w:sz w:val="24"/>
        </w:rPr>
        <w:t>、重打、补打等</w:t>
      </w:r>
      <w:r>
        <w:rPr>
          <w:rFonts w:cs="Arial"/>
          <w:bCs/>
          <w:color w:val="auto"/>
          <w:sz w:val="24"/>
        </w:rPr>
        <w:t>功能</w:t>
      </w:r>
      <w:r>
        <w:rPr>
          <w:rFonts w:hint="eastAsia" w:cs="Arial"/>
          <w:bCs/>
          <w:color w:val="auto"/>
          <w:sz w:val="24"/>
        </w:rPr>
        <w:t>。</w:t>
      </w:r>
    </w:p>
    <w:p w14:paraId="7B7030D7">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打印检验申请单及条形码，并显示抽血管的颜色</w:t>
      </w:r>
      <w:r>
        <w:rPr>
          <w:rFonts w:hint="eastAsia" w:cs="Arial"/>
          <w:bCs/>
          <w:color w:val="auto"/>
          <w:sz w:val="24"/>
        </w:rPr>
        <w:t>。</w:t>
      </w:r>
    </w:p>
    <w:p w14:paraId="60FA7BE1">
      <w:pPr>
        <w:pStyle w:val="94"/>
        <w:numPr>
          <w:ilvl w:val="0"/>
          <w:numId w:val="73"/>
        </w:numPr>
        <w:ind w:left="0" w:firstLine="480"/>
        <w:rPr>
          <w:rFonts w:cs="Arial"/>
          <w:bCs/>
          <w:color w:val="auto"/>
          <w:sz w:val="24"/>
        </w:rPr>
      </w:pPr>
      <w:r>
        <w:rPr>
          <w:rFonts w:hint="eastAsia" w:cs="Arial"/>
          <w:bCs/>
          <w:color w:val="auto"/>
          <w:sz w:val="24"/>
        </w:rPr>
        <w:t>支持打印检查申请单。</w:t>
      </w:r>
    </w:p>
    <w:p w14:paraId="36373ECE">
      <w:pPr>
        <w:pStyle w:val="94"/>
        <w:numPr>
          <w:ilvl w:val="0"/>
          <w:numId w:val="73"/>
        </w:numPr>
        <w:ind w:left="0" w:firstLine="480"/>
        <w:rPr>
          <w:rFonts w:cs="Arial"/>
          <w:bCs/>
          <w:color w:val="auto"/>
          <w:sz w:val="24"/>
        </w:rPr>
      </w:pPr>
      <w:r>
        <w:rPr>
          <w:rFonts w:hint="eastAsia" w:cs="Arial"/>
          <w:bCs/>
          <w:color w:val="auto"/>
          <w:sz w:val="24"/>
        </w:rPr>
        <w:t>支持</w:t>
      </w:r>
      <w:r>
        <w:rPr>
          <w:rFonts w:cs="Arial"/>
          <w:bCs/>
          <w:color w:val="auto"/>
          <w:sz w:val="24"/>
        </w:rPr>
        <w:t>打印</w:t>
      </w:r>
      <w:r>
        <w:rPr>
          <w:rFonts w:hint="eastAsia" w:cs="Arial"/>
          <w:bCs/>
          <w:color w:val="auto"/>
          <w:sz w:val="24"/>
        </w:rPr>
        <w:t>检验、</w:t>
      </w:r>
      <w:r>
        <w:rPr>
          <w:rFonts w:cs="Arial"/>
          <w:bCs/>
          <w:color w:val="auto"/>
          <w:sz w:val="24"/>
        </w:rPr>
        <w:t>检</w:t>
      </w:r>
      <w:r>
        <w:rPr>
          <w:rFonts w:hint="eastAsia" w:cs="Arial"/>
          <w:bCs/>
          <w:color w:val="auto"/>
          <w:sz w:val="24"/>
        </w:rPr>
        <w:t>查报告</w:t>
      </w:r>
      <w:r>
        <w:rPr>
          <w:rFonts w:cs="Arial"/>
          <w:bCs/>
          <w:color w:val="auto"/>
          <w:sz w:val="24"/>
        </w:rPr>
        <w:t>单</w:t>
      </w:r>
      <w:r>
        <w:rPr>
          <w:rFonts w:hint="eastAsia" w:cs="Arial"/>
          <w:bCs/>
          <w:color w:val="auto"/>
          <w:sz w:val="24"/>
        </w:rPr>
        <w:t>。</w:t>
      </w:r>
    </w:p>
    <w:p w14:paraId="512D8E9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护理医嘱处理</w:t>
      </w:r>
      <w:bookmarkEnd w:id="179"/>
    </w:p>
    <w:p w14:paraId="60063E29">
      <w:pPr>
        <w:pStyle w:val="94"/>
        <w:numPr>
          <w:ilvl w:val="0"/>
          <w:numId w:val="74"/>
        </w:numPr>
        <w:ind w:left="0" w:firstLine="480"/>
        <w:rPr>
          <w:rFonts w:cs="Arial"/>
          <w:bCs/>
          <w:color w:val="auto"/>
          <w:sz w:val="24"/>
        </w:rPr>
      </w:pPr>
      <w:bookmarkStart w:id="180" w:name="_Toc106373000"/>
      <w:r>
        <w:rPr>
          <w:rFonts w:hint="eastAsia" w:cs="Arial"/>
          <w:bCs/>
          <w:color w:val="auto"/>
          <w:sz w:val="24"/>
        </w:rPr>
        <w:t>支持</w:t>
      </w:r>
      <w:r>
        <w:rPr>
          <w:rFonts w:cs="Arial"/>
          <w:bCs/>
          <w:color w:val="auto"/>
          <w:sz w:val="24"/>
        </w:rPr>
        <w:t>分科定义生命体征采集参数，能根据医嘱自动生成分科生命体征采集单。</w:t>
      </w:r>
    </w:p>
    <w:p w14:paraId="0B70F6D4">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分科</w:t>
      </w:r>
      <w:r>
        <w:rPr>
          <w:rFonts w:hint="eastAsia" w:cs="Arial"/>
          <w:bCs/>
          <w:color w:val="auto"/>
          <w:sz w:val="24"/>
        </w:rPr>
        <w:t>设置血糖</w:t>
      </w:r>
      <w:r>
        <w:rPr>
          <w:rFonts w:cs="Arial"/>
          <w:bCs/>
          <w:color w:val="auto"/>
          <w:sz w:val="24"/>
        </w:rPr>
        <w:t>采集</w:t>
      </w:r>
      <w:r>
        <w:rPr>
          <w:rFonts w:hint="eastAsia" w:cs="Arial"/>
          <w:bCs/>
          <w:color w:val="auto"/>
          <w:sz w:val="24"/>
        </w:rPr>
        <w:t>规则</w:t>
      </w:r>
      <w:r>
        <w:rPr>
          <w:rFonts w:cs="Arial"/>
          <w:bCs/>
          <w:color w:val="auto"/>
          <w:sz w:val="24"/>
        </w:rPr>
        <w:t>，能根据医嘱自动生成</w:t>
      </w:r>
      <w:r>
        <w:rPr>
          <w:rFonts w:hint="eastAsia" w:cs="Arial"/>
          <w:bCs/>
          <w:color w:val="auto"/>
          <w:sz w:val="24"/>
        </w:rPr>
        <w:t>血糖</w:t>
      </w:r>
      <w:r>
        <w:rPr>
          <w:rFonts w:cs="Arial"/>
          <w:bCs/>
          <w:color w:val="auto"/>
          <w:sz w:val="24"/>
        </w:rPr>
        <w:t>采集单。</w:t>
      </w:r>
    </w:p>
    <w:p w14:paraId="3E308955">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连续性护理治疗专用功能，例如分时段给氧等，可输入时间段后自动记录及记费，并可浏览明细治疗记录。</w:t>
      </w:r>
    </w:p>
    <w:p w14:paraId="3D757125">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各类治疗任务可根据医嘱产生护理任务单，据此进行护理治疗。</w:t>
      </w:r>
    </w:p>
    <w:p w14:paraId="1B40203D">
      <w:pPr>
        <w:pStyle w:val="94"/>
        <w:numPr>
          <w:ilvl w:val="0"/>
          <w:numId w:val="74"/>
        </w:numPr>
        <w:ind w:left="0" w:firstLine="480"/>
        <w:rPr>
          <w:rFonts w:cs="Arial"/>
          <w:bCs/>
          <w:color w:val="auto"/>
          <w:sz w:val="24"/>
        </w:rPr>
      </w:pPr>
      <w:r>
        <w:rPr>
          <w:rFonts w:cs="Arial"/>
          <w:bCs/>
          <w:color w:val="auto"/>
          <w:sz w:val="24"/>
        </w:rPr>
        <w:t>提供各类书写模板、词组库等</w:t>
      </w:r>
      <w:r>
        <w:rPr>
          <w:rFonts w:hint="eastAsia" w:cs="Arial"/>
          <w:bCs/>
          <w:color w:val="auto"/>
          <w:sz w:val="24"/>
        </w:rPr>
        <w:t>。</w:t>
      </w:r>
    </w:p>
    <w:p w14:paraId="32D8035C">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提供除了医生开立医嘱外的护理医嘱字典设置</w:t>
      </w:r>
      <w:r>
        <w:rPr>
          <w:rFonts w:hint="eastAsia" w:cs="Arial"/>
          <w:bCs/>
          <w:color w:val="auto"/>
          <w:sz w:val="24"/>
        </w:rPr>
        <w:t>。</w:t>
      </w:r>
    </w:p>
    <w:p w14:paraId="25A3E981">
      <w:pPr>
        <w:pStyle w:val="94"/>
        <w:numPr>
          <w:ilvl w:val="0"/>
          <w:numId w:val="74"/>
        </w:numPr>
        <w:ind w:left="0" w:firstLine="480"/>
        <w:rPr>
          <w:rFonts w:cs="Arial"/>
          <w:bCs/>
          <w:color w:val="auto"/>
          <w:sz w:val="24"/>
        </w:rPr>
      </w:pPr>
      <w:r>
        <w:rPr>
          <w:rFonts w:cs="Arial"/>
          <w:bCs/>
          <w:color w:val="auto"/>
          <w:sz w:val="24"/>
        </w:rPr>
        <w:t>支持护理医嘱套餐</w:t>
      </w:r>
      <w:r>
        <w:rPr>
          <w:rFonts w:hint="eastAsia" w:cs="Arial"/>
          <w:bCs/>
          <w:color w:val="auto"/>
          <w:sz w:val="24"/>
        </w:rPr>
        <w:t>（例如：</w:t>
      </w:r>
      <w:r>
        <w:rPr>
          <w:rFonts w:cs="Arial"/>
          <w:bCs/>
          <w:color w:val="auto"/>
          <w:sz w:val="24"/>
        </w:rPr>
        <w:t>治疗费、处置费</w:t>
      </w:r>
      <w:r>
        <w:rPr>
          <w:rFonts w:hint="eastAsia" w:cs="Arial"/>
          <w:bCs/>
          <w:color w:val="auto"/>
          <w:sz w:val="24"/>
        </w:rPr>
        <w:t>等）</w:t>
      </w:r>
      <w:r>
        <w:rPr>
          <w:rFonts w:cs="Arial"/>
          <w:bCs/>
          <w:color w:val="auto"/>
          <w:sz w:val="24"/>
        </w:rPr>
        <w:t>设置</w:t>
      </w:r>
      <w:r>
        <w:rPr>
          <w:rFonts w:hint="eastAsia" w:cs="Arial"/>
          <w:bCs/>
          <w:color w:val="auto"/>
          <w:sz w:val="24"/>
        </w:rPr>
        <w:t>、</w:t>
      </w:r>
      <w:r>
        <w:rPr>
          <w:rFonts w:cs="Arial"/>
          <w:bCs/>
          <w:color w:val="auto"/>
          <w:sz w:val="24"/>
        </w:rPr>
        <w:t>调用。</w:t>
      </w:r>
    </w:p>
    <w:p w14:paraId="3957ED47">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填写药物皮试结果</w:t>
      </w:r>
      <w:r>
        <w:rPr>
          <w:rFonts w:hint="eastAsia" w:cs="Arial"/>
          <w:bCs/>
          <w:color w:val="auto"/>
          <w:sz w:val="24"/>
        </w:rPr>
        <w:t>。</w:t>
      </w:r>
    </w:p>
    <w:p w14:paraId="4EA5782B">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提供临床路径护理记录模</w:t>
      </w:r>
      <w:r>
        <w:rPr>
          <w:rFonts w:hint="eastAsia" w:cs="Arial"/>
          <w:bCs/>
          <w:color w:val="auto"/>
          <w:sz w:val="24"/>
        </w:rPr>
        <w:t>板</w:t>
      </w:r>
      <w:r>
        <w:rPr>
          <w:rFonts w:cs="Arial"/>
          <w:bCs/>
          <w:color w:val="auto"/>
          <w:sz w:val="24"/>
        </w:rPr>
        <w:t>。</w:t>
      </w:r>
    </w:p>
    <w:p w14:paraId="5EEC154B">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将医嘱的执行情况、皮试结果等反馈给住院医生工作站</w:t>
      </w:r>
      <w:r>
        <w:rPr>
          <w:rFonts w:hint="eastAsia" w:cs="Arial"/>
          <w:bCs/>
          <w:color w:val="auto"/>
          <w:sz w:val="24"/>
        </w:rPr>
        <w:t>，</w:t>
      </w:r>
      <w:r>
        <w:rPr>
          <w:rFonts w:cs="Arial"/>
          <w:bCs/>
          <w:color w:val="auto"/>
          <w:sz w:val="24"/>
        </w:rPr>
        <w:t>并有提示信息</w:t>
      </w:r>
      <w:r>
        <w:rPr>
          <w:rFonts w:hint="eastAsia" w:cs="Arial"/>
          <w:bCs/>
          <w:color w:val="auto"/>
          <w:sz w:val="24"/>
        </w:rPr>
        <w:t>。</w:t>
      </w:r>
    </w:p>
    <w:p w14:paraId="2BFF0DDC">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根据医生医嘱自动生成输液单，格式完全与医生医嘱格式相同，预留执行时间栏、执行人签字栏、病人签字栏</w:t>
      </w:r>
      <w:r>
        <w:rPr>
          <w:rFonts w:hint="eastAsia" w:cs="Arial"/>
          <w:bCs/>
          <w:color w:val="auto"/>
          <w:sz w:val="24"/>
        </w:rPr>
        <w:t>。</w:t>
      </w:r>
    </w:p>
    <w:p w14:paraId="579AB3A4">
      <w:pPr>
        <w:pStyle w:val="94"/>
        <w:numPr>
          <w:ilvl w:val="0"/>
          <w:numId w:val="74"/>
        </w:numPr>
        <w:ind w:left="0" w:firstLine="480"/>
        <w:rPr>
          <w:rFonts w:cs="Arial"/>
          <w:bCs/>
          <w:color w:val="auto"/>
          <w:sz w:val="24"/>
        </w:rPr>
      </w:pPr>
      <w:r>
        <w:rPr>
          <w:rFonts w:hint="eastAsia" w:cs="Arial"/>
          <w:bCs/>
          <w:color w:val="auto"/>
          <w:sz w:val="24"/>
        </w:rPr>
        <w:t>支持根据医嘱自</w:t>
      </w:r>
      <w:r>
        <w:rPr>
          <w:rFonts w:cs="Arial"/>
          <w:bCs/>
          <w:color w:val="auto"/>
          <w:sz w:val="24"/>
        </w:rPr>
        <w:t>动生成胰岛素注射单、血糖采集单等。</w:t>
      </w:r>
    </w:p>
    <w:p w14:paraId="128B7088">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根据输血申请单自动产生临时医嘱并自动计价血费及相关费用，血库据此可备血发血。</w:t>
      </w:r>
    </w:p>
    <w:p w14:paraId="33632499">
      <w:pPr>
        <w:pStyle w:val="94"/>
        <w:numPr>
          <w:ilvl w:val="0"/>
          <w:numId w:val="74"/>
        </w:numPr>
        <w:ind w:left="0" w:firstLine="480"/>
        <w:rPr>
          <w:rFonts w:cs="Arial"/>
          <w:bCs/>
          <w:color w:val="auto"/>
          <w:sz w:val="24"/>
        </w:rPr>
      </w:pPr>
      <w:r>
        <w:rPr>
          <w:rFonts w:cs="Arial"/>
          <w:bCs/>
          <w:color w:val="auto"/>
          <w:sz w:val="24"/>
        </w:rPr>
        <w:t>支持单个病人输入和全科病人成批输入三测单提供发烧、术后、新入院、住院满周的特殊病人体温查询</w:t>
      </w:r>
      <w:r>
        <w:rPr>
          <w:rFonts w:hint="eastAsia" w:cs="Arial"/>
          <w:bCs/>
          <w:color w:val="auto"/>
          <w:sz w:val="24"/>
        </w:rPr>
        <w:t>。</w:t>
      </w:r>
    </w:p>
    <w:p w14:paraId="7A4404A5">
      <w:pPr>
        <w:pStyle w:val="94"/>
        <w:numPr>
          <w:ilvl w:val="0"/>
          <w:numId w:val="74"/>
        </w:numPr>
        <w:ind w:left="0" w:firstLine="480"/>
        <w:rPr>
          <w:rFonts w:cs="Arial"/>
          <w:bCs/>
          <w:color w:val="auto"/>
          <w:sz w:val="24"/>
        </w:rPr>
      </w:pPr>
      <w:r>
        <w:rPr>
          <w:rFonts w:hint="eastAsia" w:cs="Arial"/>
          <w:bCs/>
          <w:color w:val="auto"/>
          <w:sz w:val="24"/>
        </w:rPr>
        <w:t>支持</w:t>
      </w:r>
      <w:r>
        <w:rPr>
          <w:rFonts w:cs="Arial"/>
          <w:bCs/>
          <w:color w:val="auto"/>
          <w:sz w:val="24"/>
        </w:rPr>
        <w:t>打印治疗单，支持对治疗单分类维护</w:t>
      </w:r>
      <w:r>
        <w:rPr>
          <w:rFonts w:hint="eastAsia" w:cs="Arial"/>
          <w:bCs/>
          <w:color w:val="auto"/>
          <w:sz w:val="24"/>
        </w:rPr>
        <w:t>。</w:t>
      </w:r>
    </w:p>
    <w:p w14:paraId="1CB8BDB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费用管理</w:t>
      </w:r>
      <w:bookmarkEnd w:id="180"/>
    </w:p>
    <w:p w14:paraId="76FFF3D8">
      <w:pPr>
        <w:pStyle w:val="94"/>
        <w:numPr>
          <w:ilvl w:val="0"/>
          <w:numId w:val="75"/>
        </w:numPr>
        <w:ind w:left="0" w:firstLine="480"/>
        <w:rPr>
          <w:rFonts w:cs="Arial"/>
          <w:bCs/>
          <w:color w:val="auto"/>
          <w:sz w:val="24"/>
        </w:rPr>
      </w:pPr>
      <w:bookmarkStart w:id="181" w:name="_Toc106373001"/>
      <w:r>
        <w:rPr>
          <w:rFonts w:hint="eastAsia" w:cs="Arial"/>
          <w:bCs/>
          <w:color w:val="auto"/>
          <w:sz w:val="24"/>
        </w:rPr>
        <w:t>支持</w:t>
      </w:r>
      <w:r>
        <w:rPr>
          <w:rFonts w:cs="Arial"/>
          <w:bCs/>
          <w:color w:val="auto"/>
          <w:sz w:val="24"/>
        </w:rPr>
        <w:t>可通过套餐录入收费（一次性材料、治疗费等）。</w:t>
      </w:r>
    </w:p>
    <w:p w14:paraId="4A1E06E2">
      <w:pPr>
        <w:pStyle w:val="94"/>
        <w:numPr>
          <w:ilvl w:val="0"/>
          <w:numId w:val="75"/>
        </w:numPr>
        <w:ind w:left="0" w:firstLine="480"/>
        <w:rPr>
          <w:rFonts w:cs="Arial"/>
          <w:bCs/>
          <w:color w:val="auto"/>
          <w:sz w:val="24"/>
        </w:rPr>
      </w:pPr>
      <w:r>
        <w:rPr>
          <w:rFonts w:hint="eastAsia" w:cs="Arial"/>
          <w:bCs/>
          <w:color w:val="auto"/>
          <w:sz w:val="24"/>
        </w:rPr>
        <w:t>支持查看</w:t>
      </w:r>
      <w:r>
        <w:rPr>
          <w:rFonts w:cs="Arial"/>
          <w:bCs/>
          <w:color w:val="auto"/>
          <w:sz w:val="24"/>
        </w:rPr>
        <w:t>病区（病人）退费情况一览表</w:t>
      </w:r>
      <w:r>
        <w:rPr>
          <w:rFonts w:hint="eastAsia" w:cs="Arial"/>
          <w:bCs/>
          <w:color w:val="auto"/>
          <w:sz w:val="24"/>
        </w:rPr>
        <w:t>。</w:t>
      </w:r>
    </w:p>
    <w:p w14:paraId="479CDEFA">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查询病区欠费病人清单，打印催缴通知单。</w:t>
      </w:r>
    </w:p>
    <w:p w14:paraId="5BA1BA0D">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查询病人截至当前的</w:t>
      </w:r>
      <w:r>
        <w:rPr>
          <w:rFonts w:hint="eastAsia" w:cs="Arial"/>
          <w:bCs/>
          <w:color w:val="auto"/>
          <w:sz w:val="24"/>
        </w:rPr>
        <w:t>账</w:t>
      </w:r>
      <w:r>
        <w:rPr>
          <w:rFonts w:cs="Arial"/>
          <w:bCs/>
          <w:color w:val="auto"/>
          <w:sz w:val="24"/>
        </w:rPr>
        <w:t>务情况，费用可明细到具体项目</w:t>
      </w:r>
      <w:r>
        <w:rPr>
          <w:rFonts w:hint="eastAsia" w:cs="Arial"/>
          <w:bCs/>
          <w:color w:val="auto"/>
          <w:sz w:val="24"/>
        </w:rPr>
        <w:t>。</w:t>
      </w:r>
    </w:p>
    <w:p w14:paraId="34137B60">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根据医嘱查询每日医嘱费用、全部医嘱费用（如有转科，可按转科核对</w:t>
      </w:r>
      <w:r>
        <w:rPr>
          <w:rFonts w:hint="eastAsia" w:cs="Arial"/>
          <w:bCs/>
          <w:color w:val="auto"/>
          <w:sz w:val="24"/>
        </w:rPr>
        <w:t>。</w:t>
      </w:r>
      <w:r>
        <w:rPr>
          <w:rFonts w:cs="Arial"/>
          <w:bCs/>
          <w:color w:val="auto"/>
          <w:sz w:val="24"/>
        </w:rPr>
        <w:t>如有中途结帐，可按已结和未结算来核对，已结部分可选发票进行核对）</w:t>
      </w:r>
      <w:r>
        <w:rPr>
          <w:rFonts w:hint="eastAsia" w:cs="Arial"/>
          <w:bCs/>
          <w:color w:val="auto"/>
          <w:sz w:val="24"/>
        </w:rPr>
        <w:t>。</w:t>
      </w:r>
    </w:p>
    <w:p w14:paraId="6597FEB0">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分科室进行项目汇总查询及打印非医嘱费用清单。</w:t>
      </w:r>
    </w:p>
    <w:p w14:paraId="6274DB4A">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欠费管理，按照不同的科室、病区、医保类型等设置欠费金额</w:t>
      </w:r>
      <w:r>
        <w:rPr>
          <w:rFonts w:hint="eastAsia" w:cs="Arial"/>
          <w:bCs/>
          <w:color w:val="auto"/>
          <w:sz w:val="24"/>
        </w:rPr>
        <w:t>。</w:t>
      </w:r>
    </w:p>
    <w:p w14:paraId="1BAFAD8F">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停止及作废医嘱退费申请。</w:t>
      </w:r>
    </w:p>
    <w:p w14:paraId="6B754816">
      <w:pPr>
        <w:pStyle w:val="94"/>
        <w:numPr>
          <w:ilvl w:val="0"/>
          <w:numId w:val="75"/>
        </w:numPr>
        <w:ind w:left="0" w:firstLine="480"/>
        <w:rPr>
          <w:rFonts w:cs="Arial"/>
          <w:bCs/>
          <w:color w:val="auto"/>
          <w:sz w:val="24"/>
        </w:rPr>
      </w:pPr>
      <w:r>
        <w:rPr>
          <w:rFonts w:hint="eastAsia" w:cs="Arial"/>
          <w:bCs/>
          <w:color w:val="auto"/>
          <w:sz w:val="24"/>
        </w:rPr>
        <w:t>支持查询并打印</w:t>
      </w:r>
      <w:r>
        <w:rPr>
          <w:rFonts w:cs="Arial"/>
          <w:bCs/>
          <w:color w:val="auto"/>
          <w:sz w:val="24"/>
        </w:rPr>
        <w:t>住院费用清单（含每日费用清单）</w:t>
      </w:r>
      <w:r>
        <w:rPr>
          <w:rFonts w:hint="eastAsia" w:cs="Arial"/>
          <w:bCs/>
          <w:color w:val="auto"/>
          <w:sz w:val="24"/>
        </w:rPr>
        <w:t>。</w:t>
      </w:r>
    </w:p>
    <w:p w14:paraId="035AC079">
      <w:pPr>
        <w:pStyle w:val="94"/>
        <w:numPr>
          <w:ilvl w:val="0"/>
          <w:numId w:val="75"/>
        </w:numPr>
        <w:ind w:left="0" w:firstLine="480"/>
        <w:rPr>
          <w:rFonts w:cs="Arial"/>
          <w:bCs/>
          <w:color w:val="auto"/>
          <w:sz w:val="24"/>
        </w:rPr>
      </w:pPr>
      <w:r>
        <w:rPr>
          <w:rFonts w:hint="eastAsia" w:cs="Arial"/>
          <w:bCs/>
          <w:color w:val="auto"/>
          <w:sz w:val="24"/>
        </w:rPr>
        <w:t>支持</w:t>
      </w:r>
      <w:r>
        <w:rPr>
          <w:rFonts w:cs="Arial"/>
          <w:bCs/>
          <w:color w:val="auto"/>
          <w:sz w:val="24"/>
        </w:rPr>
        <w:t>接收并打印药品单、退药清单</w:t>
      </w:r>
      <w:r>
        <w:rPr>
          <w:rFonts w:hint="eastAsia" w:cs="Arial"/>
          <w:bCs/>
          <w:color w:val="auto"/>
          <w:sz w:val="24"/>
        </w:rPr>
        <w:t>。</w:t>
      </w:r>
    </w:p>
    <w:p w14:paraId="133F20D2">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用药管理</w:t>
      </w:r>
      <w:bookmarkEnd w:id="181"/>
    </w:p>
    <w:p w14:paraId="4E9E8DCE">
      <w:pPr>
        <w:pStyle w:val="94"/>
        <w:numPr>
          <w:ilvl w:val="0"/>
          <w:numId w:val="76"/>
        </w:numPr>
        <w:ind w:left="0" w:firstLine="480"/>
        <w:rPr>
          <w:rFonts w:cs="Arial"/>
          <w:bCs/>
          <w:color w:val="auto"/>
          <w:sz w:val="24"/>
        </w:rPr>
      </w:pPr>
      <w:r>
        <w:rPr>
          <w:rFonts w:hint="eastAsia" w:cs="Arial"/>
          <w:bCs/>
          <w:color w:val="auto"/>
          <w:sz w:val="24"/>
        </w:rPr>
        <w:t>支持</w:t>
      </w:r>
      <w:r>
        <w:rPr>
          <w:rFonts w:cs="Arial"/>
          <w:bCs/>
          <w:color w:val="auto"/>
          <w:sz w:val="24"/>
        </w:rPr>
        <w:t>药品汇总，</w:t>
      </w:r>
      <w:r>
        <w:rPr>
          <w:rFonts w:hint="eastAsia" w:cs="Arial"/>
          <w:bCs/>
          <w:color w:val="auto"/>
          <w:sz w:val="24"/>
        </w:rPr>
        <w:t>生成领药单，</w:t>
      </w:r>
      <w:r>
        <w:rPr>
          <w:rFonts w:cs="Arial"/>
          <w:bCs/>
          <w:color w:val="auto"/>
          <w:sz w:val="24"/>
        </w:rPr>
        <w:t>集中发送药房功能</w:t>
      </w:r>
      <w:r>
        <w:rPr>
          <w:rFonts w:hint="eastAsia" w:cs="Arial"/>
          <w:bCs/>
          <w:color w:val="auto"/>
          <w:sz w:val="24"/>
        </w:rPr>
        <w:t>。</w:t>
      </w:r>
    </w:p>
    <w:p w14:paraId="6F7D9DC2">
      <w:pPr>
        <w:pStyle w:val="94"/>
        <w:numPr>
          <w:ilvl w:val="0"/>
          <w:numId w:val="76"/>
        </w:numPr>
        <w:ind w:left="0" w:firstLine="480"/>
        <w:rPr>
          <w:rFonts w:cs="Arial"/>
          <w:bCs/>
          <w:color w:val="auto"/>
          <w:sz w:val="24"/>
        </w:rPr>
      </w:pPr>
      <w:r>
        <w:rPr>
          <w:rFonts w:hint="eastAsia" w:cs="Arial"/>
          <w:bCs/>
          <w:color w:val="auto"/>
          <w:sz w:val="24"/>
        </w:rPr>
        <w:t>支持</w:t>
      </w:r>
      <w:r>
        <w:rPr>
          <w:rFonts w:cs="Arial"/>
          <w:bCs/>
          <w:color w:val="auto"/>
          <w:sz w:val="24"/>
        </w:rPr>
        <w:t>病区药品管理</w:t>
      </w:r>
      <w:r>
        <w:rPr>
          <w:rFonts w:hint="eastAsia" w:cs="Arial"/>
          <w:bCs/>
          <w:color w:val="auto"/>
          <w:sz w:val="24"/>
        </w:rPr>
        <w:t>，可提供</w:t>
      </w:r>
      <w:r>
        <w:rPr>
          <w:rFonts w:cs="Arial"/>
          <w:bCs/>
          <w:color w:val="auto"/>
          <w:sz w:val="24"/>
        </w:rPr>
        <w:t>本病区的药品的入出库情况，统计药品的收支信息，包括本病区药品维护设置，药品出入库管理，本病区医嘱发药处理、本病区盘点处理、月底对帐、收支查询及本病区库房的初始化等功能。</w:t>
      </w:r>
      <w:r>
        <w:rPr>
          <w:rFonts w:hint="eastAsia" w:cs="Arial"/>
          <w:bCs/>
          <w:color w:val="auto"/>
          <w:sz w:val="24"/>
        </w:rPr>
        <w:t>物品</w:t>
      </w:r>
      <w:r>
        <w:rPr>
          <w:rFonts w:cs="Arial"/>
          <w:bCs/>
          <w:color w:val="auto"/>
          <w:sz w:val="24"/>
        </w:rPr>
        <w:t>消耗采用医嘱执行自动减库存的方式，方便而又准确。</w:t>
      </w:r>
    </w:p>
    <w:p w14:paraId="54FD5E93">
      <w:pPr>
        <w:pStyle w:val="94"/>
        <w:numPr>
          <w:ilvl w:val="0"/>
          <w:numId w:val="76"/>
        </w:numPr>
        <w:ind w:left="0" w:firstLine="480"/>
        <w:rPr>
          <w:rFonts w:cs="Arial"/>
          <w:bCs/>
          <w:color w:val="auto"/>
          <w:sz w:val="24"/>
        </w:rPr>
      </w:pPr>
      <w:r>
        <w:rPr>
          <w:rFonts w:cs="Arial"/>
          <w:bCs/>
          <w:color w:val="auto"/>
          <w:sz w:val="24"/>
        </w:rPr>
        <w:t>支持病区摆药管理模式，提供摆药查询等功能</w:t>
      </w:r>
      <w:r>
        <w:rPr>
          <w:rFonts w:hint="eastAsia" w:cs="Arial"/>
          <w:bCs/>
          <w:color w:val="auto"/>
          <w:sz w:val="24"/>
        </w:rPr>
        <w:t>。</w:t>
      </w:r>
    </w:p>
    <w:p w14:paraId="5B7D5683">
      <w:pPr>
        <w:pStyle w:val="94"/>
        <w:numPr>
          <w:ilvl w:val="0"/>
          <w:numId w:val="76"/>
        </w:numPr>
        <w:ind w:left="0" w:firstLine="480"/>
        <w:rPr>
          <w:rFonts w:cs="Arial"/>
          <w:bCs/>
          <w:color w:val="auto"/>
          <w:sz w:val="24"/>
        </w:rPr>
      </w:pPr>
      <w:r>
        <w:rPr>
          <w:rFonts w:cs="Arial"/>
          <w:bCs/>
          <w:color w:val="auto"/>
          <w:sz w:val="24"/>
        </w:rPr>
        <w:t>支持药品核收，退药申请等病房药品管理功能</w:t>
      </w:r>
      <w:r>
        <w:rPr>
          <w:rFonts w:hint="eastAsia" w:cs="Arial"/>
          <w:bCs/>
          <w:color w:val="auto"/>
          <w:sz w:val="24"/>
        </w:rPr>
        <w:t>。</w:t>
      </w:r>
    </w:p>
    <w:p w14:paraId="0CDEA026">
      <w:pPr>
        <w:pStyle w:val="94"/>
        <w:numPr>
          <w:ilvl w:val="0"/>
          <w:numId w:val="76"/>
        </w:numPr>
        <w:ind w:left="0" w:firstLine="480"/>
        <w:rPr>
          <w:rFonts w:cs="Arial"/>
          <w:bCs/>
          <w:color w:val="auto"/>
          <w:sz w:val="24"/>
        </w:rPr>
      </w:pPr>
      <w:r>
        <w:rPr>
          <w:rFonts w:hint="eastAsia" w:cs="Arial"/>
          <w:bCs/>
          <w:color w:val="auto"/>
          <w:sz w:val="24"/>
        </w:rPr>
        <w:t>支持查询</w:t>
      </w:r>
      <w:r>
        <w:rPr>
          <w:rFonts w:cs="Arial"/>
          <w:bCs/>
          <w:color w:val="auto"/>
          <w:sz w:val="24"/>
        </w:rPr>
        <w:t>领药和发药情况</w:t>
      </w:r>
      <w:r>
        <w:rPr>
          <w:rFonts w:hint="eastAsia" w:cs="Arial"/>
          <w:bCs/>
          <w:color w:val="auto"/>
          <w:sz w:val="24"/>
        </w:rPr>
        <w:t>。</w:t>
      </w:r>
    </w:p>
    <w:p w14:paraId="2F15B198">
      <w:pPr>
        <w:pStyle w:val="94"/>
        <w:numPr>
          <w:ilvl w:val="0"/>
          <w:numId w:val="76"/>
        </w:numPr>
        <w:ind w:left="0" w:firstLine="480"/>
        <w:rPr>
          <w:rFonts w:cs="Arial"/>
          <w:bCs/>
          <w:color w:val="auto"/>
          <w:sz w:val="24"/>
        </w:rPr>
      </w:pPr>
      <w:r>
        <w:rPr>
          <w:rFonts w:hint="eastAsia" w:cs="Arial"/>
          <w:bCs/>
          <w:color w:val="auto"/>
          <w:sz w:val="24"/>
        </w:rPr>
        <w:t>支持</w:t>
      </w:r>
      <w:r>
        <w:rPr>
          <w:rFonts w:cs="Arial"/>
          <w:bCs/>
          <w:color w:val="auto"/>
          <w:sz w:val="24"/>
        </w:rPr>
        <w:t>退药管理。</w:t>
      </w:r>
    </w:p>
    <w:p w14:paraId="7CA99506">
      <w:pPr>
        <w:pStyle w:val="94"/>
        <w:numPr>
          <w:ilvl w:val="0"/>
          <w:numId w:val="76"/>
        </w:numPr>
        <w:ind w:left="0" w:firstLine="480"/>
        <w:rPr>
          <w:rFonts w:cs="Arial"/>
          <w:bCs/>
          <w:color w:val="auto"/>
          <w:sz w:val="24"/>
        </w:rPr>
      </w:pPr>
      <w:r>
        <w:rPr>
          <w:rFonts w:hint="eastAsia" w:cs="Arial"/>
          <w:bCs/>
          <w:color w:val="auto"/>
          <w:sz w:val="24"/>
        </w:rPr>
        <w:t>支持</w:t>
      </w:r>
      <w:r>
        <w:rPr>
          <w:rFonts w:cs="Arial"/>
          <w:bCs/>
          <w:color w:val="auto"/>
          <w:sz w:val="24"/>
        </w:rPr>
        <w:t>查询所有药品类别、剂量、价格。</w:t>
      </w:r>
    </w:p>
    <w:p w14:paraId="39BE8462">
      <w:pPr>
        <w:pStyle w:val="94"/>
        <w:numPr>
          <w:ilvl w:val="0"/>
          <w:numId w:val="76"/>
        </w:numPr>
        <w:ind w:left="0" w:firstLine="480"/>
        <w:rPr>
          <w:rFonts w:cs="Arial"/>
          <w:bCs/>
          <w:color w:val="auto"/>
          <w:sz w:val="24"/>
        </w:rPr>
      </w:pPr>
      <w:r>
        <w:rPr>
          <w:rFonts w:hint="eastAsia" w:cs="Arial"/>
          <w:bCs/>
          <w:color w:val="auto"/>
          <w:sz w:val="24"/>
        </w:rPr>
        <w:t>支持</w:t>
      </w:r>
      <w:r>
        <w:rPr>
          <w:rFonts w:cs="Arial"/>
          <w:bCs/>
          <w:color w:val="auto"/>
          <w:sz w:val="24"/>
        </w:rPr>
        <w:t>打印领药单，支持对领药单分类维护</w:t>
      </w:r>
      <w:r>
        <w:rPr>
          <w:rFonts w:hint="eastAsia" w:cs="Arial"/>
          <w:bCs/>
          <w:color w:val="auto"/>
          <w:sz w:val="24"/>
        </w:rPr>
        <w:t>。</w:t>
      </w:r>
    </w:p>
    <w:p w14:paraId="0B2B2819">
      <w:pPr>
        <w:pStyle w:val="94"/>
        <w:numPr>
          <w:ilvl w:val="0"/>
          <w:numId w:val="76"/>
        </w:numPr>
        <w:ind w:left="0" w:firstLine="480"/>
        <w:rPr>
          <w:rFonts w:cs="Arial"/>
          <w:bCs/>
          <w:color w:val="auto"/>
          <w:sz w:val="24"/>
        </w:rPr>
      </w:pPr>
      <w:r>
        <w:rPr>
          <w:rFonts w:hint="eastAsia" w:cs="Arial"/>
          <w:bCs/>
          <w:color w:val="auto"/>
          <w:sz w:val="24"/>
        </w:rPr>
        <w:t>支持</w:t>
      </w:r>
      <w:r>
        <w:rPr>
          <w:rFonts w:cs="Arial"/>
          <w:bCs/>
          <w:color w:val="auto"/>
          <w:sz w:val="24"/>
        </w:rPr>
        <w:t>按用法不同打印各种不同的医嘱执行单</w:t>
      </w:r>
      <w:r>
        <w:rPr>
          <w:rFonts w:hint="eastAsia" w:cs="Arial"/>
          <w:bCs/>
          <w:color w:val="auto"/>
          <w:sz w:val="24"/>
        </w:rPr>
        <w:t>、输液单、瓶签、注射卡、口服单等。</w:t>
      </w:r>
    </w:p>
    <w:p w14:paraId="517C0861">
      <w:pPr>
        <w:pStyle w:val="14"/>
        <w:bidi w:val="0"/>
        <w:rPr>
          <w:color w:val="auto"/>
        </w:rPr>
      </w:pPr>
      <w:r>
        <w:rPr>
          <w:rFonts w:hint="eastAsia"/>
          <w:color w:val="auto"/>
          <w:lang w:val="en-US" w:eastAsia="zh-CN"/>
        </w:rPr>
        <w:t xml:space="preserve"> 护</w:t>
      </w:r>
      <w:r>
        <w:rPr>
          <w:rFonts w:hint="eastAsia"/>
          <w:color w:val="auto"/>
        </w:rPr>
        <w:t>理白板系统</w:t>
      </w:r>
    </w:p>
    <w:p w14:paraId="7BC123DC">
      <w:pPr>
        <w:bidi w:val="0"/>
        <w:rPr>
          <w:color w:val="auto"/>
        </w:rPr>
      </w:pPr>
      <w:r>
        <w:rPr>
          <w:color w:val="auto"/>
        </w:rPr>
        <w:t>通过自定义拖拽界面集成患者信息、医嘱、护理计划及生命体征等关键数据，实现全病区动态可视化监控，并配备医嘱、输液、危急值等智能提醒功能，显著提升护理效率与患者安全管理水平。</w:t>
      </w:r>
    </w:p>
    <w:p w14:paraId="69A81B5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D09DA52">
      <w:pPr>
        <w:pStyle w:val="341"/>
        <w:spacing w:beforeLines="0"/>
        <w:ind w:firstLine="482"/>
        <w:rPr>
          <w:rFonts w:hint="eastAsia" w:ascii="宋体" w:hAnsi="宋体" w:cs="仿宋"/>
          <w:b/>
          <w:bCs/>
          <w:color w:val="auto"/>
          <w:sz w:val="24"/>
          <w:szCs w:val="24"/>
        </w:rPr>
      </w:pPr>
      <w:bookmarkStart w:id="182" w:name="_Toc106373250"/>
      <w:r>
        <w:rPr>
          <w:rFonts w:hint="eastAsia" w:ascii="宋体" w:hAnsi="宋体" w:cs="仿宋"/>
          <w:b/>
          <w:bCs/>
          <w:color w:val="auto"/>
          <w:sz w:val="24"/>
          <w:szCs w:val="24"/>
        </w:rPr>
        <w:t>自定义界面设计</w:t>
      </w:r>
      <w:bookmarkEnd w:id="182"/>
    </w:p>
    <w:p w14:paraId="372A0454">
      <w:pPr>
        <w:pStyle w:val="94"/>
        <w:ind w:firstLine="200" w:firstLineChars="0"/>
        <w:rPr>
          <w:rFonts w:cs="仿宋"/>
          <w:bCs/>
          <w:color w:val="auto"/>
          <w:sz w:val="24"/>
        </w:rPr>
      </w:pPr>
      <w:r>
        <w:rPr>
          <w:rFonts w:hint="eastAsia" w:cs="仿宋"/>
          <w:bCs/>
          <w:color w:val="auto"/>
          <w:sz w:val="24"/>
        </w:rPr>
        <w:t>支持科室自定义白板显示内容，定义时支持拖拽式操作。</w:t>
      </w:r>
    </w:p>
    <w:p w14:paraId="62B2EF96">
      <w:pPr>
        <w:pStyle w:val="341"/>
        <w:spacing w:beforeLines="0"/>
        <w:ind w:firstLine="482"/>
        <w:rPr>
          <w:rFonts w:hint="eastAsia" w:ascii="宋体" w:hAnsi="宋体" w:cs="仿宋"/>
          <w:b/>
          <w:bCs/>
          <w:color w:val="auto"/>
          <w:sz w:val="24"/>
          <w:szCs w:val="24"/>
        </w:rPr>
      </w:pPr>
      <w:bookmarkStart w:id="183" w:name="_Toc106373251"/>
      <w:r>
        <w:rPr>
          <w:rFonts w:hint="eastAsia" w:ascii="宋体" w:hAnsi="宋体" w:cs="仿宋"/>
          <w:b/>
          <w:bCs/>
          <w:color w:val="auto"/>
          <w:sz w:val="24"/>
          <w:szCs w:val="24"/>
        </w:rPr>
        <w:t>白板显示</w:t>
      </w:r>
      <w:bookmarkEnd w:id="183"/>
    </w:p>
    <w:p w14:paraId="76D766CC">
      <w:pPr>
        <w:pStyle w:val="94"/>
        <w:numPr>
          <w:ilvl w:val="0"/>
          <w:numId w:val="77"/>
        </w:numPr>
        <w:ind w:left="0" w:firstLine="480"/>
        <w:rPr>
          <w:rFonts w:cs="Arial"/>
          <w:bCs/>
          <w:color w:val="auto"/>
          <w:sz w:val="24"/>
        </w:rPr>
      </w:pPr>
      <w:bookmarkStart w:id="184" w:name="_Toc106373252"/>
      <w:r>
        <w:rPr>
          <w:rFonts w:cs="Arial"/>
          <w:bCs/>
          <w:color w:val="auto"/>
          <w:sz w:val="24"/>
        </w:rPr>
        <w:t>支持查看全病区患者信息概览图</w:t>
      </w:r>
      <w:r>
        <w:rPr>
          <w:rFonts w:hint="eastAsia" w:cs="Arial"/>
          <w:bCs/>
          <w:color w:val="auto"/>
          <w:sz w:val="24"/>
        </w:rPr>
        <w:t>，依据床号将患者进行分类。</w:t>
      </w:r>
    </w:p>
    <w:p w14:paraId="019D2AE1">
      <w:pPr>
        <w:pStyle w:val="94"/>
        <w:numPr>
          <w:ilvl w:val="0"/>
          <w:numId w:val="77"/>
        </w:numPr>
        <w:ind w:left="0" w:firstLine="480"/>
        <w:rPr>
          <w:rFonts w:cs="Arial"/>
          <w:bCs/>
          <w:color w:val="auto"/>
          <w:sz w:val="24"/>
        </w:rPr>
      </w:pPr>
      <w:r>
        <w:rPr>
          <w:rFonts w:cs="Arial"/>
          <w:bCs/>
          <w:color w:val="auto"/>
          <w:sz w:val="24"/>
        </w:rPr>
        <w:t>支持查看重点医嘱患者信息</w:t>
      </w:r>
      <w:r>
        <w:rPr>
          <w:rFonts w:hint="eastAsia" w:cs="Arial"/>
          <w:bCs/>
          <w:color w:val="auto"/>
          <w:sz w:val="24"/>
        </w:rPr>
        <w:t>。</w:t>
      </w:r>
    </w:p>
    <w:p w14:paraId="055A5993">
      <w:pPr>
        <w:pStyle w:val="94"/>
        <w:numPr>
          <w:ilvl w:val="0"/>
          <w:numId w:val="77"/>
        </w:numPr>
        <w:ind w:left="0" w:firstLine="480"/>
        <w:rPr>
          <w:rFonts w:cs="Arial"/>
          <w:bCs/>
          <w:color w:val="auto"/>
          <w:sz w:val="24"/>
        </w:rPr>
      </w:pPr>
      <w:r>
        <w:rPr>
          <w:rFonts w:cs="Arial"/>
          <w:bCs/>
          <w:color w:val="auto"/>
          <w:sz w:val="24"/>
        </w:rPr>
        <w:t>支持对接交接班信息</w:t>
      </w:r>
      <w:r>
        <w:rPr>
          <w:rFonts w:hint="eastAsia" w:cs="Arial"/>
          <w:bCs/>
          <w:color w:val="auto"/>
          <w:sz w:val="24"/>
        </w:rPr>
        <w:t>，</w:t>
      </w:r>
      <w:r>
        <w:rPr>
          <w:rFonts w:cs="Arial"/>
          <w:bCs/>
          <w:color w:val="auto"/>
          <w:sz w:val="24"/>
        </w:rPr>
        <w:t>并提供统一的交接班概览</w:t>
      </w:r>
      <w:r>
        <w:rPr>
          <w:rFonts w:hint="eastAsia" w:cs="Arial"/>
          <w:bCs/>
          <w:color w:val="auto"/>
          <w:sz w:val="24"/>
        </w:rPr>
        <w:t>。</w:t>
      </w:r>
    </w:p>
    <w:p w14:paraId="539A9E60">
      <w:pPr>
        <w:pStyle w:val="94"/>
        <w:numPr>
          <w:ilvl w:val="0"/>
          <w:numId w:val="77"/>
        </w:numPr>
        <w:ind w:left="0" w:firstLine="480"/>
        <w:rPr>
          <w:rFonts w:cs="Arial"/>
          <w:bCs/>
          <w:color w:val="auto"/>
          <w:sz w:val="24"/>
        </w:rPr>
      </w:pPr>
      <w:r>
        <w:rPr>
          <w:rFonts w:cs="Arial"/>
          <w:bCs/>
          <w:color w:val="auto"/>
          <w:sz w:val="24"/>
        </w:rPr>
        <w:t>支持查看患者护理计划</w:t>
      </w:r>
      <w:r>
        <w:rPr>
          <w:rFonts w:hint="eastAsia" w:cs="Arial"/>
          <w:bCs/>
          <w:color w:val="auto"/>
          <w:sz w:val="24"/>
        </w:rPr>
        <w:t>，</w:t>
      </w:r>
      <w:r>
        <w:rPr>
          <w:rFonts w:cs="Arial"/>
          <w:bCs/>
          <w:color w:val="auto"/>
          <w:sz w:val="24"/>
        </w:rPr>
        <w:t>提供科室统一的患者护理计划概览</w:t>
      </w:r>
      <w:r>
        <w:rPr>
          <w:rFonts w:hint="eastAsia" w:cs="Arial"/>
          <w:bCs/>
          <w:color w:val="auto"/>
          <w:sz w:val="24"/>
        </w:rPr>
        <w:t>。</w:t>
      </w:r>
    </w:p>
    <w:p w14:paraId="040E275E">
      <w:pPr>
        <w:pStyle w:val="94"/>
        <w:numPr>
          <w:ilvl w:val="0"/>
          <w:numId w:val="77"/>
        </w:numPr>
        <w:ind w:left="0" w:firstLine="480"/>
        <w:rPr>
          <w:rFonts w:cs="Arial"/>
          <w:bCs/>
          <w:color w:val="auto"/>
          <w:sz w:val="24"/>
        </w:rPr>
      </w:pPr>
      <w:r>
        <w:rPr>
          <w:rFonts w:cs="Arial"/>
          <w:bCs/>
          <w:color w:val="auto"/>
          <w:sz w:val="24"/>
        </w:rPr>
        <w:t>支持对患者生命体征信息在护理白板上统一展现</w:t>
      </w:r>
      <w:r>
        <w:rPr>
          <w:rFonts w:hint="eastAsia" w:cs="Arial"/>
          <w:bCs/>
          <w:color w:val="auto"/>
          <w:sz w:val="24"/>
        </w:rPr>
        <w:t>。</w:t>
      </w:r>
    </w:p>
    <w:p w14:paraId="01F4EA7B">
      <w:pPr>
        <w:pStyle w:val="94"/>
        <w:numPr>
          <w:ilvl w:val="0"/>
          <w:numId w:val="77"/>
        </w:numPr>
        <w:ind w:left="0" w:firstLine="480"/>
        <w:rPr>
          <w:rFonts w:cs="Arial"/>
          <w:bCs/>
          <w:color w:val="auto"/>
          <w:sz w:val="24"/>
        </w:rPr>
      </w:pPr>
      <w:r>
        <w:rPr>
          <w:rFonts w:cs="Arial"/>
          <w:bCs/>
          <w:color w:val="auto"/>
          <w:sz w:val="24"/>
        </w:rPr>
        <w:t>支持对病区所有患者的风险评估指标进行统一概览</w:t>
      </w:r>
      <w:r>
        <w:rPr>
          <w:rFonts w:hint="eastAsia" w:cs="Arial"/>
          <w:bCs/>
          <w:color w:val="auto"/>
          <w:sz w:val="24"/>
        </w:rPr>
        <w:t>。</w:t>
      </w:r>
    </w:p>
    <w:p w14:paraId="0F5BC61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智能提醒</w:t>
      </w:r>
      <w:bookmarkEnd w:id="184"/>
    </w:p>
    <w:p w14:paraId="749EBB18">
      <w:pPr>
        <w:pStyle w:val="94"/>
        <w:ind w:firstLine="480"/>
        <w:rPr>
          <w:rFonts w:cs="Arial"/>
          <w:bCs/>
          <w:color w:val="auto"/>
          <w:sz w:val="24"/>
        </w:rPr>
      </w:pPr>
      <w:r>
        <w:rPr>
          <w:rFonts w:hint="eastAsia" w:cs="Arial"/>
          <w:bCs/>
          <w:color w:val="auto"/>
          <w:sz w:val="24"/>
        </w:rPr>
        <w:t>提供多种消息提醒类型，并在护理白板上进行统一展现，例如：</w:t>
      </w:r>
    </w:p>
    <w:p w14:paraId="0812A89E">
      <w:pPr>
        <w:pStyle w:val="94"/>
        <w:numPr>
          <w:ilvl w:val="0"/>
          <w:numId w:val="78"/>
        </w:numPr>
        <w:ind w:left="425" w:leftChars="0" w:firstLine="55" w:firstLineChars="0"/>
        <w:rPr>
          <w:rFonts w:cs="Arial"/>
          <w:bCs/>
          <w:color w:val="auto"/>
          <w:sz w:val="24"/>
        </w:rPr>
      </w:pPr>
      <w:r>
        <w:rPr>
          <w:rFonts w:hint="eastAsia" w:cs="Arial"/>
          <w:bCs/>
          <w:color w:val="auto"/>
          <w:sz w:val="24"/>
        </w:rPr>
        <w:t>医嘱提醒</w:t>
      </w:r>
    </w:p>
    <w:p w14:paraId="5D13B32A">
      <w:pPr>
        <w:pStyle w:val="94"/>
        <w:numPr>
          <w:ilvl w:val="0"/>
          <w:numId w:val="78"/>
        </w:numPr>
        <w:ind w:left="425" w:leftChars="0" w:firstLine="55" w:firstLineChars="0"/>
        <w:rPr>
          <w:rFonts w:cs="Arial"/>
          <w:bCs/>
          <w:color w:val="auto"/>
          <w:sz w:val="24"/>
        </w:rPr>
      </w:pPr>
      <w:r>
        <w:rPr>
          <w:rFonts w:cs="Arial"/>
          <w:bCs/>
          <w:color w:val="auto"/>
          <w:sz w:val="24"/>
        </w:rPr>
        <w:t>护理任务提醒</w:t>
      </w:r>
    </w:p>
    <w:p w14:paraId="07ED8D8E">
      <w:pPr>
        <w:pStyle w:val="94"/>
        <w:numPr>
          <w:ilvl w:val="0"/>
          <w:numId w:val="78"/>
        </w:numPr>
        <w:ind w:left="425" w:leftChars="0" w:firstLine="55" w:firstLineChars="0"/>
        <w:rPr>
          <w:rFonts w:cs="Arial"/>
          <w:bCs/>
          <w:color w:val="auto"/>
          <w:sz w:val="24"/>
        </w:rPr>
      </w:pPr>
      <w:r>
        <w:rPr>
          <w:rFonts w:cs="Arial"/>
          <w:bCs/>
          <w:color w:val="auto"/>
          <w:sz w:val="24"/>
        </w:rPr>
        <w:t>输液完成提醒</w:t>
      </w:r>
    </w:p>
    <w:p w14:paraId="7F7A70A9">
      <w:pPr>
        <w:pStyle w:val="94"/>
        <w:numPr>
          <w:ilvl w:val="0"/>
          <w:numId w:val="78"/>
        </w:numPr>
        <w:ind w:left="425" w:leftChars="0" w:firstLine="55" w:firstLineChars="0"/>
        <w:rPr>
          <w:rFonts w:cs="Arial"/>
          <w:bCs/>
          <w:color w:val="auto"/>
          <w:sz w:val="24"/>
        </w:rPr>
      </w:pPr>
      <w:r>
        <w:rPr>
          <w:rFonts w:cs="Arial"/>
          <w:bCs/>
          <w:color w:val="auto"/>
          <w:sz w:val="24"/>
        </w:rPr>
        <w:t>危急值提醒</w:t>
      </w:r>
    </w:p>
    <w:p w14:paraId="55FC673C">
      <w:pPr>
        <w:pStyle w:val="14"/>
        <w:bidi w:val="0"/>
        <w:rPr>
          <w:color w:val="auto"/>
        </w:rPr>
      </w:pPr>
      <w:r>
        <w:rPr>
          <w:rFonts w:hint="eastAsia"/>
          <w:color w:val="auto"/>
          <w:lang w:val="en-US" w:eastAsia="zh-CN"/>
        </w:rPr>
        <w:t xml:space="preserve"> </w:t>
      </w:r>
      <w:r>
        <w:rPr>
          <w:rFonts w:hint="eastAsia"/>
          <w:color w:val="auto"/>
        </w:rPr>
        <w:t>护理医嘱提醒</w:t>
      </w:r>
    </w:p>
    <w:p w14:paraId="35C44AB2">
      <w:pPr>
        <w:bidi w:val="0"/>
        <w:rPr>
          <w:color w:val="auto"/>
        </w:rPr>
      </w:pPr>
      <w:r>
        <w:rPr>
          <w:color w:val="auto"/>
        </w:rPr>
        <w:t>系统提供语音、弹窗双模式提醒，支持按科室、医嘱类型及紧急程度智能分类，涵盖药品、手术、危急值等多样化医嘱场景，并具备未处理医嘱警示及自定义提醒时间功能，确保护理工作高效精准执行。</w:t>
      </w:r>
    </w:p>
    <w:p w14:paraId="66AB30BE">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2FEB127">
      <w:pPr>
        <w:pStyle w:val="94"/>
        <w:numPr>
          <w:ilvl w:val="0"/>
          <w:numId w:val="79"/>
        </w:numPr>
        <w:ind w:left="0" w:firstLine="480"/>
        <w:rPr>
          <w:rFonts w:cs="Arial"/>
          <w:bCs/>
          <w:color w:val="auto"/>
          <w:sz w:val="24"/>
        </w:rPr>
      </w:pPr>
      <w:r>
        <w:rPr>
          <w:rFonts w:cs="Arial"/>
          <w:bCs/>
          <w:color w:val="auto"/>
          <w:sz w:val="24"/>
        </w:rPr>
        <w:t>支持语音</w:t>
      </w:r>
      <w:r>
        <w:rPr>
          <w:rFonts w:hint="eastAsia" w:cs="Arial"/>
          <w:bCs/>
          <w:color w:val="auto"/>
          <w:sz w:val="24"/>
        </w:rPr>
        <w:t>、</w:t>
      </w:r>
      <w:r>
        <w:rPr>
          <w:rFonts w:cs="Arial"/>
          <w:bCs/>
          <w:color w:val="auto"/>
          <w:sz w:val="24"/>
        </w:rPr>
        <w:t>电脑气泡窗口提醒双模式</w:t>
      </w:r>
      <w:r>
        <w:rPr>
          <w:rFonts w:hint="eastAsia" w:cs="Arial"/>
          <w:bCs/>
          <w:color w:val="auto"/>
          <w:sz w:val="24"/>
        </w:rPr>
        <w:t>。</w:t>
      </w:r>
    </w:p>
    <w:p w14:paraId="5E7B4D35">
      <w:pPr>
        <w:pStyle w:val="94"/>
        <w:numPr>
          <w:ilvl w:val="0"/>
          <w:numId w:val="79"/>
        </w:numPr>
        <w:ind w:left="0" w:firstLine="480"/>
        <w:rPr>
          <w:rFonts w:cs="Arial"/>
          <w:bCs/>
          <w:color w:val="auto"/>
          <w:sz w:val="24"/>
        </w:rPr>
      </w:pPr>
      <w:r>
        <w:rPr>
          <w:rFonts w:cs="Arial"/>
          <w:bCs/>
          <w:color w:val="auto"/>
          <w:sz w:val="24"/>
        </w:rPr>
        <w:t>能够设置提醒时间间隔</w:t>
      </w:r>
      <w:r>
        <w:rPr>
          <w:rFonts w:hint="eastAsia" w:cs="Arial"/>
          <w:bCs/>
          <w:color w:val="auto"/>
          <w:sz w:val="24"/>
        </w:rPr>
        <w:t>。</w:t>
      </w:r>
    </w:p>
    <w:p w14:paraId="53545EA1">
      <w:pPr>
        <w:pStyle w:val="94"/>
        <w:numPr>
          <w:ilvl w:val="0"/>
          <w:numId w:val="79"/>
        </w:numPr>
        <w:ind w:left="0" w:firstLine="480"/>
        <w:rPr>
          <w:rFonts w:cs="Arial"/>
          <w:bCs/>
          <w:color w:val="auto"/>
          <w:sz w:val="24"/>
        </w:rPr>
      </w:pPr>
      <w:r>
        <w:rPr>
          <w:rFonts w:cs="Arial"/>
          <w:bCs/>
          <w:color w:val="auto"/>
          <w:sz w:val="24"/>
        </w:rPr>
        <w:t>能够根据科室</w:t>
      </w:r>
      <w:r>
        <w:rPr>
          <w:rFonts w:hint="eastAsia" w:cs="Arial"/>
          <w:bCs/>
          <w:color w:val="auto"/>
          <w:sz w:val="24"/>
        </w:rPr>
        <w:t>、</w:t>
      </w:r>
      <w:r>
        <w:rPr>
          <w:rFonts w:cs="Arial"/>
          <w:bCs/>
          <w:color w:val="auto"/>
          <w:sz w:val="24"/>
        </w:rPr>
        <w:t>工作站区分提醒内容</w:t>
      </w:r>
      <w:r>
        <w:rPr>
          <w:rFonts w:hint="eastAsia" w:cs="Arial"/>
          <w:bCs/>
          <w:color w:val="auto"/>
          <w:sz w:val="24"/>
        </w:rPr>
        <w:t>。</w:t>
      </w:r>
    </w:p>
    <w:p w14:paraId="01EA3796">
      <w:pPr>
        <w:pStyle w:val="94"/>
        <w:numPr>
          <w:ilvl w:val="0"/>
          <w:numId w:val="79"/>
        </w:numPr>
        <w:ind w:left="0" w:firstLine="480"/>
        <w:rPr>
          <w:rFonts w:cs="Arial"/>
          <w:bCs/>
          <w:color w:val="auto"/>
          <w:sz w:val="24"/>
        </w:rPr>
      </w:pPr>
      <w:r>
        <w:rPr>
          <w:rFonts w:cs="Arial"/>
          <w:bCs/>
          <w:color w:val="auto"/>
          <w:sz w:val="24"/>
        </w:rPr>
        <w:t>能够根据医嘱类型进行分类查询</w:t>
      </w:r>
      <w:r>
        <w:rPr>
          <w:rFonts w:hint="eastAsia" w:cs="Arial"/>
          <w:bCs/>
          <w:color w:val="auto"/>
          <w:sz w:val="24"/>
        </w:rPr>
        <w:t>。</w:t>
      </w:r>
    </w:p>
    <w:p w14:paraId="447A2D6F">
      <w:pPr>
        <w:pStyle w:val="94"/>
        <w:numPr>
          <w:ilvl w:val="0"/>
          <w:numId w:val="79"/>
        </w:numPr>
        <w:ind w:left="0" w:firstLine="480"/>
        <w:rPr>
          <w:rFonts w:cs="Arial"/>
          <w:bCs/>
          <w:color w:val="auto"/>
          <w:sz w:val="24"/>
        </w:rPr>
      </w:pPr>
      <w:r>
        <w:rPr>
          <w:rFonts w:cs="Arial"/>
          <w:bCs/>
          <w:color w:val="auto"/>
          <w:sz w:val="24"/>
        </w:rPr>
        <w:t>支持未处理医嘱时</w:t>
      </w:r>
      <w:r>
        <w:rPr>
          <w:rFonts w:hint="eastAsia" w:cs="Arial"/>
          <w:bCs/>
          <w:color w:val="auto"/>
          <w:sz w:val="24"/>
        </w:rPr>
        <w:t>，</w:t>
      </w:r>
      <w:r>
        <w:rPr>
          <w:rFonts w:cs="Arial"/>
          <w:bCs/>
          <w:color w:val="auto"/>
          <w:sz w:val="24"/>
        </w:rPr>
        <w:t>HIS中患者列表以红色标记</w:t>
      </w:r>
      <w:r>
        <w:rPr>
          <w:rFonts w:hint="eastAsia" w:cs="Arial"/>
          <w:bCs/>
          <w:color w:val="auto"/>
          <w:sz w:val="24"/>
        </w:rPr>
        <w:t>。</w:t>
      </w:r>
    </w:p>
    <w:p w14:paraId="7B975038">
      <w:pPr>
        <w:pStyle w:val="94"/>
        <w:numPr>
          <w:ilvl w:val="0"/>
          <w:numId w:val="79"/>
        </w:numPr>
        <w:ind w:left="0" w:firstLine="480"/>
        <w:rPr>
          <w:rFonts w:cs="Arial"/>
          <w:bCs/>
          <w:color w:val="auto"/>
          <w:sz w:val="24"/>
        </w:rPr>
      </w:pPr>
      <w:r>
        <w:rPr>
          <w:rFonts w:cs="Arial"/>
          <w:bCs/>
          <w:color w:val="auto"/>
          <w:sz w:val="24"/>
        </w:rPr>
        <w:t>支持定义护理提醒开始时间结束时间</w:t>
      </w:r>
      <w:r>
        <w:rPr>
          <w:rFonts w:hint="eastAsia" w:cs="Arial"/>
          <w:bCs/>
          <w:color w:val="auto"/>
          <w:sz w:val="24"/>
        </w:rPr>
        <w:t>。</w:t>
      </w:r>
    </w:p>
    <w:p w14:paraId="1F3F2198">
      <w:pPr>
        <w:pStyle w:val="94"/>
        <w:numPr>
          <w:ilvl w:val="0"/>
          <w:numId w:val="79"/>
        </w:numPr>
        <w:ind w:left="0" w:firstLine="480"/>
        <w:rPr>
          <w:rFonts w:cs="Arial"/>
          <w:bCs/>
          <w:color w:val="auto"/>
          <w:sz w:val="24"/>
        </w:rPr>
      </w:pPr>
      <w:r>
        <w:rPr>
          <w:rFonts w:cs="Arial"/>
          <w:bCs/>
          <w:color w:val="auto"/>
          <w:sz w:val="24"/>
        </w:rPr>
        <w:t>提醒窗口中</w:t>
      </w:r>
      <w:r>
        <w:rPr>
          <w:rFonts w:hint="eastAsia" w:cs="Arial"/>
          <w:bCs/>
          <w:color w:val="auto"/>
          <w:sz w:val="24"/>
        </w:rPr>
        <w:t>支持</w:t>
      </w:r>
      <w:r>
        <w:rPr>
          <w:rFonts w:cs="Arial"/>
          <w:bCs/>
          <w:color w:val="auto"/>
          <w:sz w:val="24"/>
        </w:rPr>
        <w:t>的医嘱类型</w:t>
      </w:r>
      <w:r>
        <w:rPr>
          <w:rFonts w:hint="eastAsia" w:cs="Arial"/>
          <w:bCs/>
          <w:color w:val="auto"/>
          <w:sz w:val="24"/>
        </w:rPr>
        <w:t>：</w:t>
      </w:r>
      <w:r>
        <w:rPr>
          <w:rFonts w:cs="Arial"/>
          <w:bCs/>
          <w:color w:val="auto"/>
          <w:sz w:val="24"/>
        </w:rPr>
        <w:t>药品</w:t>
      </w:r>
      <w:r>
        <w:rPr>
          <w:rFonts w:hint="eastAsia" w:cs="Arial"/>
          <w:bCs/>
          <w:color w:val="auto"/>
          <w:sz w:val="24"/>
        </w:rPr>
        <w:t>、</w:t>
      </w:r>
      <w:r>
        <w:rPr>
          <w:rFonts w:cs="Arial"/>
          <w:bCs/>
          <w:color w:val="auto"/>
          <w:sz w:val="24"/>
        </w:rPr>
        <w:t>医技申请</w:t>
      </w:r>
      <w:r>
        <w:rPr>
          <w:rFonts w:hint="eastAsia" w:cs="Arial"/>
          <w:bCs/>
          <w:color w:val="auto"/>
          <w:sz w:val="24"/>
        </w:rPr>
        <w:t>、</w:t>
      </w:r>
      <w:r>
        <w:rPr>
          <w:rFonts w:cs="Arial"/>
          <w:bCs/>
          <w:color w:val="auto"/>
          <w:sz w:val="24"/>
        </w:rPr>
        <w:t>诊疗</w:t>
      </w:r>
      <w:r>
        <w:rPr>
          <w:rFonts w:hint="eastAsia" w:cs="Arial"/>
          <w:bCs/>
          <w:color w:val="auto"/>
          <w:sz w:val="24"/>
        </w:rPr>
        <w:t>、</w:t>
      </w:r>
      <w:r>
        <w:rPr>
          <w:rFonts w:cs="Arial"/>
          <w:bCs/>
          <w:color w:val="auto"/>
          <w:sz w:val="24"/>
        </w:rPr>
        <w:t>材料</w:t>
      </w:r>
      <w:r>
        <w:rPr>
          <w:rFonts w:hint="eastAsia" w:cs="Arial"/>
          <w:bCs/>
          <w:color w:val="auto"/>
          <w:sz w:val="24"/>
        </w:rPr>
        <w:t>、</w:t>
      </w:r>
      <w:r>
        <w:rPr>
          <w:rFonts w:cs="Arial"/>
          <w:bCs/>
          <w:color w:val="auto"/>
          <w:sz w:val="24"/>
        </w:rPr>
        <w:t>输血</w:t>
      </w:r>
      <w:r>
        <w:rPr>
          <w:rFonts w:hint="eastAsia" w:cs="Arial"/>
          <w:bCs/>
          <w:color w:val="auto"/>
          <w:sz w:val="24"/>
        </w:rPr>
        <w:t>、</w:t>
      </w:r>
      <w:r>
        <w:rPr>
          <w:rFonts w:cs="Arial"/>
          <w:bCs/>
          <w:color w:val="auto"/>
          <w:sz w:val="24"/>
        </w:rPr>
        <w:t>手术</w:t>
      </w:r>
      <w:r>
        <w:rPr>
          <w:rFonts w:hint="eastAsia" w:cs="Arial"/>
          <w:bCs/>
          <w:color w:val="auto"/>
          <w:sz w:val="24"/>
        </w:rPr>
        <w:t>、</w:t>
      </w:r>
      <w:r>
        <w:rPr>
          <w:rFonts w:cs="Arial"/>
          <w:bCs/>
          <w:color w:val="auto"/>
          <w:sz w:val="24"/>
        </w:rPr>
        <w:t>文字</w:t>
      </w:r>
      <w:r>
        <w:rPr>
          <w:rFonts w:hint="eastAsia" w:cs="Arial"/>
          <w:bCs/>
          <w:color w:val="auto"/>
          <w:sz w:val="24"/>
        </w:rPr>
        <w:t>、</w:t>
      </w:r>
      <w:r>
        <w:rPr>
          <w:rFonts w:cs="Arial"/>
          <w:bCs/>
          <w:color w:val="auto"/>
          <w:sz w:val="24"/>
        </w:rPr>
        <w:t>其他</w:t>
      </w:r>
      <w:r>
        <w:rPr>
          <w:rFonts w:hint="eastAsia" w:cs="Arial"/>
          <w:bCs/>
          <w:color w:val="auto"/>
          <w:sz w:val="24"/>
        </w:rPr>
        <w:t>。</w:t>
      </w:r>
    </w:p>
    <w:p w14:paraId="5E696D0D">
      <w:pPr>
        <w:pStyle w:val="94"/>
        <w:numPr>
          <w:ilvl w:val="0"/>
          <w:numId w:val="79"/>
        </w:numPr>
        <w:ind w:left="0" w:firstLine="480"/>
        <w:rPr>
          <w:rFonts w:cs="Arial"/>
          <w:bCs/>
          <w:color w:val="auto"/>
          <w:sz w:val="24"/>
        </w:rPr>
      </w:pPr>
      <w:r>
        <w:rPr>
          <w:rFonts w:cs="Arial"/>
          <w:bCs/>
          <w:color w:val="auto"/>
          <w:sz w:val="24"/>
        </w:rPr>
        <w:t>提醒窗口中</w:t>
      </w:r>
      <w:r>
        <w:rPr>
          <w:rFonts w:hint="eastAsia" w:cs="Arial"/>
          <w:bCs/>
          <w:color w:val="auto"/>
          <w:sz w:val="24"/>
        </w:rPr>
        <w:t>支持</w:t>
      </w:r>
      <w:r>
        <w:rPr>
          <w:rFonts w:cs="Arial"/>
          <w:bCs/>
          <w:color w:val="auto"/>
          <w:sz w:val="24"/>
        </w:rPr>
        <w:t>的提醒类型</w:t>
      </w:r>
      <w:r>
        <w:rPr>
          <w:rFonts w:hint="eastAsia" w:cs="Arial"/>
          <w:bCs/>
          <w:color w:val="auto"/>
          <w:sz w:val="24"/>
        </w:rPr>
        <w:t>：</w:t>
      </w:r>
      <w:r>
        <w:rPr>
          <w:rFonts w:cs="Arial"/>
          <w:bCs/>
          <w:color w:val="auto"/>
          <w:sz w:val="24"/>
        </w:rPr>
        <w:t>新长期医嘱</w:t>
      </w:r>
      <w:r>
        <w:rPr>
          <w:rFonts w:hint="eastAsia" w:cs="Arial"/>
          <w:bCs/>
          <w:color w:val="auto"/>
          <w:sz w:val="24"/>
        </w:rPr>
        <w:t>、</w:t>
      </w:r>
      <w:r>
        <w:rPr>
          <w:rFonts w:cs="Arial"/>
          <w:bCs/>
          <w:color w:val="auto"/>
          <w:sz w:val="24"/>
        </w:rPr>
        <w:t>新临时医嘱</w:t>
      </w:r>
      <w:r>
        <w:rPr>
          <w:rFonts w:hint="eastAsia" w:cs="Arial"/>
          <w:bCs/>
          <w:color w:val="auto"/>
          <w:sz w:val="24"/>
        </w:rPr>
        <w:t>、</w:t>
      </w:r>
      <w:r>
        <w:rPr>
          <w:rFonts w:cs="Arial"/>
          <w:bCs/>
          <w:color w:val="auto"/>
          <w:sz w:val="24"/>
        </w:rPr>
        <w:t>新长期处方</w:t>
      </w:r>
      <w:r>
        <w:rPr>
          <w:rFonts w:hint="eastAsia" w:cs="Arial"/>
          <w:bCs/>
          <w:color w:val="auto"/>
          <w:sz w:val="24"/>
        </w:rPr>
        <w:t>、</w:t>
      </w:r>
      <w:r>
        <w:rPr>
          <w:rFonts w:cs="Arial"/>
          <w:bCs/>
          <w:color w:val="auto"/>
          <w:sz w:val="24"/>
        </w:rPr>
        <w:t>新草药医嘱</w:t>
      </w:r>
      <w:r>
        <w:rPr>
          <w:rFonts w:hint="eastAsia" w:cs="Arial"/>
          <w:bCs/>
          <w:color w:val="auto"/>
          <w:sz w:val="24"/>
        </w:rPr>
        <w:t>、</w:t>
      </w:r>
      <w:r>
        <w:rPr>
          <w:rFonts w:cs="Arial"/>
          <w:bCs/>
          <w:color w:val="auto"/>
          <w:sz w:val="24"/>
        </w:rPr>
        <w:t>长期医嘱停止</w:t>
      </w:r>
      <w:r>
        <w:rPr>
          <w:rFonts w:hint="eastAsia" w:cs="Arial"/>
          <w:bCs/>
          <w:color w:val="auto"/>
          <w:sz w:val="24"/>
        </w:rPr>
        <w:t>、临时医嘱撤销、临时医嘱修改、临时医嘱删除、开处方加药、开处方撤销、长期医嘱撤销、长期医嘱删除、草药处方撤销、草药处方删除。</w:t>
      </w:r>
    </w:p>
    <w:p w14:paraId="5914A09C">
      <w:pPr>
        <w:pStyle w:val="94"/>
        <w:numPr>
          <w:ilvl w:val="0"/>
          <w:numId w:val="79"/>
        </w:numPr>
        <w:ind w:left="0" w:firstLine="480"/>
        <w:rPr>
          <w:rFonts w:cs="Arial"/>
          <w:bCs/>
          <w:color w:val="auto"/>
          <w:sz w:val="24"/>
        </w:rPr>
      </w:pPr>
      <w:r>
        <w:rPr>
          <w:rFonts w:cs="Arial"/>
          <w:bCs/>
          <w:color w:val="auto"/>
          <w:sz w:val="24"/>
        </w:rPr>
        <w:t>支持医嘱提示按病人所在科室</w:t>
      </w:r>
      <w:r>
        <w:rPr>
          <w:rFonts w:hint="eastAsia" w:cs="Arial"/>
          <w:bCs/>
          <w:color w:val="auto"/>
          <w:sz w:val="24"/>
        </w:rPr>
        <w:t>、</w:t>
      </w:r>
      <w:r>
        <w:rPr>
          <w:rFonts w:cs="Arial"/>
          <w:bCs/>
          <w:color w:val="auto"/>
          <w:sz w:val="24"/>
        </w:rPr>
        <w:t>开单科室两种模式进行</w:t>
      </w:r>
      <w:r>
        <w:rPr>
          <w:rFonts w:hint="eastAsia" w:cs="Arial"/>
          <w:bCs/>
          <w:color w:val="auto"/>
          <w:sz w:val="24"/>
        </w:rPr>
        <w:t>提示。</w:t>
      </w:r>
    </w:p>
    <w:p w14:paraId="21CFE6D2">
      <w:pPr>
        <w:pStyle w:val="94"/>
        <w:numPr>
          <w:ilvl w:val="0"/>
          <w:numId w:val="79"/>
        </w:numPr>
        <w:ind w:left="0" w:firstLine="480"/>
        <w:rPr>
          <w:rFonts w:cs="Arial"/>
          <w:bCs/>
          <w:color w:val="auto"/>
          <w:sz w:val="24"/>
        </w:rPr>
      </w:pPr>
      <w:r>
        <w:rPr>
          <w:rFonts w:cs="Arial"/>
          <w:bCs/>
          <w:color w:val="auto"/>
          <w:sz w:val="24"/>
        </w:rPr>
        <w:t>支持门诊危急值按开单科室</w:t>
      </w:r>
      <w:r>
        <w:rPr>
          <w:rFonts w:hint="eastAsia" w:cs="Arial"/>
          <w:bCs/>
          <w:color w:val="auto"/>
          <w:sz w:val="24"/>
        </w:rPr>
        <w:t>、</w:t>
      </w:r>
      <w:r>
        <w:rPr>
          <w:rFonts w:cs="Arial"/>
          <w:bCs/>
          <w:color w:val="auto"/>
          <w:sz w:val="24"/>
        </w:rPr>
        <w:t>按开单医生提醒</w:t>
      </w:r>
      <w:r>
        <w:rPr>
          <w:rFonts w:hint="eastAsia" w:cs="Arial"/>
          <w:bCs/>
          <w:color w:val="auto"/>
          <w:sz w:val="24"/>
        </w:rPr>
        <w:t>。</w:t>
      </w:r>
    </w:p>
    <w:p w14:paraId="79795536">
      <w:pPr>
        <w:pStyle w:val="14"/>
        <w:bidi w:val="0"/>
        <w:ind w:left="1871" w:leftChars="0" w:hanging="1871" w:firstLineChars="0"/>
        <w:rPr>
          <w:color w:val="auto"/>
        </w:rPr>
      </w:pPr>
      <w:r>
        <w:rPr>
          <w:rFonts w:hint="eastAsia"/>
          <w:color w:val="auto"/>
          <w:lang w:val="en-US" w:eastAsia="zh-CN"/>
        </w:rPr>
        <w:t xml:space="preserve"> </w:t>
      </w:r>
      <w:r>
        <w:rPr>
          <w:rFonts w:hint="eastAsia"/>
          <w:color w:val="auto"/>
        </w:rPr>
        <w:t>移动查房系统</w:t>
      </w:r>
    </w:p>
    <w:p w14:paraId="4E4234D4">
      <w:pPr>
        <w:bidi w:val="0"/>
        <w:rPr>
          <w:color w:val="auto"/>
        </w:rPr>
      </w:pPr>
      <w:r>
        <w:rPr>
          <w:color w:val="auto"/>
        </w:rPr>
        <w:t>系统集成患者电子病历、医嘱、检验检查报告及护理记录等全维度诊疗数据，支持360°患者视图浏览与影像调阅，实现床旁实时信息查询与决策，大幅提升查房效率与医疗质量。</w:t>
      </w:r>
    </w:p>
    <w:p w14:paraId="2FCBEDC4">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18F4D9E">
      <w:pPr>
        <w:pStyle w:val="341"/>
        <w:spacing w:beforeLines="0"/>
        <w:ind w:firstLine="482"/>
        <w:rPr>
          <w:rFonts w:hint="eastAsia" w:ascii="宋体" w:hAnsi="宋体" w:cs="仿宋"/>
          <w:b/>
          <w:bCs/>
          <w:color w:val="auto"/>
          <w:sz w:val="24"/>
          <w:szCs w:val="24"/>
        </w:rPr>
      </w:pPr>
      <w:bookmarkStart w:id="185" w:name="_Toc106373011"/>
      <w:r>
        <w:rPr>
          <w:rFonts w:hint="eastAsia" w:ascii="宋体" w:hAnsi="宋体" w:cs="仿宋"/>
          <w:b/>
          <w:bCs/>
          <w:color w:val="auto"/>
          <w:sz w:val="24"/>
          <w:szCs w:val="24"/>
        </w:rPr>
        <w:t>患者信息浏览</w:t>
      </w:r>
      <w:bookmarkEnd w:id="185"/>
    </w:p>
    <w:p w14:paraId="394F2A77">
      <w:pPr>
        <w:ind w:firstLine="480"/>
        <w:rPr>
          <w:rFonts w:cs="仿宋"/>
          <w:color w:val="auto"/>
        </w:rPr>
      </w:pPr>
      <w:r>
        <w:rPr>
          <w:rFonts w:hint="eastAsia" w:cs="仿宋"/>
          <w:color w:val="auto"/>
        </w:rPr>
        <w:t>支持患者信息阅览，包括姓名、性别、年龄、床号、诊断、护级、入院时间、现住址、联系电话、主治医师、责任护士等。</w:t>
      </w:r>
    </w:p>
    <w:p w14:paraId="48105D34">
      <w:pPr>
        <w:pStyle w:val="341"/>
        <w:spacing w:beforeLines="0"/>
        <w:ind w:firstLine="482"/>
        <w:rPr>
          <w:rFonts w:hint="eastAsia" w:ascii="宋体" w:hAnsi="宋体" w:cs="仿宋"/>
          <w:b/>
          <w:bCs/>
          <w:color w:val="auto"/>
          <w:sz w:val="24"/>
          <w:szCs w:val="24"/>
        </w:rPr>
      </w:pPr>
      <w:bookmarkStart w:id="186" w:name="_Toc106373012"/>
      <w:r>
        <w:rPr>
          <w:rFonts w:hint="eastAsia" w:ascii="宋体" w:hAnsi="宋体" w:cs="仿宋"/>
          <w:b/>
          <w:bCs/>
          <w:color w:val="auto"/>
          <w:sz w:val="24"/>
          <w:szCs w:val="24"/>
        </w:rPr>
        <w:t>电子病历</w:t>
      </w:r>
      <w:bookmarkEnd w:id="186"/>
    </w:p>
    <w:p w14:paraId="5EC4DA87">
      <w:pPr>
        <w:ind w:firstLine="480"/>
        <w:rPr>
          <w:rFonts w:cs="仿宋"/>
          <w:color w:val="auto"/>
        </w:rPr>
      </w:pPr>
      <w:r>
        <w:rPr>
          <w:rFonts w:hint="eastAsia" w:cs="仿宋"/>
          <w:color w:val="auto"/>
        </w:rPr>
        <w:t>支持按照电子病历分类浏览，包括入院记录、病程记录、手术相关记录、知情同意书、出院记录、会诊记录。</w:t>
      </w:r>
    </w:p>
    <w:p w14:paraId="1762E407">
      <w:pPr>
        <w:pStyle w:val="341"/>
        <w:spacing w:beforeLines="0"/>
        <w:ind w:firstLine="482"/>
        <w:rPr>
          <w:rFonts w:hint="eastAsia" w:ascii="宋体" w:hAnsi="宋体" w:cs="仿宋"/>
          <w:b/>
          <w:bCs/>
          <w:color w:val="auto"/>
          <w:sz w:val="24"/>
          <w:szCs w:val="24"/>
        </w:rPr>
      </w:pPr>
      <w:bookmarkStart w:id="187" w:name="_Toc106373013"/>
      <w:r>
        <w:rPr>
          <w:rFonts w:hint="eastAsia" w:ascii="宋体" w:hAnsi="宋体" w:cs="仿宋"/>
          <w:b/>
          <w:bCs/>
          <w:color w:val="auto"/>
          <w:sz w:val="24"/>
          <w:szCs w:val="24"/>
        </w:rPr>
        <w:t>长期医嘱</w:t>
      </w:r>
      <w:bookmarkEnd w:id="187"/>
    </w:p>
    <w:p w14:paraId="416856D6">
      <w:pPr>
        <w:ind w:firstLine="480"/>
        <w:rPr>
          <w:rFonts w:cs="仿宋"/>
          <w:color w:val="auto"/>
        </w:rPr>
      </w:pPr>
      <w:r>
        <w:rPr>
          <w:rFonts w:hint="eastAsia" w:cs="仿宋"/>
          <w:color w:val="auto"/>
        </w:rPr>
        <w:t>支持浏览患者长期医嘱信息，包括开始时间、医嘱内容、用法/备注、开嘱医生、开始护士、停止医生、停止护士、停止时间。</w:t>
      </w:r>
    </w:p>
    <w:p w14:paraId="464ED145">
      <w:pPr>
        <w:pStyle w:val="341"/>
        <w:spacing w:beforeLines="0"/>
        <w:ind w:firstLine="482"/>
        <w:rPr>
          <w:rFonts w:hint="eastAsia" w:ascii="宋体" w:hAnsi="宋体" w:cs="仿宋"/>
          <w:b/>
          <w:bCs/>
          <w:color w:val="auto"/>
          <w:sz w:val="24"/>
          <w:szCs w:val="24"/>
        </w:rPr>
      </w:pPr>
      <w:bookmarkStart w:id="188" w:name="_Toc106373014"/>
      <w:r>
        <w:rPr>
          <w:rFonts w:hint="eastAsia" w:ascii="宋体" w:hAnsi="宋体" w:cs="仿宋"/>
          <w:b/>
          <w:bCs/>
          <w:color w:val="auto"/>
          <w:sz w:val="24"/>
          <w:szCs w:val="24"/>
        </w:rPr>
        <w:t>临时医嘱</w:t>
      </w:r>
      <w:bookmarkEnd w:id="188"/>
    </w:p>
    <w:p w14:paraId="4A080646">
      <w:pPr>
        <w:ind w:firstLine="480"/>
        <w:rPr>
          <w:rFonts w:cs="仿宋"/>
          <w:color w:val="auto"/>
        </w:rPr>
      </w:pPr>
      <w:r>
        <w:rPr>
          <w:rFonts w:hint="eastAsia" w:cs="仿宋"/>
          <w:color w:val="auto"/>
        </w:rPr>
        <w:t>支持浏览患者临时医嘱信息，包括医嘱时间、医嘱内容、用法/备注、开嘱医生、执行护士、执行时间。</w:t>
      </w:r>
    </w:p>
    <w:p w14:paraId="1A8FE6BC">
      <w:pPr>
        <w:pStyle w:val="341"/>
        <w:spacing w:beforeLines="0"/>
        <w:ind w:firstLine="482"/>
        <w:rPr>
          <w:rFonts w:hint="eastAsia" w:ascii="宋体" w:hAnsi="宋体" w:cs="仿宋"/>
          <w:b/>
          <w:bCs/>
          <w:color w:val="auto"/>
          <w:sz w:val="24"/>
          <w:szCs w:val="24"/>
        </w:rPr>
      </w:pPr>
      <w:bookmarkStart w:id="189" w:name="_Toc106373015"/>
      <w:r>
        <w:rPr>
          <w:rFonts w:hint="eastAsia" w:ascii="宋体" w:hAnsi="宋体" w:cs="仿宋"/>
          <w:b/>
          <w:bCs/>
          <w:color w:val="auto"/>
          <w:sz w:val="24"/>
          <w:szCs w:val="24"/>
        </w:rPr>
        <w:t>检查报告浏览</w:t>
      </w:r>
      <w:bookmarkEnd w:id="189"/>
    </w:p>
    <w:p w14:paraId="698665BB">
      <w:pPr>
        <w:ind w:firstLine="480"/>
        <w:rPr>
          <w:rFonts w:cs="仿宋"/>
          <w:color w:val="auto"/>
        </w:rPr>
      </w:pPr>
      <w:r>
        <w:rPr>
          <w:rFonts w:hint="eastAsia" w:cs="仿宋"/>
          <w:color w:val="auto"/>
        </w:rPr>
        <w:t>支持检查报告连续性展示。</w:t>
      </w:r>
    </w:p>
    <w:p w14:paraId="10B56490">
      <w:pPr>
        <w:ind w:firstLine="480"/>
        <w:rPr>
          <w:rFonts w:cs="仿宋"/>
          <w:color w:val="auto"/>
        </w:rPr>
      </w:pPr>
      <w:r>
        <w:rPr>
          <w:rFonts w:hint="eastAsia" w:cs="仿宋"/>
          <w:color w:val="auto"/>
        </w:rPr>
        <w:t>支持查看患者影像图片信息。</w:t>
      </w:r>
    </w:p>
    <w:p w14:paraId="095622E9">
      <w:pPr>
        <w:pStyle w:val="341"/>
        <w:spacing w:beforeLines="0"/>
        <w:ind w:firstLine="482"/>
        <w:rPr>
          <w:rFonts w:hint="eastAsia" w:ascii="宋体" w:hAnsi="宋体" w:cs="仿宋"/>
          <w:b/>
          <w:bCs/>
          <w:color w:val="auto"/>
          <w:sz w:val="24"/>
          <w:szCs w:val="24"/>
        </w:rPr>
      </w:pPr>
      <w:bookmarkStart w:id="190" w:name="_Toc106373016"/>
      <w:r>
        <w:rPr>
          <w:rFonts w:hint="eastAsia" w:ascii="宋体" w:hAnsi="宋体" w:cs="仿宋"/>
          <w:b/>
          <w:bCs/>
          <w:color w:val="auto"/>
          <w:sz w:val="24"/>
          <w:szCs w:val="24"/>
        </w:rPr>
        <w:t>检验结果浏览</w:t>
      </w:r>
      <w:bookmarkEnd w:id="190"/>
    </w:p>
    <w:p w14:paraId="79233868">
      <w:pPr>
        <w:ind w:firstLine="480"/>
        <w:rPr>
          <w:rFonts w:cs="仿宋"/>
          <w:color w:val="auto"/>
        </w:rPr>
      </w:pPr>
      <w:r>
        <w:rPr>
          <w:rFonts w:hint="eastAsia" w:cs="仿宋"/>
          <w:color w:val="auto"/>
        </w:rPr>
        <w:t>支持查看患者历次检验结果，及危急值信息。</w:t>
      </w:r>
    </w:p>
    <w:p w14:paraId="34BDFF68">
      <w:pPr>
        <w:pStyle w:val="341"/>
        <w:spacing w:beforeLines="0"/>
        <w:ind w:firstLine="482"/>
        <w:rPr>
          <w:rFonts w:hint="eastAsia" w:ascii="宋体" w:hAnsi="宋体" w:cs="仿宋"/>
          <w:b/>
          <w:bCs/>
          <w:color w:val="auto"/>
          <w:sz w:val="24"/>
          <w:szCs w:val="24"/>
        </w:rPr>
      </w:pPr>
      <w:bookmarkStart w:id="191" w:name="_Toc106373017"/>
      <w:r>
        <w:rPr>
          <w:rFonts w:hint="eastAsia" w:ascii="宋体" w:hAnsi="宋体" w:cs="仿宋"/>
          <w:b/>
          <w:bCs/>
          <w:color w:val="auto"/>
          <w:sz w:val="24"/>
          <w:szCs w:val="24"/>
        </w:rPr>
        <w:t>护理记录浏览</w:t>
      </w:r>
      <w:bookmarkEnd w:id="191"/>
    </w:p>
    <w:p w14:paraId="1275461C">
      <w:pPr>
        <w:ind w:firstLine="480"/>
        <w:rPr>
          <w:rFonts w:cs="仿宋"/>
          <w:color w:val="auto"/>
        </w:rPr>
      </w:pPr>
      <w:r>
        <w:rPr>
          <w:rFonts w:hint="eastAsia" w:cs="仿宋"/>
          <w:color w:val="auto"/>
        </w:rPr>
        <w:t>支持查看患者护理记录，包括一般护理记录单、新生儿护理记录单、ICU护理记录单、barthel指数评定量表、住院成人Morse跌倒/坠床风险评估表等。</w:t>
      </w:r>
    </w:p>
    <w:p w14:paraId="2942623D">
      <w:pPr>
        <w:pStyle w:val="341"/>
        <w:spacing w:beforeLines="0"/>
        <w:ind w:firstLine="482"/>
        <w:rPr>
          <w:rFonts w:hint="eastAsia" w:ascii="宋体" w:hAnsi="宋体" w:cs="仿宋"/>
          <w:b/>
          <w:bCs/>
          <w:color w:val="auto"/>
          <w:sz w:val="24"/>
          <w:szCs w:val="24"/>
        </w:rPr>
      </w:pPr>
      <w:bookmarkStart w:id="192" w:name="_Toc106373019"/>
      <w:r>
        <w:rPr>
          <w:rFonts w:hint="eastAsia" w:ascii="宋体" w:hAnsi="宋体" w:cs="仿宋"/>
          <w:b/>
          <w:bCs/>
          <w:color w:val="auto"/>
          <w:sz w:val="24"/>
          <w:szCs w:val="24"/>
        </w:rPr>
        <w:t>患者360视图浏览</w:t>
      </w:r>
      <w:bookmarkEnd w:id="192"/>
    </w:p>
    <w:p w14:paraId="10581E27">
      <w:pPr>
        <w:ind w:firstLine="480"/>
        <w:rPr>
          <w:rFonts w:cs="仿宋"/>
          <w:color w:val="auto"/>
        </w:rPr>
      </w:pPr>
      <w:r>
        <w:rPr>
          <w:rFonts w:hint="eastAsia" w:cs="仿宋"/>
          <w:color w:val="auto"/>
        </w:rPr>
        <w:t>提供患者360视图浏览功能，可查看患者历次就诊信息。</w:t>
      </w:r>
    </w:p>
    <w:p w14:paraId="1F2D6B97">
      <w:pPr>
        <w:pStyle w:val="14"/>
        <w:bidi w:val="0"/>
        <w:ind w:left="1871" w:leftChars="0" w:hanging="1871" w:firstLineChars="0"/>
        <w:rPr>
          <w:color w:val="auto"/>
        </w:rPr>
      </w:pPr>
      <w:r>
        <w:rPr>
          <w:rFonts w:hint="eastAsia"/>
          <w:color w:val="auto"/>
          <w:lang w:val="en-US" w:eastAsia="zh-CN"/>
        </w:rPr>
        <w:t xml:space="preserve"> </w:t>
      </w:r>
      <w:r>
        <w:rPr>
          <w:rFonts w:hint="eastAsia"/>
          <w:color w:val="auto"/>
        </w:rPr>
        <w:t>移动护理系统</w:t>
      </w:r>
    </w:p>
    <w:p w14:paraId="762FAD2A">
      <w:pPr>
        <w:bidi w:val="0"/>
        <w:rPr>
          <w:color w:val="auto"/>
        </w:rPr>
      </w:pPr>
      <w:r>
        <w:rPr>
          <w:color w:val="auto"/>
        </w:rPr>
        <w:t>过PDA智能终端实现病区全流程数字化管理，涵盖床位监控、医嘱执行、生命体征采集、管路护理等核心功能，结合智能提醒与RFID腕带技术，确保护理安全与效率，同时支持健康教育、手术交接等特色服务，全面优化护理工作流程并提升患者服务质量。</w:t>
      </w:r>
    </w:p>
    <w:p w14:paraId="7CB9EA00">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45D23C10">
      <w:pPr>
        <w:pStyle w:val="341"/>
        <w:spacing w:beforeLines="0"/>
        <w:ind w:firstLine="482"/>
        <w:rPr>
          <w:rFonts w:hint="eastAsia" w:ascii="宋体" w:hAnsi="宋体" w:cs="仿宋"/>
          <w:b/>
          <w:bCs/>
          <w:color w:val="auto"/>
          <w:sz w:val="24"/>
          <w:szCs w:val="24"/>
        </w:rPr>
      </w:pPr>
      <w:bookmarkStart w:id="193" w:name="_Toc106373022"/>
      <w:r>
        <w:rPr>
          <w:rFonts w:hint="eastAsia" w:ascii="宋体" w:hAnsi="宋体" w:cs="仿宋"/>
          <w:b/>
          <w:bCs/>
          <w:color w:val="auto"/>
          <w:sz w:val="24"/>
          <w:szCs w:val="24"/>
        </w:rPr>
        <w:t>病区概览</w:t>
      </w:r>
      <w:bookmarkEnd w:id="193"/>
    </w:p>
    <w:p w14:paraId="59268D48">
      <w:pPr>
        <w:ind w:firstLine="480"/>
        <w:rPr>
          <w:rFonts w:cs="仿宋"/>
          <w:color w:val="auto"/>
        </w:rPr>
      </w:pPr>
      <w:r>
        <w:rPr>
          <w:rFonts w:hint="eastAsia" w:cs="仿宋"/>
          <w:color w:val="auto"/>
        </w:rPr>
        <w:t>提供本病区统一的概览信息，实时提取患者人次信息。</w:t>
      </w:r>
    </w:p>
    <w:p w14:paraId="173FA0F5">
      <w:pPr>
        <w:pStyle w:val="341"/>
        <w:spacing w:beforeLines="0"/>
        <w:ind w:firstLine="482"/>
        <w:rPr>
          <w:rFonts w:hint="eastAsia" w:ascii="宋体" w:hAnsi="宋体" w:cs="仿宋"/>
          <w:b/>
          <w:bCs/>
          <w:color w:val="auto"/>
          <w:sz w:val="24"/>
          <w:szCs w:val="24"/>
        </w:rPr>
      </w:pPr>
      <w:bookmarkStart w:id="194" w:name="_Toc106373023"/>
      <w:r>
        <w:rPr>
          <w:rFonts w:hint="eastAsia" w:ascii="宋体" w:hAnsi="宋体" w:cs="仿宋"/>
          <w:b/>
          <w:bCs/>
          <w:color w:val="auto"/>
          <w:sz w:val="24"/>
          <w:szCs w:val="24"/>
        </w:rPr>
        <w:t>床位列表</w:t>
      </w:r>
      <w:bookmarkEnd w:id="194"/>
    </w:p>
    <w:p w14:paraId="35142719">
      <w:pPr>
        <w:pStyle w:val="94"/>
        <w:numPr>
          <w:ilvl w:val="0"/>
          <w:numId w:val="80"/>
        </w:numPr>
        <w:ind w:left="0" w:firstLine="480"/>
        <w:rPr>
          <w:rFonts w:cs="Arial"/>
          <w:bCs/>
          <w:color w:val="auto"/>
          <w:sz w:val="24"/>
        </w:rPr>
      </w:pPr>
      <w:bookmarkStart w:id="195" w:name="_Toc106373024"/>
      <w:r>
        <w:rPr>
          <w:rFonts w:hint="eastAsia" w:cs="Arial"/>
          <w:bCs/>
          <w:color w:val="auto"/>
          <w:sz w:val="24"/>
        </w:rPr>
        <w:t>支持查看病人床位，根据颜色辨识病人护理级别</w:t>
      </w:r>
    </w:p>
    <w:p w14:paraId="6D3BBA05">
      <w:pPr>
        <w:pStyle w:val="94"/>
        <w:numPr>
          <w:ilvl w:val="0"/>
          <w:numId w:val="80"/>
        </w:numPr>
        <w:ind w:left="0" w:firstLine="480"/>
        <w:rPr>
          <w:rFonts w:cs="Arial"/>
          <w:bCs/>
          <w:color w:val="auto"/>
          <w:sz w:val="24"/>
        </w:rPr>
      </w:pPr>
      <w:r>
        <w:rPr>
          <w:rFonts w:cs="Arial"/>
          <w:bCs/>
          <w:color w:val="auto"/>
          <w:sz w:val="24"/>
        </w:rPr>
        <w:t>支持查看患者详细信息</w:t>
      </w:r>
      <w:r>
        <w:rPr>
          <w:rFonts w:hint="eastAsia" w:cs="Arial"/>
          <w:bCs/>
          <w:color w:val="auto"/>
          <w:sz w:val="24"/>
        </w:rPr>
        <w:t>，</w:t>
      </w:r>
      <w:r>
        <w:rPr>
          <w:rFonts w:cs="Arial"/>
          <w:bCs/>
          <w:color w:val="auto"/>
          <w:sz w:val="24"/>
        </w:rPr>
        <w:t>包含患者床位</w:t>
      </w:r>
      <w:r>
        <w:rPr>
          <w:rFonts w:hint="eastAsia" w:cs="Arial"/>
          <w:bCs/>
          <w:color w:val="auto"/>
          <w:sz w:val="24"/>
        </w:rPr>
        <w:t>、</w:t>
      </w:r>
      <w:r>
        <w:rPr>
          <w:rFonts w:cs="Arial"/>
          <w:bCs/>
          <w:color w:val="auto"/>
          <w:sz w:val="24"/>
        </w:rPr>
        <w:t>年龄</w:t>
      </w:r>
      <w:r>
        <w:rPr>
          <w:rFonts w:hint="eastAsia" w:cs="Arial"/>
          <w:bCs/>
          <w:color w:val="auto"/>
          <w:sz w:val="24"/>
        </w:rPr>
        <w:t>、</w:t>
      </w:r>
      <w:r>
        <w:rPr>
          <w:rFonts w:cs="Arial"/>
          <w:bCs/>
          <w:color w:val="auto"/>
          <w:sz w:val="24"/>
        </w:rPr>
        <w:t>性别</w:t>
      </w:r>
      <w:r>
        <w:rPr>
          <w:rFonts w:hint="eastAsia" w:cs="Arial"/>
          <w:bCs/>
          <w:color w:val="auto"/>
          <w:sz w:val="24"/>
        </w:rPr>
        <w:t>、</w:t>
      </w:r>
      <w:r>
        <w:rPr>
          <w:rFonts w:cs="Arial"/>
          <w:bCs/>
          <w:color w:val="auto"/>
          <w:sz w:val="24"/>
        </w:rPr>
        <w:t>住院号</w:t>
      </w:r>
      <w:r>
        <w:rPr>
          <w:rFonts w:hint="eastAsia" w:cs="Arial"/>
          <w:bCs/>
          <w:color w:val="auto"/>
          <w:sz w:val="24"/>
        </w:rPr>
        <w:t>、</w:t>
      </w:r>
      <w:r>
        <w:rPr>
          <w:rFonts w:cs="Arial"/>
          <w:bCs/>
          <w:color w:val="auto"/>
          <w:sz w:val="24"/>
        </w:rPr>
        <w:t>风险评估分数</w:t>
      </w:r>
      <w:r>
        <w:rPr>
          <w:rFonts w:hint="eastAsia" w:cs="Arial"/>
          <w:bCs/>
          <w:color w:val="auto"/>
          <w:sz w:val="24"/>
        </w:rPr>
        <w:t>、</w:t>
      </w:r>
      <w:r>
        <w:rPr>
          <w:rFonts w:cs="Arial"/>
          <w:bCs/>
          <w:color w:val="auto"/>
          <w:sz w:val="24"/>
        </w:rPr>
        <w:t>诊断</w:t>
      </w:r>
      <w:r>
        <w:rPr>
          <w:rFonts w:hint="eastAsia" w:cs="Arial"/>
          <w:bCs/>
          <w:color w:val="auto"/>
          <w:sz w:val="24"/>
        </w:rPr>
        <w:t>、</w:t>
      </w:r>
      <w:r>
        <w:rPr>
          <w:rFonts w:cs="Arial"/>
          <w:bCs/>
          <w:color w:val="auto"/>
          <w:sz w:val="24"/>
        </w:rPr>
        <w:t>危重情况</w:t>
      </w:r>
      <w:r>
        <w:rPr>
          <w:rFonts w:hint="eastAsia" w:cs="Arial"/>
          <w:bCs/>
          <w:color w:val="auto"/>
          <w:sz w:val="24"/>
        </w:rPr>
        <w:t>、</w:t>
      </w:r>
      <w:r>
        <w:rPr>
          <w:rFonts w:cs="Arial"/>
          <w:bCs/>
          <w:color w:val="auto"/>
          <w:sz w:val="24"/>
        </w:rPr>
        <w:t>护理级别等</w:t>
      </w:r>
      <w:r>
        <w:rPr>
          <w:rFonts w:hint="eastAsia" w:cs="Arial"/>
          <w:bCs/>
          <w:color w:val="auto"/>
          <w:sz w:val="24"/>
        </w:rPr>
        <w:t>。</w:t>
      </w:r>
    </w:p>
    <w:p w14:paraId="761800CE">
      <w:pPr>
        <w:pStyle w:val="94"/>
        <w:numPr>
          <w:ilvl w:val="0"/>
          <w:numId w:val="80"/>
        </w:numPr>
        <w:ind w:left="0" w:firstLine="480"/>
        <w:rPr>
          <w:rFonts w:cs="Arial"/>
          <w:bCs/>
          <w:color w:val="auto"/>
          <w:sz w:val="24"/>
        </w:rPr>
      </w:pPr>
      <w:r>
        <w:rPr>
          <w:rFonts w:cs="Arial"/>
          <w:bCs/>
          <w:color w:val="auto"/>
          <w:sz w:val="24"/>
        </w:rPr>
        <w:t>能够查看当前患者需执行的护理任务信息</w:t>
      </w:r>
      <w:r>
        <w:rPr>
          <w:rFonts w:hint="eastAsia" w:cs="Arial"/>
          <w:bCs/>
          <w:color w:val="auto"/>
          <w:sz w:val="24"/>
        </w:rPr>
        <w:t>，并跳转到执行窗口。</w:t>
      </w:r>
    </w:p>
    <w:p w14:paraId="51483D4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医嘱执行</w:t>
      </w:r>
      <w:bookmarkEnd w:id="195"/>
    </w:p>
    <w:p w14:paraId="39C24192">
      <w:pPr>
        <w:pStyle w:val="94"/>
        <w:numPr>
          <w:ilvl w:val="0"/>
          <w:numId w:val="81"/>
        </w:numPr>
        <w:ind w:left="0" w:firstLine="480"/>
        <w:rPr>
          <w:rFonts w:cs="Arial"/>
          <w:bCs/>
          <w:color w:val="auto"/>
          <w:sz w:val="24"/>
        </w:rPr>
      </w:pPr>
      <w:bookmarkStart w:id="196" w:name="_Toc106373025"/>
      <w:r>
        <w:rPr>
          <w:rFonts w:hint="eastAsia" w:cs="Arial"/>
          <w:bCs/>
          <w:color w:val="auto"/>
          <w:sz w:val="24"/>
        </w:rPr>
        <w:t>支持通过系统完成医嘱执行管理流程。</w:t>
      </w:r>
    </w:p>
    <w:p w14:paraId="54E79B53">
      <w:pPr>
        <w:pStyle w:val="94"/>
        <w:numPr>
          <w:ilvl w:val="0"/>
          <w:numId w:val="81"/>
        </w:numPr>
        <w:ind w:left="0" w:firstLine="480"/>
        <w:rPr>
          <w:rFonts w:cs="Arial"/>
          <w:bCs/>
          <w:color w:val="auto"/>
          <w:sz w:val="24"/>
        </w:rPr>
      </w:pPr>
      <w:r>
        <w:rPr>
          <w:rFonts w:cs="Arial"/>
          <w:bCs/>
          <w:color w:val="auto"/>
          <w:sz w:val="24"/>
        </w:rPr>
        <w:t>支持在医嘱执行过程中实时效验医嘱修改</w:t>
      </w:r>
      <w:r>
        <w:rPr>
          <w:rFonts w:hint="eastAsia" w:cs="Arial"/>
          <w:bCs/>
          <w:color w:val="auto"/>
          <w:sz w:val="24"/>
        </w:rPr>
        <w:t>、</w:t>
      </w:r>
      <w:r>
        <w:rPr>
          <w:rFonts w:cs="Arial"/>
          <w:bCs/>
          <w:color w:val="auto"/>
          <w:sz w:val="24"/>
        </w:rPr>
        <w:t>停止等敏感信息</w:t>
      </w:r>
      <w:r>
        <w:rPr>
          <w:rFonts w:hint="eastAsia" w:cs="Arial"/>
          <w:bCs/>
          <w:color w:val="auto"/>
          <w:sz w:val="24"/>
        </w:rPr>
        <w:t>，</w:t>
      </w:r>
      <w:r>
        <w:rPr>
          <w:rFonts w:cs="Arial"/>
          <w:bCs/>
          <w:color w:val="auto"/>
          <w:sz w:val="24"/>
        </w:rPr>
        <w:t>并提醒护士</w:t>
      </w:r>
      <w:r>
        <w:rPr>
          <w:rFonts w:hint="eastAsia" w:cs="Arial"/>
          <w:bCs/>
          <w:color w:val="auto"/>
          <w:sz w:val="24"/>
        </w:rPr>
        <w:t>，</w:t>
      </w:r>
      <w:r>
        <w:rPr>
          <w:rFonts w:cs="Arial"/>
          <w:bCs/>
          <w:color w:val="auto"/>
          <w:sz w:val="24"/>
        </w:rPr>
        <w:t>保障用药安全</w:t>
      </w:r>
      <w:r>
        <w:rPr>
          <w:rFonts w:hint="eastAsia" w:cs="Arial"/>
          <w:bCs/>
          <w:color w:val="auto"/>
          <w:sz w:val="24"/>
        </w:rPr>
        <w:t>。</w:t>
      </w:r>
    </w:p>
    <w:p w14:paraId="30836CCF">
      <w:pPr>
        <w:pStyle w:val="94"/>
        <w:numPr>
          <w:ilvl w:val="0"/>
          <w:numId w:val="81"/>
        </w:numPr>
        <w:ind w:left="0" w:firstLine="480"/>
        <w:rPr>
          <w:color w:val="auto"/>
          <w:sz w:val="24"/>
        </w:rPr>
      </w:pPr>
      <w:r>
        <w:rPr>
          <w:rFonts w:hint="eastAsia"/>
          <w:color w:val="auto"/>
          <w:sz w:val="24"/>
        </w:rPr>
        <w:t>输液药品具有摆药、配药、复核、身份核对、药品核对、加药等过程应用PDA操作，达到用药准确安全的目的。</w:t>
      </w:r>
    </w:p>
    <w:p w14:paraId="71EACD4F">
      <w:pPr>
        <w:pStyle w:val="94"/>
        <w:numPr>
          <w:ilvl w:val="0"/>
          <w:numId w:val="81"/>
        </w:numPr>
        <w:ind w:left="0" w:firstLine="480"/>
        <w:rPr>
          <w:color w:val="auto"/>
          <w:sz w:val="24"/>
        </w:rPr>
      </w:pPr>
      <w:r>
        <w:rPr>
          <w:rFonts w:hint="eastAsia"/>
          <w:color w:val="auto"/>
          <w:sz w:val="24"/>
        </w:rPr>
        <w:t>口服药具有身份核对、剂量核对、用药方法核对，执行记录等。</w:t>
      </w:r>
    </w:p>
    <w:p w14:paraId="3761222A">
      <w:pPr>
        <w:pStyle w:val="94"/>
        <w:numPr>
          <w:ilvl w:val="0"/>
          <w:numId w:val="81"/>
        </w:numPr>
        <w:ind w:left="0" w:firstLine="480"/>
        <w:rPr>
          <w:color w:val="auto"/>
          <w:sz w:val="24"/>
        </w:rPr>
      </w:pPr>
      <w:r>
        <w:rPr>
          <w:color w:val="auto"/>
          <w:sz w:val="24"/>
        </w:rPr>
        <w:t>输液过程中支持填写</w:t>
      </w:r>
      <w:r>
        <w:rPr>
          <w:rFonts w:hint="eastAsia"/>
          <w:color w:val="auto"/>
          <w:sz w:val="24"/>
        </w:rPr>
        <w:t>日常巡视，输液巡视，巡视记录。</w:t>
      </w:r>
    </w:p>
    <w:p w14:paraId="116EEE79">
      <w:pPr>
        <w:pStyle w:val="94"/>
        <w:numPr>
          <w:ilvl w:val="0"/>
          <w:numId w:val="81"/>
        </w:numPr>
        <w:ind w:left="0" w:firstLine="480"/>
        <w:rPr>
          <w:color w:val="auto"/>
          <w:sz w:val="24"/>
        </w:rPr>
      </w:pPr>
      <w:r>
        <w:rPr>
          <w:rFonts w:hint="eastAsia"/>
          <w:color w:val="auto"/>
          <w:sz w:val="24"/>
        </w:rPr>
        <w:t>支持根据患者输液剂量，自动生成患者入量值。</w:t>
      </w:r>
    </w:p>
    <w:p w14:paraId="77E43C4B">
      <w:pPr>
        <w:pStyle w:val="94"/>
        <w:numPr>
          <w:ilvl w:val="0"/>
          <w:numId w:val="81"/>
        </w:numPr>
        <w:ind w:left="0" w:firstLine="480"/>
        <w:rPr>
          <w:color w:val="auto"/>
          <w:sz w:val="24"/>
        </w:rPr>
      </w:pPr>
      <w:r>
        <w:rPr>
          <w:color w:val="auto"/>
          <w:sz w:val="24"/>
        </w:rPr>
        <w:t>支持记录患者输血医嘱</w:t>
      </w:r>
      <w:r>
        <w:rPr>
          <w:rFonts w:hint="eastAsia"/>
          <w:color w:val="auto"/>
          <w:sz w:val="24"/>
        </w:rPr>
        <w:t>、</w:t>
      </w:r>
      <w:r>
        <w:rPr>
          <w:color w:val="auto"/>
          <w:sz w:val="24"/>
        </w:rPr>
        <w:t>医技医嘱执行情况</w:t>
      </w:r>
      <w:r>
        <w:rPr>
          <w:rFonts w:hint="eastAsia"/>
          <w:color w:val="auto"/>
          <w:sz w:val="24"/>
        </w:rPr>
        <w:t>。</w:t>
      </w:r>
    </w:p>
    <w:p w14:paraId="45713CA2">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采集任务</w:t>
      </w:r>
      <w:bookmarkEnd w:id="196"/>
    </w:p>
    <w:p w14:paraId="14F08915">
      <w:pPr>
        <w:pStyle w:val="94"/>
        <w:numPr>
          <w:ilvl w:val="0"/>
          <w:numId w:val="82"/>
        </w:numPr>
        <w:ind w:left="0" w:firstLine="480"/>
        <w:rPr>
          <w:color w:val="auto"/>
          <w:sz w:val="24"/>
        </w:rPr>
      </w:pPr>
      <w:bookmarkStart w:id="197" w:name="_Toc106373026"/>
      <w:r>
        <w:rPr>
          <w:color w:val="auto"/>
          <w:sz w:val="24"/>
        </w:rPr>
        <w:t>支持PDA录入患者生命体征</w:t>
      </w:r>
      <w:r>
        <w:rPr>
          <w:rFonts w:hint="eastAsia"/>
          <w:color w:val="auto"/>
          <w:sz w:val="24"/>
        </w:rPr>
        <w:t>、</w:t>
      </w:r>
      <w:r>
        <w:rPr>
          <w:color w:val="auto"/>
          <w:sz w:val="24"/>
        </w:rPr>
        <w:t>血糖信息</w:t>
      </w:r>
      <w:r>
        <w:rPr>
          <w:rFonts w:hint="eastAsia"/>
          <w:color w:val="auto"/>
          <w:sz w:val="24"/>
        </w:rPr>
        <w:t>，</w:t>
      </w:r>
      <w:r>
        <w:rPr>
          <w:color w:val="auto"/>
          <w:sz w:val="24"/>
        </w:rPr>
        <w:t>可通过扫码完成标本采集</w:t>
      </w:r>
      <w:r>
        <w:rPr>
          <w:rFonts w:hint="eastAsia"/>
          <w:color w:val="auto"/>
          <w:sz w:val="24"/>
        </w:rPr>
        <w:t>。</w:t>
      </w:r>
    </w:p>
    <w:p w14:paraId="5CBFA875">
      <w:pPr>
        <w:pStyle w:val="94"/>
        <w:numPr>
          <w:ilvl w:val="0"/>
          <w:numId w:val="82"/>
        </w:numPr>
        <w:ind w:left="0" w:firstLine="480"/>
        <w:rPr>
          <w:color w:val="auto"/>
          <w:sz w:val="24"/>
        </w:rPr>
      </w:pPr>
      <w:r>
        <w:rPr>
          <w:color w:val="auto"/>
          <w:sz w:val="24"/>
        </w:rPr>
        <w:t>能够通过</w:t>
      </w:r>
      <w:r>
        <w:rPr>
          <w:rFonts w:hint="eastAsia"/>
          <w:color w:val="auto"/>
          <w:sz w:val="24"/>
        </w:rPr>
        <w:t>软键盘</w:t>
      </w:r>
      <w:r>
        <w:rPr>
          <w:color w:val="auto"/>
          <w:sz w:val="24"/>
        </w:rPr>
        <w:t>进行生命体征便捷录入</w:t>
      </w:r>
      <w:r>
        <w:rPr>
          <w:rFonts w:hint="eastAsia"/>
          <w:color w:val="auto"/>
          <w:sz w:val="24"/>
        </w:rPr>
        <w:t>，</w:t>
      </w:r>
      <w:r>
        <w:rPr>
          <w:color w:val="auto"/>
          <w:sz w:val="24"/>
        </w:rPr>
        <w:t>软键盘内容可根据科室进行自定义</w:t>
      </w:r>
      <w:r>
        <w:rPr>
          <w:rFonts w:hint="eastAsia"/>
          <w:color w:val="auto"/>
          <w:sz w:val="24"/>
        </w:rPr>
        <w:t>。</w:t>
      </w:r>
    </w:p>
    <w:p w14:paraId="4C998D87">
      <w:pPr>
        <w:pStyle w:val="94"/>
        <w:numPr>
          <w:ilvl w:val="0"/>
          <w:numId w:val="82"/>
        </w:numPr>
        <w:ind w:left="0" w:firstLine="480"/>
        <w:rPr>
          <w:color w:val="auto"/>
          <w:sz w:val="24"/>
        </w:rPr>
      </w:pPr>
      <w:r>
        <w:rPr>
          <w:color w:val="auto"/>
          <w:sz w:val="24"/>
        </w:rPr>
        <w:t>支持脉搏秒表计时功能</w:t>
      </w:r>
      <w:r>
        <w:rPr>
          <w:rFonts w:hint="eastAsia"/>
          <w:color w:val="auto"/>
          <w:sz w:val="24"/>
        </w:rPr>
        <w:t>，</w:t>
      </w:r>
      <w:r>
        <w:rPr>
          <w:color w:val="auto"/>
          <w:sz w:val="24"/>
        </w:rPr>
        <w:t>可根据录入脉搏数</w:t>
      </w:r>
      <w:r>
        <w:rPr>
          <w:rFonts w:hint="eastAsia"/>
          <w:color w:val="auto"/>
          <w:sz w:val="24"/>
        </w:rPr>
        <w:t>，</w:t>
      </w:r>
      <w:r>
        <w:rPr>
          <w:color w:val="auto"/>
          <w:sz w:val="24"/>
        </w:rPr>
        <w:t>自动换算每分钟患者脉搏</w:t>
      </w:r>
      <w:r>
        <w:rPr>
          <w:rFonts w:hint="eastAsia"/>
          <w:color w:val="auto"/>
          <w:sz w:val="24"/>
        </w:rPr>
        <w:t>。</w:t>
      </w:r>
    </w:p>
    <w:p w14:paraId="08CE8BBE">
      <w:pPr>
        <w:pStyle w:val="94"/>
        <w:numPr>
          <w:ilvl w:val="0"/>
          <w:numId w:val="82"/>
        </w:numPr>
        <w:ind w:left="0" w:firstLine="480"/>
        <w:rPr>
          <w:color w:val="auto"/>
          <w:sz w:val="24"/>
        </w:rPr>
      </w:pPr>
      <w:r>
        <w:rPr>
          <w:color w:val="auto"/>
          <w:sz w:val="24"/>
        </w:rPr>
        <w:t>支持单个患者一次身份核对</w:t>
      </w:r>
      <w:r>
        <w:rPr>
          <w:rFonts w:hint="eastAsia"/>
          <w:color w:val="auto"/>
          <w:sz w:val="24"/>
        </w:rPr>
        <w:t>，</w:t>
      </w:r>
      <w:r>
        <w:rPr>
          <w:color w:val="auto"/>
          <w:sz w:val="24"/>
        </w:rPr>
        <w:t>多个条码执行</w:t>
      </w:r>
      <w:r>
        <w:rPr>
          <w:rFonts w:hint="eastAsia"/>
          <w:color w:val="auto"/>
          <w:sz w:val="24"/>
        </w:rPr>
        <w:t>。</w:t>
      </w:r>
    </w:p>
    <w:p w14:paraId="7E6B01C8">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护理记录</w:t>
      </w:r>
      <w:bookmarkEnd w:id="197"/>
    </w:p>
    <w:p w14:paraId="41365735">
      <w:pPr>
        <w:ind w:firstLine="480"/>
        <w:rPr>
          <w:rFonts w:cs="仿宋"/>
          <w:color w:val="auto"/>
        </w:rPr>
      </w:pPr>
      <w:r>
        <w:rPr>
          <w:rFonts w:hint="eastAsia" w:cs="仿宋"/>
          <w:color w:val="auto"/>
        </w:rPr>
        <w:t>能够根据医院情况，对护理记录单格式进行自定义。</w:t>
      </w:r>
    </w:p>
    <w:p w14:paraId="0D1C0C88">
      <w:pPr>
        <w:ind w:firstLine="480"/>
        <w:rPr>
          <w:rFonts w:cs="仿宋"/>
          <w:color w:val="auto"/>
        </w:rPr>
      </w:pPr>
      <w:r>
        <w:rPr>
          <w:rFonts w:hint="eastAsia" w:cs="仿宋"/>
          <w:color w:val="auto"/>
        </w:rPr>
        <w:t>支持通过PDA填写患者护理记录单及护理文书。</w:t>
      </w:r>
    </w:p>
    <w:p w14:paraId="4A0B0FC2">
      <w:pPr>
        <w:pStyle w:val="341"/>
        <w:spacing w:beforeLines="0"/>
        <w:ind w:firstLine="482"/>
        <w:rPr>
          <w:rFonts w:hint="eastAsia" w:ascii="宋体" w:hAnsi="宋体" w:cs="仿宋"/>
          <w:b/>
          <w:bCs/>
          <w:color w:val="auto"/>
          <w:sz w:val="24"/>
          <w:szCs w:val="24"/>
        </w:rPr>
      </w:pPr>
      <w:bookmarkStart w:id="198" w:name="_Toc106373027"/>
      <w:r>
        <w:rPr>
          <w:rFonts w:hint="eastAsia" w:ascii="宋体" w:hAnsi="宋体" w:cs="仿宋"/>
          <w:b/>
          <w:bCs/>
          <w:color w:val="auto"/>
          <w:sz w:val="24"/>
          <w:szCs w:val="24"/>
        </w:rPr>
        <w:t>特色护理</w:t>
      </w:r>
      <w:bookmarkEnd w:id="198"/>
    </w:p>
    <w:p w14:paraId="080A7927">
      <w:pPr>
        <w:ind w:firstLine="480"/>
        <w:rPr>
          <w:rFonts w:cs="仿宋"/>
          <w:color w:val="auto"/>
        </w:rPr>
      </w:pPr>
      <w:r>
        <w:rPr>
          <w:rFonts w:hint="eastAsia" w:cs="仿宋"/>
          <w:color w:val="auto"/>
        </w:rPr>
        <w:t>（一）给氧卡</w:t>
      </w:r>
    </w:p>
    <w:p w14:paraId="2BE3C079">
      <w:pPr>
        <w:pStyle w:val="94"/>
        <w:numPr>
          <w:ilvl w:val="0"/>
          <w:numId w:val="83"/>
        </w:numPr>
        <w:ind w:left="0" w:firstLine="480"/>
        <w:rPr>
          <w:color w:val="auto"/>
          <w:sz w:val="24"/>
        </w:rPr>
      </w:pPr>
      <w:r>
        <w:rPr>
          <w:rFonts w:hint="eastAsia"/>
          <w:color w:val="auto"/>
          <w:sz w:val="24"/>
        </w:rPr>
        <w:t>支持给氧全流程管理。</w:t>
      </w:r>
    </w:p>
    <w:p w14:paraId="4441DAA5">
      <w:pPr>
        <w:pStyle w:val="94"/>
        <w:numPr>
          <w:ilvl w:val="0"/>
          <w:numId w:val="83"/>
        </w:numPr>
        <w:ind w:left="0" w:firstLine="480"/>
        <w:rPr>
          <w:color w:val="auto"/>
          <w:sz w:val="24"/>
        </w:rPr>
      </w:pPr>
      <w:r>
        <w:rPr>
          <w:color w:val="auto"/>
          <w:sz w:val="24"/>
        </w:rPr>
        <w:t>能够根据湿化瓶使用时间</w:t>
      </w:r>
      <w:r>
        <w:rPr>
          <w:rFonts w:hint="eastAsia"/>
          <w:color w:val="auto"/>
          <w:sz w:val="24"/>
        </w:rPr>
        <w:t>、</w:t>
      </w:r>
      <w:r>
        <w:rPr>
          <w:color w:val="auto"/>
          <w:sz w:val="24"/>
        </w:rPr>
        <w:t>更换湿化液情况</w:t>
      </w:r>
      <w:r>
        <w:rPr>
          <w:rFonts w:hint="eastAsia"/>
          <w:color w:val="auto"/>
          <w:sz w:val="24"/>
        </w:rPr>
        <w:t>，</w:t>
      </w:r>
      <w:r>
        <w:rPr>
          <w:color w:val="auto"/>
          <w:sz w:val="24"/>
        </w:rPr>
        <w:t>自动产生相应的费用信息</w:t>
      </w:r>
      <w:r>
        <w:rPr>
          <w:rFonts w:hint="eastAsia"/>
          <w:color w:val="auto"/>
          <w:sz w:val="24"/>
        </w:rPr>
        <w:t>，</w:t>
      </w:r>
      <w:r>
        <w:rPr>
          <w:color w:val="auto"/>
          <w:sz w:val="24"/>
        </w:rPr>
        <w:t>并同步到HIS</w:t>
      </w:r>
      <w:r>
        <w:rPr>
          <w:rFonts w:hint="eastAsia"/>
          <w:color w:val="auto"/>
          <w:sz w:val="24"/>
        </w:rPr>
        <w:t>。</w:t>
      </w:r>
    </w:p>
    <w:p w14:paraId="6E869B89">
      <w:pPr>
        <w:pStyle w:val="94"/>
        <w:numPr>
          <w:ilvl w:val="0"/>
          <w:numId w:val="83"/>
        </w:numPr>
        <w:ind w:left="0" w:firstLine="480"/>
        <w:rPr>
          <w:color w:val="auto"/>
          <w:sz w:val="24"/>
        </w:rPr>
      </w:pPr>
      <w:r>
        <w:rPr>
          <w:color w:val="auto"/>
          <w:sz w:val="24"/>
        </w:rPr>
        <w:t>支持记录湿化液更换日期</w:t>
      </w:r>
      <w:r>
        <w:rPr>
          <w:rFonts w:hint="eastAsia"/>
          <w:color w:val="auto"/>
          <w:sz w:val="24"/>
        </w:rPr>
        <w:t>、</w:t>
      </w:r>
      <w:r>
        <w:rPr>
          <w:color w:val="auto"/>
          <w:sz w:val="24"/>
        </w:rPr>
        <w:t>更换时间及责任人信息</w:t>
      </w:r>
      <w:r>
        <w:rPr>
          <w:rFonts w:hint="eastAsia"/>
          <w:color w:val="auto"/>
          <w:sz w:val="24"/>
        </w:rPr>
        <w:t>。</w:t>
      </w:r>
    </w:p>
    <w:p w14:paraId="714FB98B">
      <w:pPr>
        <w:pStyle w:val="94"/>
        <w:ind w:left="0" w:leftChars="0" w:firstLine="480" w:firstLineChars="0"/>
        <w:rPr>
          <w:rFonts w:cs="仿宋"/>
          <w:color w:val="auto"/>
          <w:sz w:val="24"/>
        </w:rPr>
      </w:pPr>
      <w:r>
        <w:rPr>
          <w:rFonts w:hint="eastAsia" w:cs="仿宋"/>
          <w:color w:val="auto"/>
          <w:sz w:val="24"/>
        </w:rPr>
        <w:t>（二）持续服务</w:t>
      </w:r>
    </w:p>
    <w:p w14:paraId="447B9CBB">
      <w:pPr>
        <w:ind w:firstLine="480"/>
        <w:rPr>
          <w:rFonts w:cs="仿宋"/>
          <w:color w:val="auto"/>
        </w:rPr>
      </w:pPr>
      <w:r>
        <w:rPr>
          <w:rFonts w:hint="eastAsia" w:cs="仿宋"/>
          <w:color w:val="auto"/>
        </w:rPr>
        <w:t>根据HIS中标记为持续服务的医嘱信息，自动提取患者名单。</w:t>
      </w:r>
    </w:p>
    <w:p w14:paraId="367E5826">
      <w:pPr>
        <w:ind w:firstLine="480"/>
        <w:rPr>
          <w:rFonts w:cs="仿宋"/>
          <w:color w:val="auto"/>
        </w:rPr>
      </w:pPr>
      <w:r>
        <w:rPr>
          <w:rFonts w:hint="eastAsia" w:cs="仿宋"/>
          <w:color w:val="auto"/>
        </w:rPr>
        <w:t>通过护士开始和结束持续服务类医嘱时间，自动计算费用信息。</w:t>
      </w:r>
    </w:p>
    <w:p w14:paraId="68532EE4">
      <w:pPr>
        <w:pStyle w:val="94"/>
        <w:ind w:left="0" w:leftChars="0" w:firstLine="480" w:firstLineChars="0"/>
        <w:rPr>
          <w:rFonts w:cs="仿宋"/>
          <w:color w:val="auto"/>
          <w:sz w:val="24"/>
        </w:rPr>
      </w:pPr>
      <w:r>
        <w:rPr>
          <w:rFonts w:hint="eastAsia" w:cs="仿宋"/>
          <w:color w:val="auto"/>
          <w:sz w:val="24"/>
        </w:rPr>
        <w:t>（三）管路管理</w:t>
      </w:r>
    </w:p>
    <w:p w14:paraId="30B866F3">
      <w:pPr>
        <w:pStyle w:val="94"/>
        <w:numPr>
          <w:ilvl w:val="0"/>
          <w:numId w:val="84"/>
        </w:numPr>
        <w:ind w:left="0" w:firstLine="480"/>
        <w:rPr>
          <w:color w:val="auto"/>
          <w:sz w:val="24"/>
        </w:rPr>
      </w:pPr>
      <w:r>
        <w:rPr>
          <w:rFonts w:hint="eastAsia"/>
          <w:color w:val="auto"/>
          <w:sz w:val="24"/>
        </w:rPr>
        <w:t>支持管路从置管到巡查到拔管的全流程管理。</w:t>
      </w:r>
    </w:p>
    <w:p w14:paraId="0CF61569">
      <w:pPr>
        <w:pStyle w:val="94"/>
        <w:numPr>
          <w:ilvl w:val="0"/>
          <w:numId w:val="84"/>
        </w:numPr>
        <w:ind w:left="0" w:firstLine="480"/>
        <w:rPr>
          <w:color w:val="auto"/>
          <w:sz w:val="24"/>
        </w:rPr>
      </w:pPr>
      <w:r>
        <w:rPr>
          <w:color w:val="auto"/>
          <w:sz w:val="24"/>
        </w:rPr>
        <w:t>能够</w:t>
      </w:r>
      <w:r>
        <w:rPr>
          <w:rFonts w:hint="eastAsia"/>
          <w:color w:val="auto"/>
          <w:sz w:val="24"/>
        </w:rPr>
        <w:t>从</w:t>
      </w:r>
      <w:r>
        <w:rPr>
          <w:color w:val="auto"/>
          <w:sz w:val="24"/>
        </w:rPr>
        <w:t>HIS自动读取医生开具置管医嘱的患者名单</w:t>
      </w:r>
      <w:r>
        <w:rPr>
          <w:rFonts w:hint="eastAsia"/>
          <w:color w:val="auto"/>
          <w:sz w:val="24"/>
        </w:rPr>
        <w:t>。</w:t>
      </w:r>
    </w:p>
    <w:p w14:paraId="71AF912F">
      <w:pPr>
        <w:pStyle w:val="94"/>
        <w:numPr>
          <w:ilvl w:val="0"/>
          <w:numId w:val="84"/>
        </w:numPr>
        <w:ind w:left="0" w:firstLine="480"/>
        <w:rPr>
          <w:color w:val="auto"/>
          <w:sz w:val="24"/>
        </w:rPr>
      </w:pPr>
      <w:r>
        <w:rPr>
          <w:rFonts w:hint="eastAsia"/>
          <w:color w:val="auto"/>
          <w:sz w:val="24"/>
        </w:rPr>
        <w:t>支持</w:t>
      </w:r>
      <w:r>
        <w:rPr>
          <w:color w:val="auto"/>
          <w:sz w:val="24"/>
        </w:rPr>
        <w:t>置管效期管理</w:t>
      </w:r>
      <w:r>
        <w:rPr>
          <w:rFonts w:hint="eastAsia"/>
          <w:color w:val="auto"/>
          <w:sz w:val="24"/>
        </w:rPr>
        <w:t>，根据置管有效期时间，自动提取应拔未拔患者名单。</w:t>
      </w:r>
    </w:p>
    <w:p w14:paraId="4FD6ABC7">
      <w:pPr>
        <w:pStyle w:val="94"/>
        <w:numPr>
          <w:ilvl w:val="0"/>
          <w:numId w:val="84"/>
        </w:numPr>
        <w:ind w:left="0" w:firstLine="480"/>
        <w:rPr>
          <w:color w:val="auto"/>
          <w:sz w:val="24"/>
        </w:rPr>
      </w:pPr>
      <w:r>
        <w:rPr>
          <w:color w:val="auto"/>
          <w:sz w:val="24"/>
        </w:rPr>
        <w:t>支持管路巡查管理</w:t>
      </w:r>
      <w:r>
        <w:rPr>
          <w:rFonts w:hint="eastAsia"/>
          <w:color w:val="auto"/>
          <w:sz w:val="24"/>
        </w:rPr>
        <w:t>，依据巡查情况，填写巡查结果、护理措施及拔管说明。</w:t>
      </w:r>
    </w:p>
    <w:p w14:paraId="6A653012">
      <w:pPr>
        <w:pStyle w:val="94"/>
        <w:numPr>
          <w:ilvl w:val="0"/>
          <w:numId w:val="84"/>
        </w:numPr>
        <w:ind w:left="0" w:firstLine="480"/>
        <w:rPr>
          <w:color w:val="auto"/>
          <w:sz w:val="24"/>
        </w:rPr>
      </w:pPr>
      <w:r>
        <w:rPr>
          <w:rFonts w:hint="eastAsia"/>
          <w:color w:val="auto"/>
          <w:sz w:val="24"/>
        </w:rPr>
        <w:t>拔管支持计划性拔管和非计划性拔管两种模式。</w:t>
      </w:r>
    </w:p>
    <w:p w14:paraId="473A6ACD">
      <w:pPr>
        <w:pStyle w:val="94"/>
        <w:numPr>
          <w:ilvl w:val="0"/>
          <w:numId w:val="84"/>
        </w:numPr>
        <w:ind w:left="0" w:firstLine="480"/>
        <w:rPr>
          <w:color w:val="auto"/>
          <w:sz w:val="24"/>
        </w:rPr>
      </w:pPr>
      <w:r>
        <w:rPr>
          <w:color w:val="auto"/>
          <w:sz w:val="24"/>
        </w:rPr>
        <w:t>当患者为非计划性拔管时</w:t>
      </w:r>
      <w:r>
        <w:rPr>
          <w:rFonts w:hint="eastAsia"/>
          <w:color w:val="auto"/>
          <w:sz w:val="24"/>
        </w:rPr>
        <w:t>，</w:t>
      </w:r>
      <w:r>
        <w:rPr>
          <w:color w:val="auto"/>
          <w:sz w:val="24"/>
        </w:rPr>
        <w:t>自动触发不良事件上报</w:t>
      </w:r>
      <w:r>
        <w:rPr>
          <w:rFonts w:hint="eastAsia"/>
          <w:color w:val="auto"/>
          <w:sz w:val="24"/>
        </w:rPr>
        <w:t>。</w:t>
      </w:r>
    </w:p>
    <w:p w14:paraId="193FF66B">
      <w:pPr>
        <w:pStyle w:val="94"/>
        <w:numPr>
          <w:ilvl w:val="0"/>
          <w:numId w:val="84"/>
        </w:numPr>
        <w:ind w:left="0" w:firstLine="480"/>
        <w:rPr>
          <w:color w:val="auto"/>
          <w:sz w:val="24"/>
        </w:rPr>
      </w:pPr>
      <w:r>
        <w:rPr>
          <w:color w:val="auto"/>
          <w:sz w:val="24"/>
        </w:rPr>
        <w:t>支持填写拔管说明信息</w:t>
      </w:r>
      <w:r>
        <w:rPr>
          <w:rFonts w:hint="eastAsia"/>
          <w:color w:val="auto"/>
          <w:sz w:val="24"/>
        </w:rPr>
        <w:t>。</w:t>
      </w:r>
    </w:p>
    <w:p w14:paraId="2F307E1E">
      <w:pPr>
        <w:pStyle w:val="94"/>
        <w:ind w:left="0" w:leftChars="0" w:firstLine="480" w:firstLineChars="0"/>
        <w:rPr>
          <w:rFonts w:cs="仿宋"/>
          <w:color w:val="auto"/>
          <w:sz w:val="24"/>
        </w:rPr>
      </w:pPr>
      <w:r>
        <w:rPr>
          <w:rFonts w:hint="eastAsia" w:cs="仿宋"/>
          <w:color w:val="auto"/>
          <w:sz w:val="24"/>
        </w:rPr>
        <w:t>（四）手术交接</w:t>
      </w:r>
    </w:p>
    <w:p w14:paraId="471E1B9C">
      <w:pPr>
        <w:pStyle w:val="94"/>
        <w:numPr>
          <w:ilvl w:val="0"/>
          <w:numId w:val="85"/>
        </w:numPr>
        <w:ind w:left="0" w:firstLine="480"/>
        <w:rPr>
          <w:color w:val="auto"/>
          <w:sz w:val="24"/>
        </w:rPr>
      </w:pPr>
      <w:r>
        <w:rPr>
          <w:rFonts w:hint="eastAsia"/>
          <w:color w:val="auto"/>
          <w:sz w:val="24"/>
        </w:rPr>
        <w:t>支持患者术前交接、手术核对、转苏醒、术后交接全流程通过PDA完成。</w:t>
      </w:r>
    </w:p>
    <w:p w14:paraId="3AEDB177">
      <w:pPr>
        <w:pStyle w:val="94"/>
        <w:numPr>
          <w:ilvl w:val="0"/>
          <w:numId w:val="85"/>
        </w:numPr>
        <w:ind w:left="0" w:firstLine="480"/>
        <w:rPr>
          <w:color w:val="auto"/>
          <w:sz w:val="24"/>
        </w:rPr>
      </w:pPr>
      <w:r>
        <w:rPr>
          <w:color w:val="auto"/>
          <w:sz w:val="24"/>
        </w:rPr>
        <w:t>能够通过消息提醒</w:t>
      </w:r>
      <w:r>
        <w:rPr>
          <w:rFonts w:hint="eastAsia"/>
          <w:color w:val="auto"/>
          <w:sz w:val="24"/>
        </w:rPr>
        <w:t>，</w:t>
      </w:r>
      <w:r>
        <w:rPr>
          <w:color w:val="auto"/>
          <w:sz w:val="24"/>
        </w:rPr>
        <w:t>提醒护士完成手术交接全流程</w:t>
      </w:r>
      <w:r>
        <w:rPr>
          <w:rFonts w:hint="eastAsia"/>
          <w:color w:val="auto"/>
          <w:sz w:val="24"/>
        </w:rPr>
        <w:t>。</w:t>
      </w:r>
    </w:p>
    <w:p w14:paraId="2259A6C4">
      <w:pPr>
        <w:pStyle w:val="94"/>
        <w:numPr>
          <w:ilvl w:val="0"/>
          <w:numId w:val="85"/>
        </w:numPr>
        <w:ind w:left="0" w:firstLine="480"/>
        <w:rPr>
          <w:color w:val="auto"/>
          <w:sz w:val="24"/>
        </w:rPr>
      </w:pPr>
      <w:r>
        <w:rPr>
          <w:color w:val="auto"/>
          <w:sz w:val="24"/>
        </w:rPr>
        <w:t>支持交接过程中自动生成护理记录单信息</w:t>
      </w:r>
      <w:r>
        <w:rPr>
          <w:rFonts w:hint="eastAsia"/>
          <w:color w:val="auto"/>
          <w:sz w:val="24"/>
        </w:rPr>
        <w:t>。</w:t>
      </w:r>
    </w:p>
    <w:p w14:paraId="0475F647">
      <w:pPr>
        <w:pStyle w:val="94"/>
        <w:ind w:left="0" w:leftChars="0" w:firstLine="480" w:firstLineChars="0"/>
        <w:rPr>
          <w:rFonts w:cs="仿宋"/>
          <w:color w:val="auto"/>
          <w:sz w:val="24"/>
        </w:rPr>
      </w:pPr>
      <w:r>
        <w:rPr>
          <w:rFonts w:hint="eastAsia" w:cs="仿宋"/>
          <w:color w:val="auto"/>
          <w:sz w:val="24"/>
        </w:rPr>
        <w:t>（五）健康教育</w:t>
      </w:r>
    </w:p>
    <w:p w14:paraId="4155D10D">
      <w:pPr>
        <w:pStyle w:val="94"/>
        <w:numPr>
          <w:ilvl w:val="0"/>
          <w:numId w:val="86"/>
        </w:numPr>
        <w:ind w:left="0" w:firstLine="480"/>
        <w:rPr>
          <w:color w:val="auto"/>
          <w:sz w:val="24"/>
        </w:rPr>
      </w:pPr>
      <w:bookmarkStart w:id="199" w:name="_Toc106373028"/>
      <w:r>
        <w:rPr>
          <w:rFonts w:hint="eastAsia"/>
          <w:color w:val="auto"/>
          <w:sz w:val="24"/>
        </w:rPr>
        <w:t>支持视频播放功能，通过PDA进行视频播放，完成健康宣教。</w:t>
      </w:r>
    </w:p>
    <w:p w14:paraId="75827526">
      <w:pPr>
        <w:pStyle w:val="94"/>
        <w:numPr>
          <w:ilvl w:val="0"/>
          <w:numId w:val="86"/>
        </w:numPr>
        <w:ind w:left="0" w:firstLine="480"/>
        <w:rPr>
          <w:color w:val="auto"/>
          <w:sz w:val="24"/>
        </w:rPr>
      </w:pPr>
      <w:r>
        <w:rPr>
          <w:rFonts w:hint="eastAsia"/>
          <w:color w:val="auto"/>
          <w:sz w:val="24"/>
        </w:rPr>
        <w:t>支持对健康宣教结果进行评价。</w:t>
      </w:r>
    </w:p>
    <w:p w14:paraId="4DAF0CE6">
      <w:pPr>
        <w:pStyle w:val="94"/>
        <w:numPr>
          <w:ilvl w:val="0"/>
          <w:numId w:val="86"/>
        </w:numPr>
        <w:ind w:left="0" w:firstLine="480"/>
        <w:rPr>
          <w:color w:val="auto"/>
          <w:sz w:val="24"/>
        </w:rPr>
      </w:pPr>
      <w:r>
        <w:rPr>
          <w:color w:val="auto"/>
          <w:sz w:val="24"/>
        </w:rPr>
        <w:t>支持健康宣教过程中进行宣教督查</w:t>
      </w:r>
      <w:r>
        <w:rPr>
          <w:rFonts w:hint="eastAsia"/>
          <w:color w:val="auto"/>
          <w:sz w:val="24"/>
        </w:rPr>
        <w:t>，</w:t>
      </w:r>
      <w:r>
        <w:rPr>
          <w:color w:val="auto"/>
          <w:sz w:val="24"/>
        </w:rPr>
        <w:t>并记录督查结果</w:t>
      </w:r>
      <w:r>
        <w:rPr>
          <w:rFonts w:hint="eastAsia"/>
          <w:color w:val="auto"/>
          <w:sz w:val="24"/>
        </w:rPr>
        <w:t>。</w:t>
      </w:r>
    </w:p>
    <w:p w14:paraId="17FB9147">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智能提醒</w:t>
      </w:r>
      <w:bookmarkEnd w:id="199"/>
    </w:p>
    <w:p w14:paraId="78EF30B9">
      <w:pPr>
        <w:pStyle w:val="94"/>
        <w:numPr>
          <w:ilvl w:val="0"/>
          <w:numId w:val="87"/>
        </w:numPr>
        <w:ind w:left="0" w:firstLine="480"/>
        <w:rPr>
          <w:color w:val="auto"/>
          <w:sz w:val="24"/>
        </w:rPr>
      </w:pPr>
      <w:bookmarkStart w:id="200" w:name="_Toc106373029"/>
      <w:r>
        <w:rPr>
          <w:color w:val="auto"/>
          <w:sz w:val="24"/>
        </w:rPr>
        <w:t>支持</w:t>
      </w:r>
      <w:r>
        <w:rPr>
          <w:rFonts w:hint="eastAsia"/>
          <w:color w:val="auto"/>
          <w:sz w:val="24"/>
        </w:rPr>
        <w:t>1</w:t>
      </w:r>
      <w:r>
        <w:rPr>
          <w:color w:val="auto"/>
          <w:sz w:val="24"/>
        </w:rPr>
        <w:t>2种消息提醒类型</w:t>
      </w:r>
      <w:r>
        <w:rPr>
          <w:rFonts w:hint="eastAsia"/>
          <w:color w:val="auto"/>
          <w:sz w:val="24"/>
        </w:rPr>
        <w:t>，</w:t>
      </w:r>
      <w:r>
        <w:rPr>
          <w:color w:val="auto"/>
          <w:sz w:val="24"/>
        </w:rPr>
        <w:t>包含</w:t>
      </w:r>
      <w:r>
        <w:rPr>
          <w:rFonts w:hint="eastAsia"/>
          <w:color w:val="auto"/>
          <w:sz w:val="24"/>
        </w:rPr>
        <w:t>：医嘱提醒、危急值提醒、试敏提醒、体征异常提醒、手术提醒、护理任务提醒等。</w:t>
      </w:r>
    </w:p>
    <w:p w14:paraId="2247AD37">
      <w:pPr>
        <w:pStyle w:val="94"/>
        <w:numPr>
          <w:ilvl w:val="0"/>
          <w:numId w:val="87"/>
        </w:numPr>
        <w:ind w:left="0" w:firstLine="480"/>
        <w:rPr>
          <w:color w:val="auto"/>
          <w:sz w:val="24"/>
        </w:rPr>
      </w:pPr>
      <w:r>
        <w:rPr>
          <w:color w:val="auto"/>
          <w:sz w:val="24"/>
        </w:rPr>
        <w:t>能够和HIS进行对接</w:t>
      </w:r>
      <w:r>
        <w:rPr>
          <w:rFonts w:hint="eastAsia"/>
          <w:color w:val="auto"/>
          <w:sz w:val="24"/>
        </w:rPr>
        <w:t>，</w:t>
      </w:r>
      <w:r>
        <w:rPr>
          <w:color w:val="auto"/>
          <w:sz w:val="24"/>
        </w:rPr>
        <w:t>确保消息推送的及时性</w:t>
      </w:r>
      <w:r>
        <w:rPr>
          <w:rFonts w:hint="eastAsia"/>
          <w:color w:val="auto"/>
          <w:sz w:val="24"/>
        </w:rPr>
        <w:t>。</w:t>
      </w:r>
    </w:p>
    <w:p w14:paraId="79C2D730">
      <w:pPr>
        <w:pStyle w:val="94"/>
        <w:numPr>
          <w:ilvl w:val="0"/>
          <w:numId w:val="87"/>
        </w:numPr>
        <w:ind w:left="0" w:firstLine="480"/>
        <w:rPr>
          <w:color w:val="auto"/>
          <w:sz w:val="24"/>
        </w:rPr>
      </w:pPr>
      <w:r>
        <w:rPr>
          <w:color w:val="auto"/>
          <w:sz w:val="24"/>
        </w:rPr>
        <w:t>支持语音</w:t>
      </w:r>
      <w:r>
        <w:rPr>
          <w:rFonts w:hint="eastAsia"/>
          <w:color w:val="auto"/>
          <w:sz w:val="24"/>
        </w:rPr>
        <w:t>+震动双模式提醒。</w:t>
      </w:r>
    </w:p>
    <w:p w14:paraId="79160E00">
      <w:pPr>
        <w:pStyle w:val="94"/>
        <w:numPr>
          <w:ilvl w:val="0"/>
          <w:numId w:val="87"/>
        </w:numPr>
        <w:ind w:left="0" w:firstLine="480"/>
        <w:rPr>
          <w:color w:val="auto"/>
          <w:sz w:val="24"/>
        </w:rPr>
      </w:pPr>
      <w:r>
        <w:rPr>
          <w:color w:val="auto"/>
          <w:sz w:val="24"/>
        </w:rPr>
        <w:t>支持消息已读未读标记</w:t>
      </w:r>
      <w:r>
        <w:rPr>
          <w:rFonts w:hint="eastAsia"/>
          <w:color w:val="auto"/>
          <w:sz w:val="24"/>
        </w:rPr>
        <w:t>、</w:t>
      </w:r>
      <w:r>
        <w:rPr>
          <w:color w:val="auto"/>
          <w:sz w:val="24"/>
        </w:rPr>
        <w:t>已读信息查看</w:t>
      </w:r>
      <w:r>
        <w:rPr>
          <w:rFonts w:hint="eastAsia"/>
          <w:color w:val="auto"/>
          <w:sz w:val="24"/>
        </w:rPr>
        <w:t>、</w:t>
      </w:r>
      <w:r>
        <w:rPr>
          <w:color w:val="auto"/>
          <w:sz w:val="24"/>
        </w:rPr>
        <w:t>详情查看等功能</w:t>
      </w:r>
      <w:r>
        <w:rPr>
          <w:rFonts w:hint="eastAsia"/>
          <w:color w:val="auto"/>
          <w:sz w:val="24"/>
        </w:rPr>
        <w:t>。</w:t>
      </w:r>
    </w:p>
    <w:p w14:paraId="3DA1963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护士交班</w:t>
      </w:r>
      <w:bookmarkEnd w:id="200"/>
    </w:p>
    <w:p w14:paraId="468761D7">
      <w:pPr>
        <w:pStyle w:val="94"/>
        <w:numPr>
          <w:ilvl w:val="0"/>
          <w:numId w:val="88"/>
        </w:numPr>
        <w:ind w:left="0" w:firstLine="480"/>
        <w:rPr>
          <w:color w:val="auto"/>
          <w:sz w:val="24"/>
        </w:rPr>
      </w:pPr>
      <w:bookmarkStart w:id="201" w:name="_Toc106373030"/>
      <w:r>
        <w:rPr>
          <w:rFonts w:hint="eastAsia"/>
          <w:color w:val="auto"/>
          <w:sz w:val="24"/>
        </w:rPr>
        <w:t>支持护士交班界面可进行查阅，签字，对患者情况说明的书写。</w:t>
      </w:r>
    </w:p>
    <w:p w14:paraId="44C2061F">
      <w:pPr>
        <w:pStyle w:val="94"/>
        <w:numPr>
          <w:ilvl w:val="0"/>
          <w:numId w:val="88"/>
        </w:numPr>
        <w:ind w:left="0" w:firstLine="480"/>
        <w:rPr>
          <w:color w:val="auto"/>
          <w:sz w:val="24"/>
        </w:rPr>
      </w:pPr>
      <w:r>
        <w:rPr>
          <w:rFonts w:hint="eastAsia"/>
          <w:color w:val="auto"/>
          <w:sz w:val="24"/>
        </w:rPr>
        <w:t>能够对科室重点病人进行汇总。</w:t>
      </w:r>
    </w:p>
    <w:p w14:paraId="2A153B80">
      <w:pPr>
        <w:pStyle w:val="94"/>
        <w:numPr>
          <w:ilvl w:val="0"/>
          <w:numId w:val="88"/>
        </w:numPr>
        <w:ind w:left="0" w:firstLine="480"/>
        <w:rPr>
          <w:color w:val="auto"/>
          <w:sz w:val="24"/>
        </w:rPr>
      </w:pPr>
      <w:r>
        <w:rPr>
          <w:color w:val="auto"/>
          <w:sz w:val="24"/>
        </w:rPr>
        <w:t>能够填写各班次</w:t>
      </w:r>
      <w:r>
        <w:rPr>
          <w:rFonts w:hint="eastAsia"/>
          <w:color w:val="auto"/>
          <w:sz w:val="24"/>
        </w:rPr>
        <w:t>、</w:t>
      </w:r>
      <w:r>
        <w:rPr>
          <w:color w:val="auto"/>
          <w:sz w:val="24"/>
        </w:rPr>
        <w:t>各患者交班信息</w:t>
      </w:r>
      <w:r>
        <w:rPr>
          <w:rFonts w:hint="eastAsia"/>
          <w:color w:val="auto"/>
          <w:sz w:val="24"/>
        </w:rPr>
        <w:t>，并进行浏览。</w:t>
      </w:r>
    </w:p>
    <w:p w14:paraId="72F673CC">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排班计划</w:t>
      </w:r>
      <w:bookmarkEnd w:id="201"/>
    </w:p>
    <w:p w14:paraId="75A82B9D">
      <w:pPr>
        <w:ind w:firstLine="480"/>
        <w:rPr>
          <w:rFonts w:cs="仿宋"/>
          <w:color w:val="auto"/>
        </w:rPr>
      </w:pPr>
      <w:r>
        <w:rPr>
          <w:rFonts w:hint="eastAsia" w:cs="仿宋"/>
          <w:color w:val="auto"/>
        </w:rPr>
        <w:t>支持HIS中进行排班，通过PDA获取排班计划信息。</w:t>
      </w:r>
    </w:p>
    <w:p w14:paraId="0009AA5E">
      <w:pPr>
        <w:pStyle w:val="341"/>
        <w:spacing w:beforeLines="0"/>
        <w:ind w:firstLine="482"/>
        <w:rPr>
          <w:rFonts w:hint="eastAsia" w:ascii="宋体" w:hAnsi="宋体" w:cs="仿宋"/>
          <w:b/>
          <w:bCs/>
          <w:color w:val="auto"/>
          <w:sz w:val="24"/>
          <w:szCs w:val="24"/>
        </w:rPr>
      </w:pPr>
      <w:bookmarkStart w:id="202" w:name="_Toc106373031"/>
      <w:r>
        <w:rPr>
          <w:rFonts w:hint="eastAsia" w:ascii="宋体" w:hAnsi="宋体" w:cs="仿宋"/>
          <w:b/>
          <w:bCs/>
          <w:color w:val="auto"/>
          <w:sz w:val="24"/>
          <w:szCs w:val="24"/>
        </w:rPr>
        <w:t>出入管理</w:t>
      </w:r>
      <w:bookmarkEnd w:id="202"/>
    </w:p>
    <w:p w14:paraId="25FC35DB">
      <w:pPr>
        <w:ind w:firstLine="480"/>
        <w:rPr>
          <w:rFonts w:cs="仿宋"/>
          <w:color w:val="auto"/>
        </w:rPr>
      </w:pPr>
      <w:r>
        <w:rPr>
          <w:rFonts w:hint="eastAsia" w:cs="仿宋"/>
          <w:color w:val="auto"/>
        </w:rPr>
        <w:t>支持查看病人出入情况；</w:t>
      </w:r>
    </w:p>
    <w:p w14:paraId="2F755A5D">
      <w:pPr>
        <w:ind w:firstLine="480"/>
        <w:rPr>
          <w:rFonts w:cs="仿宋"/>
          <w:color w:val="auto"/>
        </w:rPr>
      </w:pPr>
      <w:r>
        <w:rPr>
          <w:rFonts w:hint="eastAsia" w:cs="仿宋"/>
          <w:color w:val="auto"/>
        </w:rPr>
        <w:t>能够在出入登记里可添加病人出入情况，出入情况会在护理记录单，三测单等记录。</w:t>
      </w:r>
    </w:p>
    <w:p w14:paraId="0F2532A3">
      <w:pPr>
        <w:pStyle w:val="341"/>
        <w:spacing w:beforeLines="0"/>
        <w:ind w:firstLine="482"/>
        <w:rPr>
          <w:rFonts w:hint="eastAsia" w:ascii="宋体" w:hAnsi="宋体" w:cs="仿宋"/>
          <w:b/>
          <w:bCs/>
          <w:color w:val="auto"/>
          <w:sz w:val="24"/>
          <w:szCs w:val="24"/>
        </w:rPr>
      </w:pPr>
      <w:bookmarkStart w:id="203" w:name="_Toc106373032"/>
      <w:r>
        <w:rPr>
          <w:rFonts w:hint="eastAsia" w:ascii="宋体" w:hAnsi="宋体" w:cs="仿宋"/>
          <w:b/>
          <w:bCs/>
          <w:color w:val="auto"/>
          <w:sz w:val="24"/>
          <w:szCs w:val="24"/>
        </w:rPr>
        <w:t>腕带管理</w:t>
      </w:r>
      <w:bookmarkEnd w:id="203"/>
    </w:p>
    <w:p w14:paraId="6AE192EC">
      <w:pPr>
        <w:ind w:firstLine="480"/>
        <w:rPr>
          <w:rFonts w:cs="仿宋"/>
          <w:color w:val="auto"/>
        </w:rPr>
      </w:pPr>
      <w:r>
        <w:rPr>
          <w:rFonts w:hint="eastAsia" w:cs="仿宋"/>
          <w:color w:val="auto"/>
        </w:rPr>
        <w:t>支持RFID腕带和NFC腕带两种腕带的新发换发处理。</w:t>
      </w:r>
    </w:p>
    <w:p w14:paraId="56A716B0">
      <w:pPr>
        <w:ind w:firstLine="480"/>
        <w:rPr>
          <w:rFonts w:cs="仿宋"/>
          <w:color w:val="auto"/>
        </w:rPr>
      </w:pPr>
      <w:r>
        <w:rPr>
          <w:rFonts w:hint="eastAsia" w:cs="仿宋"/>
          <w:color w:val="auto"/>
        </w:rPr>
        <w:t>支持通过感应绑定患者信息。</w:t>
      </w:r>
    </w:p>
    <w:p w14:paraId="3D8568A1">
      <w:pPr>
        <w:pStyle w:val="341"/>
        <w:spacing w:beforeLines="0"/>
        <w:ind w:firstLine="482"/>
        <w:rPr>
          <w:rFonts w:hint="eastAsia" w:ascii="宋体" w:hAnsi="宋体" w:cs="仿宋"/>
          <w:b/>
          <w:bCs/>
          <w:color w:val="auto"/>
          <w:sz w:val="24"/>
          <w:szCs w:val="24"/>
        </w:rPr>
      </w:pPr>
      <w:bookmarkStart w:id="204" w:name="_Toc106373033"/>
      <w:r>
        <w:rPr>
          <w:rFonts w:hint="eastAsia" w:ascii="宋体" w:hAnsi="宋体" w:cs="仿宋"/>
          <w:b/>
          <w:bCs/>
          <w:color w:val="auto"/>
          <w:sz w:val="24"/>
          <w:szCs w:val="24"/>
        </w:rPr>
        <w:t>会诊</w:t>
      </w:r>
      <w:bookmarkEnd w:id="204"/>
    </w:p>
    <w:p w14:paraId="0913A583">
      <w:pPr>
        <w:ind w:firstLine="480"/>
        <w:rPr>
          <w:rFonts w:cs="仿宋"/>
          <w:color w:val="auto"/>
        </w:rPr>
      </w:pPr>
      <w:r>
        <w:rPr>
          <w:rFonts w:hint="eastAsia" w:cs="仿宋"/>
          <w:color w:val="auto"/>
        </w:rPr>
        <w:t>支持同步HIS会诊信息至PDA。</w:t>
      </w:r>
    </w:p>
    <w:p w14:paraId="36E32BA0">
      <w:pPr>
        <w:ind w:firstLine="480"/>
        <w:rPr>
          <w:rFonts w:cs="仿宋"/>
          <w:color w:val="auto"/>
        </w:rPr>
      </w:pPr>
      <w:r>
        <w:rPr>
          <w:rFonts w:hint="eastAsia" w:cs="仿宋"/>
          <w:color w:val="auto"/>
        </w:rPr>
        <w:t>会诊中拍照上传图片信息。</w:t>
      </w:r>
    </w:p>
    <w:p w14:paraId="66C15E8C">
      <w:pPr>
        <w:pStyle w:val="341"/>
        <w:spacing w:beforeLines="0"/>
        <w:ind w:firstLine="482"/>
        <w:rPr>
          <w:rFonts w:hint="eastAsia" w:ascii="宋体" w:hAnsi="宋体" w:cs="仿宋"/>
          <w:b/>
          <w:bCs/>
          <w:color w:val="auto"/>
          <w:sz w:val="24"/>
          <w:szCs w:val="24"/>
        </w:rPr>
      </w:pPr>
      <w:bookmarkStart w:id="205" w:name="_Toc106373035"/>
      <w:r>
        <w:rPr>
          <w:rFonts w:hint="eastAsia" w:ascii="宋体" w:hAnsi="宋体" w:cs="仿宋"/>
          <w:b/>
          <w:bCs/>
          <w:color w:val="auto"/>
          <w:sz w:val="24"/>
          <w:szCs w:val="24"/>
        </w:rPr>
        <w:t>备忘录</w:t>
      </w:r>
      <w:bookmarkEnd w:id="205"/>
    </w:p>
    <w:p w14:paraId="066A2BBF">
      <w:pPr>
        <w:pStyle w:val="94"/>
        <w:numPr>
          <w:ilvl w:val="0"/>
          <w:numId w:val="89"/>
        </w:numPr>
        <w:ind w:left="0" w:firstLine="480"/>
        <w:rPr>
          <w:color w:val="auto"/>
          <w:sz w:val="24"/>
        </w:rPr>
      </w:pPr>
      <w:r>
        <w:rPr>
          <w:color w:val="auto"/>
          <w:sz w:val="24"/>
        </w:rPr>
        <w:t>支持个人备忘录</w:t>
      </w:r>
      <w:r>
        <w:rPr>
          <w:rFonts w:hint="eastAsia"/>
          <w:color w:val="auto"/>
          <w:sz w:val="24"/>
        </w:rPr>
        <w:t>、</w:t>
      </w:r>
      <w:r>
        <w:rPr>
          <w:color w:val="auto"/>
          <w:sz w:val="24"/>
        </w:rPr>
        <w:t>患者备忘录</w:t>
      </w:r>
      <w:r>
        <w:rPr>
          <w:rFonts w:hint="eastAsia"/>
          <w:color w:val="auto"/>
          <w:sz w:val="24"/>
        </w:rPr>
        <w:t>、</w:t>
      </w:r>
      <w:r>
        <w:rPr>
          <w:color w:val="auto"/>
          <w:sz w:val="24"/>
        </w:rPr>
        <w:t>科室备忘录三种模式</w:t>
      </w:r>
      <w:r>
        <w:rPr>
          <w:rFonts w:hint="eastAsia"/>
          <w:color w:val="auto"/>
          <w:sz w:val="24"/>
        </w:rPr>
        <w:t>。</w:t>
      </w:r>
    </w:p>
    <w:p w14:paraId="2F497B9E">
      <w:pPr>
        <w:pStyle w:val="94"/>
        <w:numPr>
          <w:ilvl w:val="0"/>
          <w:numId w:val="89"/>
        </w:numPr>
        <w:ind w:left="0" w:firstLine="480"/>
        <w:rPr>
          <w:color w:val="auto"/>
          <w:sz w:val="24"/>
        </w:rPr>
      </w:pPr>
      <w:r>
        <w:rPr>
          <w:color w:val="auto"/>
          <w:sz w:val="24"/>
        </w:rPr>
        <w:t>支持定义备忘录模板</w:t>
      </w:r>
      <w:r>
        <w:rPr>
          <w:rFonts w:hint="eastAsia"/>
          <w:color w:val="auto"/>
          <w:sz w:val="24"/>
        </w:rPr>
        <w:t>，</w:t>
      </w:r>
      <w:r>
        <w:rPr>
          <w:color w:val="auto"/>
          <w:sz w:val="24"/>
        </w:rPr>
        <w:t>并在书写备忘录时引用</w:t>
      </w:r>
      <w:r>
        <w:rPr>
          <w:rFonts w:hint="eastAsia"/>
          <w:color w:val="auto"/>
          <w:sz w:val="24"/>
        </w:rPr>
        <w:t>。</w:t>
      </w:r>
    </w:p>
    <w:p w14:paraId="605C81C7">
      <w:pPr>
        <w:rPr>
          <w:color w:val="auto"/>
        </w:rPr>
      </w:pPr>
      <w:r>
        <w:rPr>
          <w:color w:val="auto"/>
          <w:sz w:val="24"/>
        </w:rPr>
        <w:t>支持通过闹铃</w:t>
      </w:r>
      <w:r>
        <w:rPr>
          <w:rFonts w:hint="eastAsia"/>
          <w:color w:val="auto"/>
          <w:sz w:val="24"/>
        </w:rPr>
        <w:t>+震动的模式提醒查看备忘录信息。</w:t>
      </w:r>
    </w:p>
    <w:p w14:paraId="3E89808B">
      <w:pPr>
        <w:pStyle w:val="14"/>
        <w:bidi w:val="0"/>
        <w:rPr>
          <w:color w:val="auto"/>
        </w:rPr>
      </w:pPr>
      <w:r>
        <w:rPr>
          <w:rFonts w:hint="eastAsia"/>
          <w:color w:val="auto"/>
          <w:lang w:val="en-US" w:eastAsia="zh-CN"/>
        </w:rPr>
        <w:t xml:space="preserve"> </w:t>
      </w:r>
      <w:r>
        <w:rPr>
          <w:rFonts w:hint="eastAsia"/>
          <w:color w:val="auto"/>
        </w:rPr>
        <w:t>日间病房管理</w:t>
      </w:r>
    </w:p>
    <w:p w14:paraId="1B292BA8">
      <w:pPr>
        <w:ind w:firstLine="480"/>
        <w:rPr>
          <w:color w:val="auto"/>
        </w:rPr>
      </w:pPr>
      <w:r>
        <w:rPr>
          <w:rFonts w:hint="eastAsia"/>
          <w:color w:val="auto"/>
        </w:rPr>
        <w:t>应用医嘱处理、电子病历、物资管理、临床路径和护理管理等模块，实现了日间病人床位预约、病房日报、专科日间电子病历和结构化电子护理病历、护理质控、护士人力资源管理和弹性排班、物资请领、病人交接等重要工作。</w:t>
      </w:r>
    </w:p>
    <w:p w14:paraId="1F4B9720">
      <w:pPr>
        <w:pStyle w:val="14"/>
        <w:bidi w:val="0"/>
        <w:rPr>
          <w:color w:val="auto"/>
        </w:rPr>
      </w:pPr>
      <w:r>
        <w:rPr>
          <w:rFonts w:hint="eastAsia"/>
          <w:color w:val="auto"/>
          <w:lang w:val="en-US" w:eastAsia="zh-CN"/>
        </w:rPr>
        <w:t xml:space="preserve"> </w:t>
      </w:r>
      <w:r>
        <w:rPr>
          <w:rFonts w:hint="eastAsia"/>
          <w:color w:val="auto"/>
        </w:rPr>
        <w:t>手术信息系统</w:t>
      </w:r>
    </w:p>
    <w:p w14:paraId="4F57B4E9">
      <w:pPr>
        <w:bidi w:val="0"/>
        <w:rPr>
          <w:color w:val="auto"/>
        </w:rPr>
      </w:pPr>
      <w:r>
        <w:rPr>
          <w:color w:val="auto"/>
        </w:rPr>
        <w:t>实现手术全流程数字化管理，涵盖手术申请、排台、护理及费用管理，支持多级医生筛选、加急手术处理、实时消息提醒及器械消毒联动，确保手术安排高效精准，同时提供术中医嘱、影像调阅及费用追溯功能，提升手术室协同效率与安全性。</w:t>
      </w:r>
    </w:p>
    <w:p w14:paraId="67A1AF71">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C6B4E58">
      <w:pPr>
        <w:pStyle w:val="341"/>
        <w:spacing w:beforeLines="0"/>
        <w:ind w:firstLine="482"/>
        <w:rPr>
          <w:rFonts w:hint="eastAsia" w:ascii="宋体" w:hAnsi="宋体" w:cs="仿宋"/>
          <w:b/>
          <w:bCs/>
          <w:color w:val="auto"/>
          <w:sz w:val="24"/>
          <w:szCs w:val="24"/>
        </w:rPr>
      </w:pPr>
      <w:bookmarkStart w:id="206" w:name="_Toc106373041"/>
      <w:r>
        <w:rPr>
          <w:rFonts w:hint="eastAsia" w:ascii="宋体" w:hAnsi="宋体" w:cs="仿宋"/>
          <w:b/>
          <w:bCs/>
          <w:color w:val="auto"/>
          <w:sz w:val="24"/>
          <w:szCs w:val="24"/>
        </w:rPr>
        <w:t>手术申请</w:t>
      </w:r>
      <w:bookmarkEnd w:id="206"/>
    </w:p>
    <w:p w14:paraId="704059FC">
      <w:pPr>
        <w:pStyle w:val="94"/>
        <w:numPr>
          <w:ilvl w:val="0"/>
          <w:numId w:val="90"/>
        </w:numPr>
        <w:ind w:left="0" w:firstLine="480"/>
        <w:rPr>
          <w:color w:val="auto"/>
          <w:sz w:val="24"/>
        </w:rPr>
      </w:pPr>
      <w:bookmarkStart w:id="207" w:name="_Toc106373042"/>
      <w:r>
        <w:rPr>
          <w:color w:val="auto"/>
          <w:sz w:val="24"/>
        </w:rPr>
        <w:t>支持根据手术级别获取手术医生名单</w:t>
      </w:r>
      <w:r>
        <w:rPr>
          <w:rFonts w:hint="eastAsia"/>
          <w:color w:val="auto"/>
          <w:sz w:val="24"/>
        </w:rPr>
        <w:t>。</w:t>
      </w:r>
    </w:p>
    <w:p w14:paraId="3AAE66D3">
      <w:pPr>
        <w:pStyle w:val="94"/>
        <w:numPr>
          <w:ilvl w:val="0"/>
          <w:numId w:val="90"/>
        </w:numPr>
        <w:ind w:left="0" w:firstLine="480"/>
        <w:rPr>
          <w:color w:val="auto"/>
          <w:sz w:val="24"/>
        </w:rPr>
      </w:pPr>
      <w:r>
        <w:rPr>
          <w:color w:val="auto"/>
          <w:sz w:val="24"/>
        </w:rPr>
        <w:t>支持加急手术和非加急手术两种模式</w:t>
      </w:r>
      <w:r>
        <w:rPr>
          <w:rFonts w:hint="eastAsia"/>
          <w:color w:val="auto"/>
          <w:sz w:val="24"/>
        </w:rPr>
        <w:t>，</w:t>
      </w:r>
      <w:r>
        <w:rPr>
          <w:color w:val="auto"/>
          <w:sz w:val="24"/>
        </w:rPr>
        <w:t>加急手术可将预约时间提前至当天</w:t>
      </w:r>
      <w:r>
        <w:rPr>
          <w:rFonts w:hint="eastAsia"/>
          <w:color w:val="auto"/>
          <w:sz w:val="24"/>
        </w:rPr>
        <w:t>。</w:t>
      </w:r>
    </w:p>
    <w:p w14:paraId="512AB867">
      <w:pPr>
        <w:pStyle w:val="94"/>
        <w:numPr>
          <w:ilvl w:val="0"/>
          <w:numId w:val="90"/>
        </w:numPr>
        <w:ind w:left="0" w:firstLine="480"/>
        <w:rPr>
          <w:color w:val="auto"/>
          <w:sz w:val="24"/>
        </w:rPr>
      </w:pPr>
      <w:r>
        <w:rPr>
          <w:color w:val="auto"/>
          <w:sz w:val="24"/>
        </w:rPr>
        <w:t>支持通过消息提醒</w:t>
      </w:r>
      <w:r>
        <w:rPr>
          <w:rFonts w:hint="eastAsia"/>
          <w:color w:val="auto"/>
          <w:sz w:val="24"/>
        </w:rPr>
        <w:t>，</w:t>
      </w:r>
      <w:r>
        <w:rPr>
          <w:color w:val="auto"/>
          <w:sz w:val="24"/>
        </w:rPr>
        <w:t>将临床医生发起的手术申请提醒到手术室</w:t>
      </w:r>
      <w:r>
        <w:rPr>
          <w:rFonts w:hint="eastAsia"/>
          <w:color w:val="auto"/>
          <w:sz w:val="24"/>
        </w:rPr>
        <w:t>。</w:t>
      </w:r>
    </w:p>
    <w:p w14:paraId="6051BAA8">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手术安排</w:t>
      </w:r>
      <w:bookmarkEnd w:id="207"/>
    </w:p>
    <w:p w14:paraId="539E9E11">
      <w:pPr>
        <w:pStyle w:val="94"/>
        <w:numPr>
          <w:ilvl w:val="0"/>
          <w:numId w:val="91"/>
        </w:numPr>
        <w:ind w:left="0" w:firstLine="480"/>
        <w:rPr>
          <w:color w:val="auto"/>
          <w:sz w:val="24"/>
        </w:rPr>
      </w:pPr>
      <w:bookmarkStart w:id="208" w:name="_Toc106373043"/>
      <w:r>
        <w:rPr>
          <w:color w:val="auto"/>
          <w:sz w:val="24"/>
        </w:rPr>
        <w:t>支持</w:t>
      </w:r>
      <w:r>
        <w:rPr>
          <w:rFonts w:hint="eastAsia"/>
          <w:color w:val="auto"/>
          <w:sz w:val="24"/>
        </w:rPr>
        <w:t>查看</w:t>
      </w:r>
      <w:r>
        <w:rPr>
          <w:color w:val="auto"/>
          <w:sz w:val="24"/>
        </w:rPr>
        <w:t>临床发起的手术申请</w:t>
      </w:r>
      <w:r>
        <w:rPr>
          <w:rFonts w:hint="eastAsia"/>
          <w:color w:val="auto"/>
          <w:sz w:val="24"/>
        </w:rPr>
        <w:t>信息。</w:t>
      </w:r>
    </w:p>
    <w:p w14:paraId="5C4E6684">
      <w:pPr>
        <w:pStyle w:val="94"/>
        <w:numPr>
          <w:ilvl w:val="0"/>
          <w:numId w:val="91"/>
        </w:numPr>
        <w:ind w:left="0" w:firstLine="480"/>
        <w:rPr>
          <w:color w:val="auto"/>
          <w:sz w:val="24"/>
        </w:rPr>
      </w:pPr>
      <w:r>
        <w:rPr>
          <w:color w:val="auto"/>
          <w:sz w:val="24"/>
        </w:rPr>
        <w:t>提供统一的手术排台界面</w:t>
      </w:r>
      <w:r>
        <w:rPr>
          <w:rFonts w:hint="eastAsia"/>
          <w:color w:val="auto"/>
          <w:sz w:val="24"/>
        </w:rPr>
        <w:t>，可对手术进行排台或撤销。</w:t>
      </w:r>
    </w:p>
    <w:p w14:paraId="32AD0B4C">
      <w:pPr>
        <w:pStyle w:val="94"/>
        <w:numPr>
          <w:ilvl w:val="0"/>
          <w:numId w:val="91"/>
        </w:numPr>
        <w:ind w:left="0" w:firstLine="480"/>
        <w:rPr>
          <w:color w:val="auto"/>
          <w:sz w:val="24"/>
        </w:rPr>
      </w:pPr>
      <w:r>
        <w:rPr>
          <w:rFonts w:hint="eastAsia"/>
          <w:color w:val="auto"/>
          <w:sz w:val="24"/>
        </w:rPr>
        <w:t>能够通过拖拽式操作选择手术护士、麻醉医生、手术医生信息。</w:t>
      </w:r>
    </w:p>
    <w:p w14:paraId="18A72C5F">
      <w:pPr>
        <w:pStyle w:val="94"/>
        <w:numPr>
          <w:ilvl w:val="0"/>
          <w:numId w:val="91"/>
        </w:numPr>
        <w:ind w:left="0" w:firstLine="480"/>
        <w:rPr>
          <w:color w:val="auto"/>
          <w:sz w:val="24"/>
        </w:rPr>
      </w:pPr>
      <w:r>
        <w:rPr>
          <w:color w:val="auto"/>
          <w:sz w:val="24"/>
        </w:rPr>
        <w:t>支持打印手术通知单</w:t>
      </w:r>
      <w:r>
        <w:rPr>
          <w:rFonts w:hint="eastAsia"/>
          <w:color w:val="auto"/>
          <w:sz w:val="24"/>
        </w:rPr>
        <w:t>。</w:t>
      </w:r>
    </w:p>
    <w:p w14:paraId="68F66369">
      <w:pPr>
        <w:pStyle w:val="94"/>
        <w:numPr>
          <w:ilvl w:val="0"/>
          <w:numId w:val="91"/>
        </w:numPr>
        <w:ind w:left="0" w:firstLine="480"/>
        <w:rPr>
          <w:color w:val="auto"/>
          <w:sz w:val="24"/>
        </w:rPr>
      </w:pPr>
      <w:r>
        <w:rPr>
          <w:color w:val="auto"/>
          <w:sz w:val="24"/>
        </w:rPr>
        <w:t>手术安排完成后能够通过消息提醒系统提醒病区护士</w:t>
      </w:r>
      <w:r>
        <w:rPr>
          <w:rFonts w:hint="eastAsia"/>
          <w:color w:val="auto"/>
          <w:sz w:val="24"/>
        </w:rPr>
        <w:t>、</w:t>
      </w:r>
      <w:r>
        <w:rPr>
          <w:color w:val="auto"/>
          <w:sz w:val="24"/>
        </w:rPr>
        <w:t>医生进行手术交接</w:t>
      </w:r>
      <w:r>
        <w:rPr>
          <w:rFonts w:hint="eastAsia"/>
          <w:color w:val="auto"/>
          <w:sz w:val="24"/>
        </w:rPr>
        <w:t>。</w:t>
      </w:r>
    </w:p>
    <w:p w14:paraId="300FBAC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手术护理</w:t>
      </w:r>
      <w:bookmarkEnd w:id="208"/>
    </w:p>
    <w:p w14:paraId="163BBC6F">
      <w:pPr>
        <w:pStyle w:val="94"/>
        <w:numPr>
          <w:ilvl w:val="0"/>
          <w:numId w:val="92"/>
        </w:numPr>
        <w:ind w:left="0" w:firstLine="480"/>
        <w:rPr>
          <w:color w:val="auto"/>
          <w:sz w:val="24"/>
        </w:rPr>
      </w:pPr>
      <w:r>
        <w:rPr>
          <w:rFonts w:hint="eastAsia"/>
          <w:color w:val="auto"/>
          <w:sz w:val="24"/>
        </w:rPr>
        <w:t>提供患者基本信息：姓名、性别、年龄、住院病例号、病区、床号、入院诊断、病情状态、护理等级、费用情况等。</w:t>
      </w:r>
    </w:p>
    <w:p w14:paraId="6BD5517D">
      <w:pPr>
        <w:pStyle w:val="94"/>
        <w:numPr>
          <w:ilvl w:val="0"/>
          <w:numId w:val="92"/>
        </w:numPr>
        <w:ind w:left="0" w:firstLine="480"/>
        <w:rPr>
          <w:color w:val="auto"/>
          <w:sz w:val="24"/>
        </w:rPr>
      </w:pPr>
      <w:r>
        <w:rPr>
          <w:rFonts w:hint="eastAsia"/>
          <w:color w:val="auto"/>
          <w:sz w:val="24"/>
        </w:rPr>
        <w:t>支持病人手术过程中，临时医嘱的录入、审核、执行。</w:t>
      </w:r>
    </w:p>
    <w:p w14:paraId="78BBC1E2">
      <w:pPr>
        <w:pStyle w:val="94"/>
        <w:numPr>
          <w:ilvl w:val="0"/>
          <w:numId w:val="92"/>
        </w:numPr>
        <w:ind w:left="0" w:firstLine="480"/>
        <w:rPr>
          <w:color w:val="auto"/>
          <w:sz w:val="24"/>
        </w:rPr>
      </w:pPr>
      <w:r>
        <w:rPr>
          <w:rFonts w:hint="eastAsia"/>
          <w:color w:val="auto"/>
          <w:sz w:val="24"/>
        </w:rPr>
        <w:t>提供临时医嘱药品模板。</w:t>
      </w:r>
    </w:p>
    <w:p w14:paraId="48A8D051">
      <w:pPr>
        <w:pStyle w:val="94"/>
        <w:numPr>
          <w:ilvl w:val="0"/>
          <w:numId w:val="92"/>
        </w:numPr>
        <w:ind w:left="0" w:firstLine="480"/>
        <w:rPr>
          <w:color w:val="auto"/>
          <w:sz w:val="24"/>
        </w:rPr>
      </w:pPr>
      <w:r>
        <w:rPr>
          <w:rFonts w:hint="eastAsia"/>
          <w:color w:val="auto"/>
          <w:sz w:val="24"/>
        </w:rPr>
        <w:t>能够手术室相关费用的记账。</w:t>
      </w:r>
    </w:p>
    <w:p w14:paraId="021BE5D3">
      <w:pPr>
        <w:pStyle w:val="94"/>
        <w:numPr>
          <w:ilvl w:val="0"/>
          <w:numId w:val="92"/>
        </w:numPr>
        <w:ind w:left="0" w:firstLine="480"/>
        <w:rPr>
          <w:color w:val="auto"/>
          <w:sz w:val="24"/>
        </w:rPr>
      </w:pPr>
      <w:r>
        <w:rPr>
          <w:rFonts w:hint="eastAsia"/>
          <w:color w:val="auto"/>
          <w:sz w:val="24"/>
        </w:rPr>
        <w:t>支持费用浏览功能及费用补记功能。</w:t>
      </w:r>
    </w:p>
    <w:p w14:paraId="56C30E8B">
      <w:pPr>
        <w:pStyle w:val="94"/>
        <w:numPr>
          <w:ilvl w:val="0"/>
          <w:numId w:val="92"/>
        </w:numPr>
        <w:ind w:left="0" w:firstLine="480"/>
        <w:rPr>
          <w:color w:val="auto"/>
          <w:sz w:val="24"/>
        </w:rPr>
      </w:pPr>
      <w:r>
        <w:rPr>
          <w:rFonts w:hint="eastAsia"/>
          <w:color w:val="auto"/>
          <w:sz w:val="24"/>
        </w:rPr>
        <w:t>支持影像及检验结果查看。</w:t>
      </w:r>
    </w:p>
    <w:p w14:paraId="67385C22">
      <w:pPr>
        <w:pStyle w:val="94"/>
        <w:numPr>
          <w:ilvl w:val="0"/>
          <w:numId w:val="92"/>
        </w:numPr>
        <w:ind w:left="0" w:firstLine="480"/>
        <w:rPr>
          <w:color w:val="auto"/>
          <w:sz w:val="24"/>
        </w:rPr>
      </w:pPr>
      <w:r>
        <w:rPr>
          <w:rFonts w:hint="eastAsia"/>
          <w:color w:val="auto"/>
          <w:sz w:val="24"/>
        </w:rPr>
        <w:t>支持退药处理功能</w:t>
      </w:r>
    </w:p>
    <w:p w14:paraId="05585668">
      <w:pPr>
        <w:pStyle w:val="94"/>
        <w:numPr>
          <w:ilvl w:val="0"/>
          <w:numId w:val="92"/>
        </w:numPr>
        <w:ind w:left="0" w:firstLine="480"/>
        <w:rPr>
          <w:color w:val="auto"/>
          <w:sz w:val="24"/>
        </w:rPr>
      </w:pPr>
      <w:r>
        <w:rPr>
          <w:rFonts w:hint="eastAsia"/>
          <w:color w:val="auto"/>
          <w:sz w:val="24"/>
        </w:rPr>
        <w:t>能够查看手术器械的申请（与消毒供应系统相结合）。</w:t>
      </w:r>
    </w:p>
    <w:p w14:paraId="23CE35EB">
      <w:pPr>
        <w:pStyle w:val="94"/>
        <w:numPr>
          <w:ilvl w:val="0"/>
          <w:numId w:val="92"/>
        </w:numPr>
        <w:ind w:left="0" w:firstLine="480"/>
        <w:rPr>
          <w:color w:val="auto"/>
          <w:sz w:val="24"/>
        </w:rPr>
      </w:pPr>
      <w:r>
        <w:rPr>
          <w:rFonts w:hint="eastAsia"/>
          <w:color w:val="auto"/>
          <w:sz w:val="24"/>
        </w:rPr>
        <w:t>能够查看手术护理记录、器械清点记录。</w:t>
      </w:r>
    </w:p>
    <w:p w14:paraId="03B83EAA">
      <w:pPr>
        <w:pStyle w:val="14"/>
        <w:bidi w:val="0"/>
        <w:rPr>
          <w:color w:val="auto"/>
        </w:rPr>
      </w:pPr>
      <w:r>
        <w:rPr>
          <w:rFonts w:hint="eastAsia"/>
          <w:color w:val="auto"/>
          <w:lang w:val="en-US" w:eastAsia="zh-CN"/>
        </w:rPr>
        <w:t xml:space="preserve"> </w:t>
      </w:r>
      <w:r>
        <w:rPr>
          <w:rFonts w:hint="eastAsia"/>
          <w:color w:val="auto"/>
        </w:rPr>
        <w:t>麻醉信息系统</w:t>
      </w:r>
    </w:p>
    <w:p w14:paraId="39522976">
      <w:pPr>
        <w:bidi w:val="0"/>
        <w:rPr>
          <w:color w:val="auto"/>
        </w:rPr>
      </w:pPr>
      <w:r>
        <w:rPr>
          <w:color w:val="auto"/>
        </w:rPr>
        <w:t>覆盖麻醉术前评估、术中监测、复苏随访全流程，集成HIS、EMR等系统数据，支持智能评分、生命体征实时记录与异常预警，并实现麻醉文书自动生成、药品精细管理及质控数据上报，助力麻醉科精准化、标准化和智能化管理。</w:t>
      </w:r>
    </w:p>
    <w:p w14:paraId="5DF32CD3">
      <w:pPr>
        <w:bidi w:val="0"/>
        <w:rPr>
          <w:rFonts w:hint="default" w:eastAsia="宋体"/>
          <w:color w:val="auto"/>
          <w:lang w:val="en-US" w:eastAsia="zh-CN"/>
        </w:rPr>
      </w:pPr>
      <w:r>
        <w:rPr>
          <w:rFonts w:hint="eastAsia"/>
          <w:color w:val="auto"/>
          <w:lang w:val="en-US" w:eastAsia="zh-CN"/>
        </w:rPr>
        <w:t>系统数量满足医院使用需求。</w:t>
      </w:r>
    </w:p>
    <w:p w14:paraId="252D0E9C">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3D6AFDF">
      <w:pPr>
        <w:pStyle w:val="341"/>
        <w:spacing w:beforeLines="0"/>
        <w:ind w:firstLine="482"/>
        <w:rPr>
          <w:rFonts w:hint="eastAsia" w:ascii="宋体" w:hAnsi="宋体" w:cs="仿宋"/>
          <w:b/>
          <w:bCs/>
          <w:color w:val="auto"/>
          <w:sz w:val="24"/>
          <w:szCs w:val="24"/>
        </w:rPr>
      </w:pPr>
      <w:bookmarkStart w:id="209" w:name="_Toc106373045"/>
      <w:r>
        <w:rPr>
          <w:rFonts w:hint="eastAsia" w:ascii="宋体" w:hAnsi="宋体" w:cs="仿宋"/>
          <w:b/>
          <w:bCs/>
          <w:color w:val="auto"/>
          <w:sz w:val="24"/>
          <w:szCs w:val="24"/>
        </w:rPr>
        <w:t>麻醉全流程管理</w:t>
      </w:r>
      <w:bookmarkEnd w:id="209"/>
    </w:p>
    <w:p w14:paraId="34C4DE63">
      <w:pPr>
        <w:pStyle w:val="94"/>
        <w:numPr>
          <w:ilvl w:val="0"/>
          <w:numId w:val="93"/>
        </w:numPr>
        <w:ind w:left="0" w:firstLine="480"/>
        <w:rPr>
          <w:color w:val="auto"/>
          <w:sz w:val="24"/>
        </w:rPr>
      </w:pPr>
      <w:bookmarkStart w:id="210" w:name="_Toc106373046"/>
      <w:bookmarkStart w:id="211" w:name="_Toc37916142"/>
      <w:r>
        <w:rPr>
          <w:rFonts w:hint="eastAsia"/>
          <w:color w:val="auto"/>
          <w:sz w:val="24"/>
        </w:rPr>
        <w:t>支持从患者入手术室到出手术室、从麻醉到复苏全流程管理。</w:t>
      </w:r>
    </w:p>
    <w:p w14:paraId="5FEA9237">
      <w:pPr>
        <w:pStyle w:val="94"/>
        <w:numPr>
          <w:ilvl w:val="0"/>
          <w:numId w:val="93"/>
        </w:numPr>
        <w:ind w:left="0" w:firstLine="480"/>
        <w:rPr>
          <w:color w:val="auto"/>
          <w:sz w:val="24"/>
        </w:rPr>
      </w:pPr>
      <w:r>
        <w:rPr>
          <w:color w:val="auto"/>
          <w:sz w:val="24"/>
        </w:rPr>
        <w:t>支持记录患者</w:t>
      </w:r>
      <w:r>
        <w:rPr>
          <w:rFonts w:hint="eastAsia"/>
          <w:color w:val="auto"/>
          <w:sz w:val="24"/>
        </w:rPr>
        <w:t>麻醉</w:t>
      </w:r>
      <w:r>
        <w:rPr>
          <w:color w:val="auto"/>
          <w:sz w:val="24"/>
        </w:rPr>
        <w:t>全流程时间节点</w:t>
      </w:r>
      <w:r>
        <w:rPr>
          <w:rFonts w:hint="eastAsia"/>
          <w:color w:val="auto"/>
          <w:sz w:val="24"/>
        </w:rPr>
        <w:t>。</w:t>
      </w:r>
    </w:p>
    <w:p w14:paraId="6090AE04">
      <w:pPr>
        <w:pStyle w:val="94"/>
        <w:numPr>
          <w:ilvl w:val="0"/>
          <w:numId w:val="93"/>
        </w:numPr>
        <w:ind w:left="0" w:firstLine="480"/>
        <w:rPr>
          <w:color w:val="auto"/>
          <w:sz w:val="24"/>
        </w:rPr>
      </w:pPr>
      <w:r>
        <w:rPr>
          <w:color w:val="auto"/>
          <w:sz w:val="24"/>
        </w:rPr>
        <w:t>支持通过点选的方式将事件及</w:t>
      </w:r>
      <w:r>
        <w:rPr>
          <w:rFonts w:hint="eastAsia"/>
          <w:color w:val="auto"/>
          <w:sz w:val="24"/>
        </w:rPr>
        <w:t>时间</w:t>
      </w:r>
      <w:r>
        <w:rPr>
          <w:color w:val="auto"/>
          <w:sz w:val="24"/>
        </w:rPr>
        <w:t>节点加入到麻醉单中</w:t>
      </w:r>
      <w:r>
        <w:rPr>
          <w:rFonts w:hint="eastAsia"/>
          <w:color w:val="auto"/>
          <w:sz w:val="24"/>
        </w:rPr>
        <w:t>，</w:t>
      </w:r>
      <w:r>
        <w:rPr>
          <w:color w:val="auto"/>
          <w:sz w:val="24"/>
        </w:rPr>
        <w:t>并进行记录</w:t>
      </w:r>
      <w:r>
        <w:rPr>
          <w:rFonts w:hint="eastAsia"/>
          <w:color w:val="auto"/>
          <w:sz w:val="24"/>
        </w:rPr>
        <w:t>。</w:t>
      </w:r>
    </w:p>
    <w:p w14:paraId="50A32788">
      <w:pPr>
        <w:pStyle w:val="94"/>
        <w:numPr>
          <w:ilvl w:val="0"/>
          <w:numId w:val="93"/>
        </w:numPr>
        <w:ind w:left="0" w:firstLine="480"/>
        <w:rPr>
          <w:color w:val="auto"/>
          <w:sz w:val="24"/>
        </w:rPr>
      </w:pPr>
      <w:r>
        <w:rPr>
          <w:color w:val="auto"/>
          <w:sz w:val="24"/>
        </w:rPr>
        <w:t>支持拖拽式操作</w:t>
      </w:r>
      <w:r>
        <w:rPr>
          <w:rFonts w:hint="eastAsia"/>
          <w:color w:val="auto"/>
          <w:sz w:val="24"/>
        </w:rPr>
        <w:t>麻醉单</w:t>
      </w:r>
      <w:r>
        <w:rPr>
          <w:color w:val="auto"/>
          <w:sz w:val="24"/>
        </w:rPr>
        <w:t>事件</w:t>
      </w:r>
      <w:r>
        <w:rPr>
          <w:rFonts w:hint="eastAsia"/>
          <w:color w:val="auto"/>
          <w:sz w:val="24"/>
        </w:rPr>
        <w:t>。</w:t>
      </w:r>
    </w:p>
    <w:p w14:paraId="150335D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麻醉准备</w:t>
      </w:r>
      <w:bookmarkEnd w:id="210"/>
      <w:bookmarkEnd w:id="211"/>
    </w:p>
    <w:p w14:paraId="3ECF27AC">
      <w:pPr>
        <w:pStyle w:val="94"/>
        <w:numPr>
          <w:ilvl w:val="0"/>
          <w:numId w:val="94"/>
        </w:numPr>
        <w:ind w:left="0" w:firstLine="480"/>
        <w:rPr>
          <w:color w:val="auto"/>
          <w:sz w:val="24"/>
        </w:rPr>
      </w:pPr>
      <w:bookmarkStart w:id="212" w:name="_Toc106373047"/>
      <w:bookmarkStart w:id="213" w:name="_Toc37916143"/>
      <w:r>
        <w:rPr>
          <w:rFonts w:hint="eastAsia"/>
          <w:color w:val="auto"/>
          <w:sz w:val="24"/>
        </w:rPr>
        <w:t>能够批量接收HIS下达的手术申请信息。</w:t>
      </w:r>
    </w:p>
    <w:p w14:paraId="6D1AE1D0">
      <w:pPr>
        <w:pStyle w:val="94"/>
        <w:numPr>
          <w:ilvl w:val="0"/>
          <w:numId w:val="94"/>
        </w:numPr>
        <w:ind w:left="0" w:firstLine="480"/>
        <w:rPr>
          <w:color w:val="auto"/>
          <w:sz w:val="24"/>
        </w:rPr>
      </w:pPr>
      <w:r>
        <w:rPr>
          <w:rFonts w:hint="eastAsia"/>
          <w:color w:val="auto"/>
          <w:sz w:val="24"/>
        </w:rPr>
        <w:t>能够接收指定患者HIS下达的手术申请信息。</w:t>
      </w:r>
    </w:p>
    <w:p w14:paraId="182902C0">
      <w:pPr>
        <w:pStyle w:val="94"/>
        <w:numPr>
          <w:ilvl w:val="0"/>
          <w:numId w:val="94"/>
        </w:numPr>
        <w:ind w:left="0" w:firstLine="480"/>
        <w:rPr>
          <w:color w:val="auto"/>
          <w:sz w:val="24"/>
        </w:rPr>
      </w:pPr>
      <w:r>
        <w:rPr>
          <w:rFonts w:hint="eastAsia"/>
          <w:color w:val="auto"/>
          <w:sz w:val="24"/>
        </w:rPr>
        <w:t>能够根据手术安排情况自动生成符合医院要求的手术通知单。</w:t>
      </w:r>
    </w:p>
    <w:p w14:paraId="5EA2ADB7">
      <w:pPr>
        <w:pStyle w:val="94"/>
        <w:numPr>
          <w:ilvl w:val="0"/>
          <w:numId w:val="94"/>
        </w:numPr>
        <w:ind w:left="0" w:firstLine="480"/>
        <w:rPr>
          <w:color w:val="auto"/>
          <w:sz w:val="24"/>
        </w:rPr>
      </w:pPr>
      <w:r>
        <w:rPr>
          <w:rFonts w:hint="eastAsia"/>
          <w:color w:val="auto"/>
          <w:sz w:val="24"/>
        </w:rPr>
        <w:t>能够按照医院要求的格式自动生成术前访视单，并记录患者基本信息、麻醉方法、术中困难及防范措施等。</w:t>
      </w:r>
    </w:p>
    <w:p w14:paraId="33BCB71B">
      <w:pPr>
        <w:pStyle w:val="94"/>
        <w:numPr>
          <w:ilvl w:val="0"/>
          <w:numId w:val="94"/>
        </w:numPr>
        <w:ind w:left="0" w:firstLine="480"/>
        <w:rPr>
          <w:color w:val="auto"/>
          <w:sz w:val="24"/>
        </w:rPr>
      </w:pPr>
      <w:r>
        <w:rPr>
          <w:rFonts w:hint="eastAsia"/>
          <w:color w:val="auto"/>
          <w:sz w:val="24"/>
        </w:rPr>
        <w:t>能够通过与HIS系统集成，提取患者基本信息、医嘱信息、住院信息、手术申请信息等。</w:t>
      </w:r>
    </w:p>
    <w:p w14:paraId="3325C6C4">
      <w:pPr>
        <w:pStyle w:val="94"/>
        <w:numPr>
          <w:ilvl w:val="0"/>
          <w:numId w:val="94"/>
        </w:numPr>
        <w:ind w:left="0" w:firstLine="480"/>
        <w:rPr>
          <w:color w:val="auto"/>
          <w:sz w:val="24"/>
        </w:rPr>
      </w:pPr>
      <w:r>
        <w:rPr>
          <w:rFonts w:hint="eastAsia"/>
          <w:color w:val="auto"/>
          <w:sz w:val="24"/>
        </w:rPr>
        <w:t>能够通过与EMR系统集成，调阅患者的住院病历病程。</w:t>
      </w:r>
    </w:p>
    <w:p w14:paraId="4313B233">
      <w:pPr>
        <w:pStyle w:val="94"/>
        <w:numPr>
          <w:ilvl w:val="0"/>
          <w:numId w:val="94"/>
        </w:numPr>
        <w:ind w:left="0" w:firstLine="480"/>
        <w:rPr>
          <w:color w:val="auto"/>
          <w:sz w:val="24"/>
        </w:rPr>
      </w:pPr>
      <w:r>
        <w:rPr>
          <w:rFonts w:hint="eastAsia"/>
          <w:color w:val="auto"/>
          <w:sz w:val="24"/>
        </w:rPr>
        <w:t>能够通过与PACS系统集成，提取患者术前的影像信息。</w:t>
      </w:r>
    </w:p>
    <w:p w14:paraId="70B9232A">
      <w:pPr>
        <w:pStyle w:val="94"/>
        <w:numPr>
          <w:ilvl w:val="0"/>
          <w:numId w:val="94"/>
        </w:numPr>
        <w:ind w:left="0" w:firstLine="480"/>
        <w:rPr>
          <w:color w:val="auto"/>
          <w:sz w:val="24"/>
        </w:rPr>
      </w:pPr>
      <w:r>
        <w:rPr>
          <w:rFonts w:hint="eastAsia"/>
          <w:color w:val="auto"/>
          <w:sz w:val="24"/>
        </w:rPr>
        <w:t>能够通过与LIS系统集成，提取患者术前检验结果。并自动填充到术前访视单中。</w:t>
      </w:r>
    </w:p>
    <w:p w14:paraId="2337A622">
      <w:pPr>
        <w:pStyle w:val="94"/>
        <w:numPr>
          <w:ilvl w:val="0"/>
          <w:numId w:val="94"/>
        </w:numPr>
        <w:ind w:left="0" w:firstLine="480"/>
        <w:rPr>
          <w:color w:val="auto"/>
          <w:sz w:val="24"/>
        </w:rPr>
      </w:pPr>
      <w:r>
        <w:rPr>
          <w:rFonts w:hint="eastAsia"/>
          <w:color w:val="auto"/>
          <w:sz w:val="24"/>
        </w:rPr>
        <w:t>能够根据患者病情、病史以及麻醉方法等，麻醉医生将据此用于拟定患者麻醉计划。</w:t>
      </w:r>
    </w:p>
    <w:p w14:paraId="52C1BDBA">
      <w:pPr>
        <w:pStyle w:val="94"/>
        <w:numPr>
          <w:ilvl w:val="0"/>
          <w:numId w:val="94"/>
        </w:numPr>
        <w:ind w:left="0" w:firstLine="480"/>
        <w:rPr>
          <w:color w:val="auto"/>
          <w:sz w:val="24"/>
        </w:rPr>
      </w:pPr>
      <w:r>
        <w:rPr>
          <w:rFonts w:hint="eastAsia"/>
          <w:color w:val="auto"/>
          <w:sz w:val="24"/>
        </w:rPr>
        <w:t>能够通过录入患者ID或住院号从HIS系统中提取急诊手术信息。便于快速安排患者进行手术。</w:t>
      </w:r>
    </w:p>
    <w:p w14:paraId="43D3B291">
      <w:pPr>
        <w:pStyle w:val="94"/>
        <w:numPr>
          <w:ilvl w:val="0"/>
          <w:numId w:val="94"/>
        </w:numPr>
        <w:ind w:left="0" w:firstLine="480"/>
        <w:rPr>
          <w:color w:val="auto"/>
          <w:sz w:val="24"/>
        </w:rPr>
      </w:pPr>
      <w:r>
        <w:rPr>
          <w:rFonts w:hint="eastAsia"/>
          <w:color w:val="auto"/>
          <w:sz w:val="24"/>
        </w:rPr>
        <w:t>能够按照医院（在无痛胃镜、无痛分娩、介入室）等不同场景下订制所需要的麻醉单、并按医院要求的格式自动生成患者知情同意书。</w:t>
      </w:r>
    </w:p>
    <w:p w14:paraId="3E819182">
      <w:pPr>
        <w:pStyle w:val="94"/>
        <w:numPr>
          <w:ilvl w:val="0"/>
          <w:numId w:val="94"/>
        </w:numPr>
        <w:ind w:left="0" w:firstLine="480"/>
        <w:rPr>
          <w:color w:val="auto"/>
          <w:sz w:val="24"/>
        </w:rPr>
      </w:pPr>
      <w:r>
        <w:rPr>
          <w:rFonts w:hint="eastAsia"/>
          <w:color w:val="auto"/>
          <w:sz w:val="24"/>
        </w:rPr>
        <w:t>能够与多系统进行数据交换，配合麻醉术前访视结果，快速完成麻醉术前评估及评分功能。</w:t>
      </w:r>
    </w:p>
    <w:p w14:paraId="790B7B1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麻醉过程中</w:t>
      </w:r>
      <w:bookmarkEnd w:id="212"/>
      <w:bookmarkEnd w:id="213"/>
    </w:p>
    <w:p w14:paraId="13689014">
      <w:pPr>
        <w:pStyle w:val="94"/>
        <w:numPr>
          <w:ilvl w:val="0"/>
          <w:numId w:val="95"/>
        </w:numPr>
        <w:ind w:left="0" w:firstLine="480"/>
        <w:rPr>
          <w:color w:val="auto"/>
          <w:sz w:val="24"/>
        </w:rPr>
      </w:pPr>
      <w:bookmarkStart w:id="214" w:name="_Toc37916144"/>
      <w:bookmarkStart w:id="215" w:name="_Toc106373048"/>
      <w:r>
        <w:rPr>
          <w:rFonts w:hint="eastAsia"/>
          <w:color w:val="auto"/>
          <w:sz w:val="24"/>
        </w:rPr>
        <w:t>能够从手术申请中提取患者基本信息、手术人员信息自动填充到麻醉记录单中。</w:t>
      </w:r>
    </w:p>
    <w:p w14:paraId="4B72B495">
      <w:pPr>
        <w:pStyle w:val="94"/>
        <w:numPr>
          <w:ilvl w:val="0"/>
          <w:numId w:val="95"/>
        </w:numPr>
        <w:ind w:left="0" w:firstLine="480"/>
        <w:rPr>
          <w:color w:val="auto"/>
          <w:sz w:val="24"/>
        </w:rPr>
      </w:pPr>
      <w:r>
        <w:rPr>
          <w:rFonts w:hint="eastAsia"/>
          <w:color w:val="auto"/>
          <w:sz w:val="24"/>
        </w:rPr>
        <w:t>能够通过下拉菜单、拼音字头模糊检索出药品、事件字典信息，实现麻醉事件及用药的快速录入。</w:t>
      </w:r>
    </w:p>
    <w:p w14:paraId="22FFE9CE">
      <w:pPr>
        <w:pStyle w:val="94"/>
        <w:numPr>
          <w:ilvl w:val="0"/>
          <w:numId w:val="95"/>
        </w:numPr>
        <w:ind w:left="0" w:firstLine="480"/>
        <w:rPr>
          <w:color w:val="auto"/>
          <w:sz w:val="24"/>
        </w:rPr>
      </w:pPr>
      <w:r>
        <w:rPr>
          <w:rFonts w:hint="eastAsia"/>
          <w:color w:val="auto"/>
          <w:sz w:val="24"/>
        </w:rPr>
        <w:t>能够自动记取该点对应的时间作为事件发生时间（或持续事件的起始时间），自动匹配该事件对应的剂量、途径、持续情况等。</w:t>
      </w:r>
    </w:p>
    <w:p w14:paraId="592AC9B3">
      <w:pPr>
        <w:pStyle w:val="94"/>
        <w:numPr>
          <w:ilvl w:val="0"/>
          <w:numId w:val="95"/>
        </w:numPr>
        <w:ind w:left="0" w:firstLine="480"/>
        <w:rPr>
          <w:color w:val="auto"/>
          <w:sz w:val="24"/>
        </w:rPr>
      </w:pPr>
      <w:r>
        <w:rPr>
          <w:rFonts w:hint="eastAsia"/>
          <w:color w:val="auto"/>
          <w:sz w:val="24"/>
        </w:rPr>
        <w:t>能够在现有用药事件基础上实现快速追加录入。</w:t>
      </w:r>
    </w:p>
    <w:p w14:paraId="0B8D477D">
      <w:pPr>
        <w:pStyle w:val="94"/>
        <w:numPr>
          <w:ilvl w:val="0"/>
          <w:numId w:val="95"/>
        </w:numPr>
        <w:ind w:left="0" w:firstLine="480"/>
        <w:rPr>
          <w:color w:val="auto"/>
          <w:sz w:val="24"/>
        </w:rPr>
      </w:pPr>
      <w:r>
        <w:rPr>
          <w:rFonts w:hint="eastAsia"/>
          <w:color w:val="auto"/>
          <w:sz w:val="24"/>
        </w:rPr>
        <w:t>能够在药品录入时自动匹配录入的药品剂量、浓度、速度单位</w:t>
      </w:r>
    </w:p>
    <w:p w14:paraId="72691013">
      <w:pPr>
        <w:pStyle w:val="94"/>
        <w:numPr>
          <w:ilvl w:val="0"/>
          <w:numId w:val="95"/>
        </w:numPr>
        <w:ind w:left="0" w:firstLine="480"/>
        <w:rPr>
          <w:color w:val="auto"/>
          <w:sz w:val="24"/>
        </w:rPr>
      </w:pPr>
      <w:r>
        <w:rPr>
          <w:rFonts w:hint="eastAsia"/>
          <w:color w:val="auto"/>
          <w:sz w:val="24"/>
        </w:rPr>
        <w:t>能够配置快捷药品事件栏以及药品常用量，在独立界面以按钮形式展现，实现常用药品、事件的快速录入。</w:t>
      </w:r>
    </w:p>
    <w:p w14:paraId="7C788836">
      <w:pPr>
        <w:pStyle w:val="94"/>
        <w:numPr>
          <w:ilvl w:val="0"/>
          <w:numId w:val="95"/>
        </w:numPr>
        <w:ind w:left="0" w:firstLine="480"/>
        <w:rPr>
          <w:color w:val="auto"/>
          <w:sz w:val="24"/>
        </w:rPr>
      </w:pPr>
      <w:r>
        <w:rPr>
          <w:rFonts w:hint="eastAsia"/>
          <w:color w:val="auto"/>
          <w:sz w:val="24"/>
        </w:rPr>
        <w:t>能够将术中麻醉操作以数字序号方式标记在治疗序号区域对应时间点，对应麻醉备注区域事件详情。</w:t>
      </w:r>
    </w:p>
    <w:p w14:paraId="4B9A6EA0">
      <w:pPr>
        <w:pStyle w:val="94"/>
        <w:numPr>
          <w:ilvl w:val="0"/>
          <w:numId w:val="95"/>
        </w:numPr>
        <w:ind w:left="0" w:firstLine="480"/>
        <w:rPr>
          <w:color w:val="auto"/>
          <w:sz w:val="24"/>
        </w:rPr>
      </w:pPr>
      <w:r>
        <w:rPr>
          <w:rFonts w:hint="eastAsia"/>
          <w:color w:val="auto"/>
          <w:sz w:val="24"/>
        </w:rPr>
        <w:t>能够实现麻醉单模板套用，并支持以公有和私有的方式管理麻醉记录单模板。</w:t>
      </w:r>
    </w:p>
    <w:p w14:paraId="341735C9">
      <w:pPr>
        <w:pStyle w:val="94"/>
        <w:numPr>
          <w:ilvl w:val="0"/>
          <w:numId w:val="95"/>
        </w:numPr>
        <w:ind w:left="0" w:firstLine="480"/>
        <w:rPr>
          <w:color w:val="auto"/>
          <w:sz w:val="24"/>
        </w:rPr>
      </w:pPr>
      <w:r>
        <w:rPr>
          <w:rFonts w:hint="eastAsia"/>
          <w:color w:val="auto"/>
          <w:sz w:val="24"/>
        </w:rPr>
        <w:t>能够实现交接班麻醉医生的记录。</w:t>
      </w:r>
    </w:p>
    <w:p w14:paraId="70EBAF03">
      <w:pPr>
        <w:pStyle w:val="94"/>
        <w:numPr>
          <w:ilvl w:val="0"/>
          <w:numId w:val="95"/>
        </w:numPr>
        <w:ind w:left="0" w:firstLine="480"/>
        <w:rPr>
          <w:color w:val="auto"/>
          <w:sz w:val="24"/>
        </w:rPr>
      </w:pPr>
      <w:r>
        <w:rPr>
          <w:rFonts w:hint="eastAsia"/>
          <w:color w:val="auto"/>
          <w:sz w:val="24"/>
        </w:rPr>
        <w:t>能够以时间轴的方式显示患者的手术流程，便于医护人员对手术流程的把控。</w:t>
      </w:r>
    </w:p>
    <w:p w14:paraId="0CA9F2E4">
      <w:pPr>
        <w:pStyle w:val="94"/>
        <w:numPr>
          <w:ilvl w:val="0"/>
          <w:numId w:val="95"/>
        </w:numPr>
        <w:ind w:left="0" w:firstLine="480"/>
        <w:rPr>
          <w:color w:val="auto"/>
          <w:sz w:val="24"/>
        </w:rPr>
      </w:pPr>
      <w:r>
        <w:rPr>
          <w:rFonts w:hint="eastAsia"/>
          <w:color w:val="auto"/>
          <w:sz w:val="24"/>
        </w:rPr>
        <w:t>能够以醒目的方式显示当前手术状态，并显示患者当前状态的医疗文书。若该状态下的文书没有完成，可配置无法进入下个状态。</w:t>
      </w:r>
    </w:p>
    <w:p w14:paraId="18985502">
      <w:pPr>
        <w:pStyle w:val="94"/>
        <w:numPr>
          <w:ilvl w:val="0"/>
          <w:numId w:val="95"/>
        </w:numPr>
        <w:ind w:left="0" w:firstLine="480"/>
        <w:rPr>
          <w:color w:val="auto"/>
          <w:sz w:val="24"/>
        </w:rPr>
      </w:pPr>
      <w:r>
        <w:rPr>
          <w:rFonts w:hint="eastAsia"/>
          <w:color w:val="auto"/>
          <w:sz w:val="24"/>
        </w:rPr>
        <w:t>能够根据医院的需求维护患者的手术状态，并支持术中患者手术状态的修正。</w:t>
      </w:r>
    </w:p>
    <w:p w14:paraId="3874CF15">
      <w:pPr>
        <w:pStyle w:val="94"/>
        <w:numPr>
          <w:ilvl w:val="0"/>
          <w:numId w:val="95"/>
        </w:numPr>
        <w:ind w:left="0" w:firstLine="480"/>
        <w:rPr>
          <w:color w:val="auto"/>
          <w:sz w:val="24"/>
        </w:rPr>
      </w:pPr>
      <w:r>
        <w:rPr>
          <w:rFonts w:hint="eastAsia"/>
          <w:color w:val="auto"/>
          <w:sz w:val="24"/>
        </w:rPr>
        <w:t>能够自动将采集到的监护仪、麻醉机生命体征参数记录在麻醉单上， 并将数据实时传送到服务器数据库内存储。</w:t>
      </w:r>
    </w:p>
    <w:p w14:paraId="39FDD860">
      <w:pPr>
        <w:pStyle w:val="94"/>
        <w:numPr>
          <w:ilvl w:val="0"/>
          <w:numId w:val="95"/>
        </w:numPr>
        <w:ind w:left="0" w:firstLine="480"/>
        <w:rPr>
          <w:color w:val="auto"/>
          <w:sz w:val="24"/>
        </w:rPr>
      </w:pPr>
      <w:r>
        <w:rPr>
          <w:rFonts w:hint="eastAsia"/>
          <w:color w:val="auto"/>
          <w:sz w:val="24"/>
        </w:rPr>
        <w:t>支持设置体征参数在麻醉单上的显示方式，提供两种以上不同风格供选择。</w:t>
      </w:r>
    </w:p>
    <w:p w14:paraId="5DC4918B">
      <w:pPr>
        <w:pStyle w:val="94"/>
        <w:numPr>
          <w:ilvl w:val="0"/>
          <w:numId w:val="95"/>
        </w:numPr>
        <w:ind w:left="0" w:firstLine="480"/>
        <w:rPr>
          <w:color w:val="auto"/>
          <w:sz w:val="24"/>
        </w:rPr>
      </w:pPr>
      <w:r>
        <w:rPr>
          <w:rFonts w:hint="eastAsia"/>
          <w:color w:val="auto"/>
          <w:sz w:val="24"/>
        </w:rPr>
        <w:t>能够在术中提供独立的界面，对本手术间床位进行信息监控，当患者出现异常体征时能弹出消息窗发出警示。</w:t>
      </w:r>
    </w:p>
    <w:p w14:paraId="60537392">
      <w:pPr>
        <w:pStyle w:val="94"/>
        <w:numPr>
          <w:ilvl w:val="0"/>
          <w:numId w:val="95"/>
        </w:numPr>
        <w:ind w:left="0" w:firstLine="480"/>
        <w:rPr>
          <w:color w:val="auto"/>
          <w:sz w:val="24"/>
        </w:rPr>
      </w:pPr>
      <w:r>
        <w:rPr>
          <w:rFonts w:hint="eastAsia"/>
          <w:color w:val="auto"/>
          <w:sz w:val="24"/>
        </w:rPr>
        <w:t>能够模拟监护仪对体征参数进行实时动态显示，同时不干扰麻醉记录单趋势图的正常显示。</w:t>
      </w:r>
    </w:p>
    <w:p w14:paraId="0B790305">
      <w:pPr>
        <w:pStyle w:val="94"/>
        <w:numPr>
          <w:ilvl w:val="0"/>
          <w:numId w:val="95"/>
        </w:numPr>
        <w:ind w:left="0" w:firstLine="480"/>
        <w:rPr>
          <w:color w:val="auto"/>
          <w:sz w:val="24"/>
        </w:rPr>
      </w:pPr>
      <w:r>
        <w:rPr>
          <w:rFonts w:hint="eastAsia"/>
          <w:color w:val="auto"/>
          <w:sz w:val="24"/>
        </w:rPr>
        <w:t>能够设置用户权限对受干扰的体征数据进行修正，并修正后的结果突出显示。</w:t>
      </w:r>
    </w:p>
    <w:p w14:paraId="051A8C8C">
      <w:pPr>
        <w:pStyle w:val="94"/>
        <w:numPr>
          <w:ilvl w:val="0"/>
          <w:numId w:val="95"/>
        </w:numPr>
        <w:ind w:left="0" w:firstLine="480"/>
        <w:rPr>
          <w:color w:val="auto"/>
          <w:sz w:val="24"/>
        </w:rPr>
      </w:pPr>
      <w:r>
        <w:rPr>
          <w:rFonts w:hint="eastAsia"/>
          <w:color w:val="auto"/>
          <w:sz w:val="24"/>
        </w:rPr>
        <w:t>能够提供图形化修改体征的便捷操作。</w:t>
      </w:r>
    </w:p>
    <w:p w14:paraId="59AD20EE">
      <w:pPr>
        <w:pStyle w:val="94"/>
        <w:numPr>
          <w:ilvl w:val="0"/>
          <w:numId w:val="95"/>
        </w:numPr>
        <w:ind w:left="0" w:firstLine="480"/>
        <w:rPr>
          <w:color w:val="auto"/>
          <w:sz w:val="24"/>
        </w:rPr>
      </w:pPr>
      <w:r>
        <w:rPr>
          <w:rFonts w:hint="eastAsia"/>
          <w:color w:val="auto"/>
          <w:sz w:val="24"/>
        </w:rPr>
        <w:t>能够提供修正前原始数据的保存功能</w:t>
      </w:r>
    </w:p>
    <w:p w14:paraId="3A8C650F">
      <w:pPr>
        <w:pStyle w:val="94"/>
        <w:numPr>
          <w:ilvl w:val="0"/>
          <w:numId w:val="95"/>
        </w:numPr>
        <w:ind w:left="0" w:firstLine="480"/>
        <w:rPr>
          <w:color w:val="auto"/>
          <w:sz w:val="24"/>
        </w:rPr>
      </w:pPr>
      <w:r>
        <w:rPr>
          <w:rFonts w:hint="eastAsia"/>
          <w:color w:val="auto"/>
          <w:sz w:val="24"/>
        </w:rPr>
        <w:t>能够按照医院要求的格式生成护理记录单，支持同步麻醉单上相关信息，并记录患者手术过程中的护理信息。</w:t>
      </w:r>
    </w:p>
    <w:p w14:paraId="7B5E8414">
      <w:pPr>
        <w:pStyle w:val="94"/>
        <w:numPr>
          <w:ilvl w:val="0"/>
          <w:numId w:val="95"/>
        </w:numPr>
        <w:ind w:left="0" w:firstLine="480"/>
        <w:rPr>
          <w:color w:val="auto"/>
          <w:sz w:val="24"/>
        </w:rPr>
      </w:pPr>
      <w:r>
        <w:rPr>
          <w:rFonts w:hint="eastAsia"/>
          <w:color w:val="auto"/>
          <w:sz w:val="24"/>
        </w:rPr>
        <w:t>能够生成器械清点单，记录术中手术器械名称和数量，并可记录核对后的器械数量。支持通过模板套用录入。</w:t>
      </w:r>
    </w:p>
    <w:p w14:paraId="1623CDFC">
      <w:pPr>
        <w:pStyle w:val="94"/>
        <w:numPr>
          <w:ilvl w:val="0"/>
          <w:numId w:val="95"/>
        </w:numPr>
        <w:ind w:left="0" w:firstLine="480"/>
        <w:rPr>
          <w:color w:val="auto"/>
          <w:sz w:val="24"/>
        </w:rPr>
      </w:pPr>
      <w:r>
        <w:rPr>
          <w:rFonts w:hint="eastAsia"/>
          <w:color w:val="auto"/>
          <w:sz w:val="24"/>
        </w:rPr>
        <w:t>能够演算患者血流动力学参数。</w:t>
      </w:r>
    </w:p>
    <w:p w14:paraId="52D152B4">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复苏阶段</w:t>
      </w:r>
      <w:bookmarkEnd w:id="214"/>
      <w:bookmarkEnd w:id="215"/>
    </w:p>
    <w:p w14:paraId="4C823712">
      <w:pPr>
        <w:pStyle w:val="94"/>
        <w:numPr>
          <w:ilvl w:val="0"/>
          <w:numId w:val="96"/>
        </w:numPr>
        <w:ind w:left="0" w:firstLine="480"/>
        <w:rPr>
          <w:color w:val="auto"/>
          <w:sz w:val="24"/>
        </w:rPr>
      </w:pPr>
      <w:bookmarkStart w:id="216" w:name="_Toc106373049"/>
      <w:r>
        <w:rPr>
          <w:rFonts w:hint="eastAsia"/>
          <w:color w:val="auto"/>
          <w:sz w:val="24"/>
        </w:rPr>
        <w:t>能够按照医院要求的格式生成麻醉总结记录单，记录对患者的麻醉过程、麻醉效果进行总结。</w:t>
      </w:r>
    </w:p>
    <w:p w14:paraId="401B90EC">
      <w:pPr>
        <w:pStyle w:val="94"/>
        <w:numPr>
          <w:ilvl w:val="0"/>
          <w:numId w:val="96"/>
        </w:numPr>
        <w:ind w:left="0" w:firstLine="480"/>
        <w:rPr>
          <w:color w:val="auto"/>
          <w:sz w:val="24"/>
        </w:rPr>
      </w:pPr>
      <w:r>
        <w:rPr>
          <w:rFonts w:hint="eastAsia"/>
          <w:color w:val="auto"/>
          <w:sz w:val="24"/>
        </w:rPr>
        <w:t>能够提供麻醉Steward苏醒评分。</w:t>
      </w:r>
    </w:p>
    <w:p w14:paraId="453835C1">
      <w:pPr>
        <w:pStyle w:val="94"/>
        <w:numPr>
          <w:ilvl w:val="0"/>
          <w:numId w:val="96"/>
        </w:numPr>
        <w:ind w:left="0" w:firstLine="480"/>
        <w:rPr>
          <w:color w:val="auto"/>
          <w:sz w:val="24"/>
        </w:rPr>
      </w:pPr>
      <w:r>
        <w:rPr>
          <w:rFonts w:hint="eastAsia"/>
          <w:color w:val="auto"/>
          <w:sz w:val="24"/>
        </w:rPr>
        <w:t>能够提供疼痛评分。</w:t>
      </w:r>
    </w:p>
    <w:p w14:paraId="33AFF70F">
      <w:pPr>
        <w:pStyle w:val="94"/>
        <w:numPr>
          <w:ilvl w:val="0"/>
          <w:numId w:val="96"/>
        </w:numPr>
        <w:ind w:left="0" w:firstLine="480"/>
        <w:rPr>
          <w:color w:val="auto"/>
          <w:sz w:val="24"/>
        </w:rPr>
      </w:pPr>
      <w:r>
        <w:rPr>
          <w:rFonts w:hint="eastAsia"/>
          <w:color w:val="auto"/>
          <w:sz w:val="24"/>
        </w:rPr>
        <w:t>能够记录术后复苏过程中麻醉用药、事件情况、生命体征等信息，自动生成复苏记录单。</w:t>
      </w:r>
    </w:p>
    <w:p w14:paraId="477111DE">
      <w:pPr>
        <w:pStyle w:val="94"/>
        <w:numPr>
          <w:ilvl w:val="0"/>
          <w:numId w:val="96"/>
        </w:numPr>
        <w:ind w:left="0" w:firstLine="480"/>
        <w:rPr>
          <w:color w:val="auto"/>
          <w:sz w:val="24"/>
        </w:rPr>
      </w:pPr>
      <w:r>
        <w:rPr>
          <w:rFonts w:hint="eastAsia"/>
          <w:color w:val="auto"/>
          <w:sz w:val="24"/>
        </w:rPr>
        <w:t>能够支持延续麻醉记录单模式，保证术中与复苏的患者数据连贯一致。</w:t>
      </w:r>
    </w:p>
    <w:p w14:paraId="378AE7EC">
      <w:pPr>
        <w:pStyle w:val="94"/>
        <w:numPr>
          <w:ilvl w:val="0"/>
          <w:numId w:val="96"/>
        </w:numPr>
        <w:ind w:left="0" w:firstLine="480"/>
        <w:rPr>
          <w:color w:val="auto"/>
          <w:sz w:val="24"/>
        </w:rPr>
      </w:pPr>
      <w:r>
        <w:rPr>
          <w:rFonts w:hint="eastAsia"/>
          <w:color w:val="auto"/>
          <w:sz w:val="24"/>
        </w:rPr>
        <w:t>能够对手术患者进行术后手术信息登记，便于术后统计。</w:t>
      </w:r>
    </w:p>
    <w:p w14:paraId="0BFF1F79">
      <w:pPr>
        <w:pStyle w:val="94"/>
        <w:numPr>
          <w:ilvl w:val="0"/>
          <w:numId w:val="96"/>
        </w:numPr>
        <w:ind w:left="0" w:firstLine="480"/>
        <w:rPr>
          <w:color w:val="auto"/>
          <w:sz w:val="24"/>
        </w:rPr>
      </w:pPr>
      <w:r>
        <w:rPr>
          <w:rFonts w:hint="eastAsia"/>
          <w:color w:val="auto"/>
          <w:sz w:val="24"/>
        </w:rPr>
        <w:t>能够按照医院要求的格式生成术后随访单，记录患者术后随访信息。</w:t>
      </w:r>
    </w:p>
    <w:p w14:paraId="5F7353C8">
      <w:pPr>
        <w:pStyle w:val="94"/>
        <w:numPr>
          <w:ilvl w:val="0"/>
          <w:numId w:val="96"/>
        </w:numPr>
        <w:ind w:left="0" w:firstLine="480"/>
        <w:rPr>
          <w:color w:val="auto"/>
          <w:sz w:val="24"/>
        </w:rPr>
      </w:pPr>
      <w:r>
        <w:rPr>
          <w:rFonts w:hint="eastAsia"/>
          <w:color w:val="auto"/>
          <w:sz w:val="24"/>
        </w:rPr>
        <w:t>能够按照医院要求的格式生成术后镇痛记录单，记录患者术后镇痛效果。</w:t>
      </w:r>
    </w:p>
    <w:p w14:paraId="012EFA58">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麻醉医嘱</w:t>
      </w:r>
      <w:bookmarkEnd w:id="216"/>
    </w:p>
    <w:p w14:paraId="05612FE3">
      <w:pPr>
        <w:pStyle w:val="94"/>
        <w:numPr>
          <w:ilvl w:val="0"/>
          <w:numId w:val="97"/>
        </w:numPr>
        <w:ind w:left="0" w:firstLine="480"/>
        <w:rPr>
          <w:color w:val="auto"/>
          <w:sz w:val="24"/>
        </w:rPr>
      </w:pPr>
      <w:bookmarkStart w:id="217" w:name="_Toc106373050"/>
      <w:r>
        <w:rPr>
          <w:color w:val="auto"/>
          <w:sz w:val="24"/>
        </w:rPr>
        <w:t>支持</w:t>
      </w:r>
      <w:r>
        <w:rPr>
          <w:rFonts w:hint="eastAsia"/>
          <w:color w:val="auto"/>
          <w:sz w:val="24"/>
        </w:rPr>
        <w:t>术前</w:t>
      </w:r>
      <w:r>
        <w:rPr>
          <w:color w:val="auto"/>
          <w:sz w:val="24"/>
        </w:rPr>
        <w:t>医嘱录入</w:t>
      </w:r>
      <w:r>
        <w:rPr>
          <w:rFonts w:hint="eastAsia"/>
          <w:color w:val="auto"/>
          <w:sz w:val="24"/>
        </w:rPr>
        <w:t>、</w:t>
      </w:r>
      <w:r>
        <w:rPr>
          <w:color w:val="auto"/>
          <w:sz w:val="24"/>
        </w:rPr>
        <w:t>输血申请自</w:t>
      </w:r>
      <w:r>
        <w:rPr>
          <w:rFonts w:hint="eastAsia"/>
          <w:color w:val="auto"/>
          <w:sz w:val="24"/>
        </w:rPr>
        <w:t>动同步到HIS。</w:t>
      </w:r>
    </w:p>
    <w:p w14:paraId="7BCE4CA4">
      <w:pPr>
        <w:pStyle w:val="94"/>
        <w:numPr>
          <w:ilvl w:val="0"/>
          <w:numId w:val="97"/>
        </w:numPr>
        <w:ind w:left="0" w:firstLine="480"/>
        <w:rPr>
          <w:color w:val="auto"/>
          <w:sz w:val="24"/>
        </w:rPr>
      </w:pPr>
      <w:r>
        <w:rPr>
          <w:rFonts w:hint="eastAsia"/>
          <w:color w:val="auto"/>
          <w:sz w:val="24"/>
        </w:rPr>
        <w:t>支持自动提取麻醉单中医嘱信息自动同步到HIS。</w:t>
      </w:r>
    </w:p>
    <w:p w14:paraId="1F34CF3B">
      <w:pPr>
        <w:pStyle w:val="94"/>
        <w:numPr>
          <w:ilvl w:val="0"/>
          <w:numId w:val="97"/>
        </w:numPr>
        <w:ind w:left="0" w:firstLine="480"/>
        <w:rPr>
          <w:color w:val="auto"/>
          <w:sz w:val="24"/>
        </w:rPr>
      </w:pPr>
      <w:r>
        <w:rPr>
          <w:color w:val="auto"/>
          <w:sz w:val="24"/>
        </w:rPr>
        <w:t>支持术后镇痛医嘱自动同步到HIS</w:t>
      </w:r>
      <w:r>
        <w:rPr>
          <w:rFonts w:hint="eastAsia"/>
          <w:color w:val="auto"/>
          <w:sz w:val="24"/>
        </w:rPr>
        <w:t>。</w:t>
      </w:r>
    </w:p>
    <w:p w14:paraId="1BBC354D">
      <w:pPr>
        <w:pStyle w:val="94"/>
        <w:numPr>
          <w:ilvl w:val="0"/>
          <w:numId w:val="97"/>
        </w:numPr>
        <w:ind w:left="0" w:firstLine="480"/>
        <w:rPr>
          <w:color w:val="auto"/>
          <w:sz w:val="24"/>
        </w:rPr>
      </w:pPr>
      <w:r>
        <w:rPr>
          <w:rFonts w:hint="eastAsia"/>
          <w:color w:val="auto"/>
          <w:sz w:val="24"/>
        </w:rPr>
        <w:t>支持自动提取复苏单中医嘱信息自动同步到HIS。</w:t>
      </w:r>
    </w:p>
    <w:p w14:paraId="641E03C7">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麻醉药品</w:t>
      </w:r>
      <w:bookmarkEnd w:id="217"/>
    </w:p>
    <w:p w14:paraId="2CB0DDFD">
      <w:pPr>
        <w:pStyle w:val="94"/>
        <w:numPr>
          <w:ilvl w:val="0"/>
          <w:numId w:val="98"/>
        </w:numPr>
        <w:ind w:left="0" w:firstLine="480"/>
        <w:rPr>
          <w:color w:val="auto"/>
          <w:sz w:val="24"/>
        </w:rPr>
      </w:pPr>
      <w:bookmarkStart w:id="218" w:name="_Toc106373051"/>
      <w:r>
        <w:rPr>
          <w:color w:val="auto"/>
          <w:sz w:val="24"/>
        </w:rPr>
        <w:t>支持根据麻醉单内容自动打印麻醉药处方笺</w:t>
      </w:r>
      <w:r>
        <w:rPr>
          <w:rFonts w:hint="eastAsia"/>
          <w:color w:val="auto"/>
          <w:sz w:val="24"/>
        </w:rPr>
        <w:t>。</w:t>
      </w:r>
    </w:p>
    <w:p w14:paraId="7C750875">
      <w:pPr>
        <w:pStyle w:val="94"/>
        <w:numPr>
          <w:ilvl w:val="0"/>
          <w:numId w:val="98"/>
        </w:numPr>
        <w:ind w:left="0" w:firstLine="480"/>
        <w:rPr>
          <w:color w:val="auto"/>
          <w:sz w:val="24"/>
        </w:rPr>
      </w:pPr>
      <w:r>
        <w:rPr>
          <w:color w:val="auto"/>
          <w:sz w:val="24"/>
        </w:rPr>
        <w:t>支持</w:t>
      </w:r>
      <w:r>
        <w:rPr>
          <w:rFonts w:hint="eastAsia"/>
          <w:color w:val="auto"/>
          <w:sz w:val="24"/>
        </w:rPr>
        <w:t>麻醉精神药品登记。</w:t>
      </w:r>
    </w:p>
    <w:p w14:paraId="64D29DDB">
      <w:pPr>
        <w:pStyle w:val="94"/>
        <w:numPr>
          <w:ilvl w:val="0"/>
          <w:numId w:val="98"/>
        </w:numPr>
        <w:ind w:left="0" w:firstLine="480"/>
        <w:rPr>
          <w:color w:val="auto"/>
          <w:sz w:val="24"/>
        </w:rPr>
      </w:pPr>
      <w:r>
        <w:rPr>
          <w:color w:val="auto"/>
          <w:sz w:val="24"/>
        </w:rPr>
        <w:t>支持空安瓿回收登记</w:t>
      </w:r>
      <w:r>
        <w:rPr>
          <w:rFonts w:hint="eastAsia"/>
          <w:color w:val="auto"/>
          <w:sz w:val="24"/>
        </w:rPr>
        <w:t>。</w:t>
      </w:r>
    </w:p>
    <w:p w14:paraId="460E48B9">
      <w:pPr>
        <w:pStyle w:val="94"/>
        <w:numPr>
          <w:ilvl w:val="0"/>
          <w:numId w:val="98"/>
        </w:numPr>
        <w:ind w:left="0" w:firstLine="480"/>
        <w:rPr>
          <w:color w:val="auto"/>
          <w:sz w:val="24"/>
        </w:rPr>
      </w:pPr>
      <w:r>
        <w:rPr>
          <w:color w:val="auto"/>
          <w:sz w:val="24"/>
        </w:rPr>
        <w:t>麻醉药查询统计</w:t>
      </w:r>
    </w:p>
    <w:p w14:paraId="5D3C7CF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麻醉计费管理</w:t>
      </w:r>
      <w:bookmarkEnd w:id="218"/>
    </w:p>
    <w:p w14:paraId="41368EB2">
      <w:pPr>
        <w:pStyle w:val="94"/>
        <w:numPr>
          <w:ilvl w:val="0"/>
          <w:numId w:val="99"/>
        </w:numPr>
        <w:ind w:left="0" w:firstLine="480"/>
        <w:rPr>
          <w:color w:val="auto"/>
          <w:sz w:val="24"/>
        </w:rPr>
      </w:pPr>
      <w:bookmarkStart w:id="219" w:name="_Toc106373052"/>
      <w:bookmarkStart w:id="220" w:name="_Toc37916146"/>
      <w:r>
        <w:rPr>
          <w:rFonts w:hint="eastAsia"/>
          <w:color w:val="auto"/>
          <w:sz w:val="24"/>
        </w:rPr>
        <w:t>支持麻醉医嘱自动计费。</w:t>
      </w:r>
    </w:p>
    <w:p w14:paraId="75F6BE92">
      <w:pPr>
        <w:pStyle w:val="94"/>
        <w:numPr>
          <w:ilvl w:val="0"/>
          <w:numId w:val="99"/>
        </w:numPr>
        <w:ind w:left="0" w:firstLine="480"/>
        <w:rPr>
          <w:color w:val="auto"/>
          <w:sz w:val="24"/>
        </w:rPr>
      </w:pPr>
      <w:r>
        <w:rPr>
          <w:color w:val="auto"/>
          <w:sz w:val="24"/>
        </w:rPr>
        <w:t>支持诊疗费用及麻醉费用自动同步到HIS</w:t>
      </w:r>
      <w:r>
        <w:rPr>
          <w:rFonts w:hint="eastAsia"/>
          <w:color w:val="auto"/>
          <w:sz w:val="24"/>
        </w:rPr>
        <w:t>。</w:t>
      </w:r>
    </w:p>
    <w:p w14:paraId="6A837478">
      <w:pPr>
        <w:pStyle w:val="94"/>
        <w:numPr>
          <w:ilvl w:val="0"/>
          <w:numId w:val="99"/>
        </w:numPr>
        <w:ind w:left="0" w:firstLine="480"/>
        <w:rPr>
          <w:color w:val="auto"/>
          <w:sz w:val="24"/>
        </w:rPr>
      </w:pPr>
      <w:r>
        <w:rPr>
          <w:color w:val="auto"/>
          <w:sz w:val="24"/>
        </w:rPr>
        <w:t>支持高值耗材使用信息及费用信息自动同步到HIS</w:t>
      </w:r>
      <w:r>
        <w:rPr>
          <w:rFonts w:hint="eastAsia"/>
          <w:color w:val="auto"/>
          <w:sz w:val="24"/>
        </w:rPr>
        <w:t>。</w:t>
      </w:r>
    </w:p>
    <w:p w14:paraId="2AC7B28D">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质量控制</w:t>
      </w:r>
      <w:bookmarkEnd w:id="219"/>
      <w:bookmarkEnd w:id="220"/>
    </w:p>
    <w:p w14:paraId="53DA61F1">
      <w:pPr>
        <w:pStyle w:val="94"/>
        <w:numPr>
          <w:ilvl w:val="0"/>
          <w:numId w:val="100"/>
        </w:numPr>
        <w:ind w:left="0" w:firstLine="480"/>
        <w:rPr>
          <w:color w:val="auto"/>
          <w:sz w:val="24"/>
        </w:rPr>
      </w:pPr>
      <w:r>
        <w:rPr>
          <w:rFonts w:hint="eastAsia"/>
          <w:color w:val="auto"/>
          <w:sz w:val="24"/>
        </w:rPr>
        <w:t>提供国家卫健委标准的手术安全核查单格式，能够对应手术状态在麻醉实施前、手术开始前和手术结束后对手术相关信息进行手术医生、护士、麻醉医生三方确认。</w:t>
      </w:r>
    </w:p>
    <w:p w14:paraId="7D93E126">
      <w:pPr>
        <w:pStyle w:val="94"/>
        <w:numPr>
          <w:ilvl w:val="0"/>
          <w:numId w:val="100"/>
        </w:numPr>
        <w:ind w:left="0" w:firstLine="480"/>
        <w:rPr>
          <w:color w:val="auto"/>
          <w:sz w:val="24"/>
        </w:rPr>
      </w:pPr>
      <w:r>
        <w:rPr>
          <w:rFonts w:hint="eastAsia"/>
          <w:color w:val="auto"/>
          <w:sz w:val="24"/>
        </w:rPr>
        <w:t>支持APACHE评分、TISS评分、PRAS麻醉恢复评分等多种评分方法。可根据输入或监护仪器采集的数据自动对患者进行评分，通过趋势变化对病情和治疗效果进行跟踪。同时结合患者临床其它症状，便于快速进行对患者当前状态的评估并给出评估报告。</w:t>
      </w:r>
    </w:p>
    <w:p w14:paraId="3EDC72FD">
      <w:pPr>
        <w:pStyle w:val="94"/>
        <w:numPr>
          <w:ilvl w:val="0"/>
          <w:numId w:val="100"/>
        </w:numPr>
        <w:ind w:left="0" w:firstLine="480"/>
        <w:rPr>
          <w:color w:val="auto"/>
          <w:sz w:val="24"/>
        </w:rPr>
      </w:pPr>
      <w:r>
        <w:rPr>
          <w:rFonts w:hint="eastAsia"/>
          <w:color w:val="auto"/>
          <w:sz w:val="24"/>
        </w:rPr>
        <w:t>能够在用户打印文书时自动检查文书内容，在未填写完整时弹出提醒。</w:t>
      </w:r>
    </w:p>
    <w:p w14:paraId="6AC5FAD0">
      <w:pPr>
        <w:pStyle w:val="94"/>
        <w:numPr>
          <w:ilvl w:val="0"/>
          <w:numId w:val="100"/>
        </w:numPr>
        <w:ind w:left="0" w:firstLine="480"/>
        <w:rPr>
          <w:color w:val="auto"/>
          <w:sz w:val="24"/>
        </w:rPr>
      </w:pPr>
      <w:r>
        <w:rPr>
          <w:rFonts w:hint="eastAsia"/>
          <w:color w:val="auto"/>
          <w:sz w:val="24"/>
        </w:rPr>
        <w:t>能够自定义文书必填项目。</w:t>
      </w:r>
    </w:p>
    <w:p w14:paraId="08EBBD45">
      <w:pPr>
        <w:pStyle w:val="94"/>
        <w:numPr>
          <w:ilvl w:val="0"/>
          <w:numId w:val="100"/>
        </w:numPr>
        <w:ind w:left="0" w:firstLine="480"/>
        <w:rPr>
          <w:color w:val="auto"/>
          <w:sz w:val="24"/>
        </w:rPr>
      </w:pPr>
      <w:r>
        <w:rPr>
          <w:rFonts w:hint="eastAsia"/>
          <w:color w:val="auto"/>
          <w:sz w:val="24"/>
        </w:rPr>
        <w:t>能够提供独立界面浏览患者文书完成情况，对科室麻醉文书工作进行管控。</w:t>
      </w:r>
    </w:p>
    <w:p w14:paraId="512E1C4E">
      <w:pPr>
        <w:pStyle w:val="94"/>
        <w:numPr>
          <w:ilvl w:val="0"/>
          <w:numId w:val="100"/>
        </w:numPr>
        <w:ind w:left="0" w:firstLine="480"/>
        <w:rPr>
          <w:color w:val="auto"/>
          <w:sz w:val="24"/>
        </w:rPr>
      </w:pPr>
      <w:r>
        <w:rPr>
          <w:rFonts w:hint="eastAsia"/>
          <w:color w:val="auto"/>
          <w:sz w:val="24"/>
        </w:rPr>
        <w:t>能够自动汇总质控相关数据，便于科室定期自查。具体统计项目包括：</w:t>
      </w:r>
    </w:p>
    <w:p w14:paraId="2B37A0FD">
      <w:pPr>
        <w:pStyle w:val="94"/>
        <w:numPr>
          <w:ilvl w:val="0"/>
          <w:numId w:val="100"/>
        </w:numPr>
        <w:ind w:left="0" w:firstLine="480"/>
        <w:rPr>
          <w:color w:val="auto"/>
          <w:sz w:val="24"/>
        </w:rPr>
      </w:pPr>
      <w:r>
        <w:rPr>
          <w:rFonts w:hint="eastAsia"/>
          <w:color w:val="auto"/>
          <w:sz w:val="24"/>
        </w:rPr>
        <w:t>麻醉总例数/季/年</w:t>
      </w:r>
    </w:p>
    <w:p w14:paraId="12154269">
      <w:pPr>
        <w:pStyle w:val="94"/>
        <w:numPr>
          <w:ilvl w:val="0"/>
          <w:numId w:val="100"/>
        </w:numPr>
        <w:ind w:left="0" w:firstLine="480"/>
        <w:rPr>
          <w:color w:val="auto"/>
          <w:sz w:val="24"/>
        </w:rPr>
      </w:pPr>
      <w:r>
        <w:rPr>
          <w:rFonts w:hint="eastAsia"/>
          <w:color w:val="auto"/>
          <w:sz w:val="24"/>
        </w:rPr>
        <w:t>由麻醉医师实施镇痛治疗例数/季/年</w:t>
      </w:r>
    </w:p>
    <w:p w14:paraId="4EE12EED">
      <w:pPr>
        <w:pStyle w:val="94"/>
        <w:numPr>
          <w:ilvl w:val="0"/>
          <w:numId w:val="100"/>
        </w:numPr>
        <w:ind w:left="0" w:firstLine="480"/>
        <w:rPr>
          <w:color w:val="auto"/>
          <w:sz w:val="24"/>
        </w:rPr>
      </w:pPr>
      <w:r>
        <w:rPr>
          <w:rFonts w:hint="eastAsia"/>
          <w:color w:val="auto"/>
          <w:sz w:val="24"/>
        </w:rPr>
        <w:t>由麻醉医师实施心肺复苏治疗例数/季/年</w:t>
      </w:r>
    </w:p>
    <w:p w14:paraId="12F4EB12">
      <w:pPr>
        <w:pStyle w:val="94"/>
        <w:numPr>
          <w:ilvl w:val="0"/>
          <w:numId w:val="100"/>
        </w:numPr>
        <w:ind w:left="0" w:firstLine="480"/>
        <w:rPr>
          <w:color w:val="auto"/>
          <w:sz w:val="24"/>
        </w:rPr>
      </w:pPr>
      <w:r>
        <w:rPr>
          <w:rFonts w:hint="eastAsia"/>
          <w:color w:val="auto"/>
          <w:sz w:val="24"/>
        </w:rPr>
        <w:t>麻醉复苏（Steward苏醒评分）管理例数/季/年</w:t>
      </w:r>
    </w:p>
    <w:p w14:paraId="4A0380DB">
      <w:pPr>
        <w:pStyle w:val="94"/>
        <w:numPr>
          <w:ilvl w:val="0"/>
          <w:numId w:val="100"/>
        </w:numPr>
        <w:ind w:left="0" w:firstLine="480"/>
        <w:rPr>
          <w:color w:val="auto"/>
          <w:sz w:val="24"/>
        </w:rPr>
      </w:pPr>
      <w:r>
        <w:rPr>
          <w:rFonts w:hint="eastAsia"/>
          <w:color w:val="auto"/>
          <w:sz w:val="24"/>
        </w:rPr>
        <w:t>麻醉非预期的相关事件例数/季/年</w:t>
      </w:r>
    </w:p>
    <w:p w14:paraId="5F1107B5">
      <w:pPr>
        <w:pStyle w:val="94"/>
        <w:numPr>
          <w:ilvl w:val="0"/>
          <w:numId w:val="100"/>
        </w:numPr>
        <w:ind w:left="0" w:firstLine="480"/>
        <w:rPr>
          <w:color w:val="auto"/>
          <w:sz w:val="24"/>
        </w:rPr>
      </w:pPr>
      <w:r>
        <w:rPr>
          <w:rFonts w:hint="eastAsia"/>
          <w:color w:val="auto"/>
          <w:sz w:val="24"/>
        </w:rPr>
        <w:t>麻醉分级（ASA病情分级）管理例数/季/年</w:t>
      </w:r>
    </w:p>
    <w:p w14:paraId="773B1E84">
      <w:pPr>
        <w:pStyle w:val="94"/>
        <w:numPr>
          <w:ilvl w:val="0"/>
          <w:numId w:val="100"/>
        </w:numPr>
        <w:ind w:left="0" w:firstLine="480"/>
        <w:rPr>
          <w:color w:val="auto"/>
          <w:sz w:val="24"/>
        </w:rPr>
      </w:pPr>
      <w:r>
        <w:rPr>
          <w:rFonts w:hint="eastAsia"/>
          <w:color w:val="auto"/>
          <w:sz w:val="24"/>
        </w:rPr>
        <w:t>能够根据质控中心及科室的要求对不良事件进行信息化上报，支持不良事件模板套用。</w:t>
      </w:r>
    </w:p>
    <w:p w14:paraId="4576E87B">
      <w:pPr>
        <w:pStyle w:val="94"/>
        <w:numPr>
          <w:ilvl w:val="0"/>
          <w:numId w:val="100"/>
        </w:numPr>
        <w:ind w:left="0" w:firstLine="480"/>
        <w:rPr>
          <w:color w:val="auto"/>
          <w:sz w:val="24"/>
        </w:rPr>
      </w:pPr>
      <w:r>
        <w:rPr>
          <w:rFonts w:hint="eastAsia"/>
          <w:color w:val="auto"/>
          <w:sz w:val="24"/>
        </w:rPr>
        <w:t>能够支持以书面方式呈报。</w:t>
      </w:r>
    </w:p>
    <w:p w14:paraId="67F95E0E">
      <w:pPr>
        <w:pStyle w:val="94"/>
        <w:numPr>
          <w:ilvl w:val="0"/>
          <w:numId w:val="100"/>
        </w:numPr>
        <w:ind w:left="0" w:firstLine="480"/>
        <w:rPr>
          <w:color w:val="auto"/>
          <w:sz w:val="24"/>
        </w:rPr>
      </w:pPr>
      <w:r>
        <w:rPr>
          <w:rFonts w:hint="eastAsia"/>
          <w:color w:val="auto"/>
          <w:sz w:val="24"/>
        </w:rPr>
        <w:t>能够按省卫健委要求与省级质控中心要求的所有参数进行对接上报数据。</w:t>
      </w:r>
    </w:p>
    <w:p w14:paraId="44F5CA2F">
      <w:pPr>
        <w:pStyle w:val="14"/>
        <w:bidi w:val="0"/>
        <w:rPr>
          <w:color w:val="auto"/>
        </w:rPr>
      </w:pPr>
      <w:r>
        <w:rPr>
          <w:rFonts w:hint="eastAsia"/>
          <w:color w:val="auto"/>
          <w:lang w:val="en-US" w:eastAsia="zh-CN"/>
        </w:rPr>
        <w:t xml:space="preserve"> </w:t>
      </w:r>
      <w:r>
        <w:rPr>
          <w:rFonts w:hint="eastAsia"/>
          <w:color w:val="auto"/>
        </w:rPr>
        <w:t>重症监护系统</w:t>
      </w:r>
    </w:p>
    <w:p w14:paraId="14BB97C2">
      <w:pPr>
        <w:bidi w:val="0"/>
        <w:rPr>
          <w:color w:val="auto"/>
        </w:rPr>
      </w:pPr>
      <w:r>
        <w:rPr>
          <w:color w:val="auto"/>
        </w:rPr>
        <w:t>为重症科室提供患者周转、设备使用、质控指标等关键数据的自动化统计与可视化分析，支持15项国家ICU质量指标实时监测，大幅提升数据准确性并降低人工统计成本，助力科室精细化管理和临床决策。</w:t>
      </w:r>
    </w:p>
    <w:p w14:paraId="3BABCEE2">
      <w:pPr>
        <w:bidi w:val="0"/>
        <w:rPr>
          <w:color w:val="auto"/>
        </w:rPr>
      </w:pPr>
      <w:r>
        <w:rPr>
          <w:rFonts w:hint="eastAsia"/>
          <w:color w:val="auto"/>
          <w:lang w:val="en-US" w:eastAsia="zh-CN"/>
        </w:rPr>
        <w:t>系统数量满足医院使用需求。</w:t>
      </w:r>
    </w:p>
    <w:p w14:paraId="34CD9B8D">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3E865748">
      <w:pPr>
        <w:pStyle w:val="341"/>
        <w:spacing w:beforeLines="0"/>
        <w:ind w:firstLine="482"/>
        <w:rPr>
          <w:rFonts w:hint="eastAsia" w:ascii="宋体" w:hAnsi="宋体" w:cs="仿宋"/>
          <w:b/>
          <w:bCs/>
          <w:color w:val="auto"/>
          <w:sz w:val="24"/>
          <w:szCs w:val="24"/>
        </w:rPr>
      </w:pPr>
      <w:bookmarkStart w:id="221" w:name="_Toc117237507"/>
      <w:r>
        <w:rPr>
          <w:rFonts w:hint="eastAsia" w:ascii="宋体" w:hAnsi="宋体" w:cs="仿宋"/>
          <w:b/>
          <w:bCs/>
          <w:color w:val="auto"/>
          <w:sz w:val="24"/>
          <w:szCs w:val="24"/>
        </w:rPr>
        <w:t>统计中心</w:t>
      </w:r>
      <w:bookmarkEnd w:id="221"/>
    </w:p>
    <w:p w14:paraId="6EE6FD81">
      <w:pPr>
        <w:ind w:firstLine="480"/>
        <w:rPr>
          <w:color w:val="auto"/>
        </w:rPr>
      </w:pPr>
      <w:bookmarkStart w:id="222" w:name="_Toc117237508"/>
      <w:r>
        <w:rPr>
          <w:rFonts w:hint="eastAsia"/>
          <w:color w:val="auto"/>
        </w:rPr>
        <w:t>为重症科室提供日常所需统计功能。包含患者周转数据，床位周转数据，设备使用统计，压疮，导管，评估评分等临床数据统计以及1</w:t>
      </w:r>
      <w:r>
        <w:rPr>
          <w:color w:val="auto"/>
        </w:rPr>
        <w:t>5</w:t>
      </w:r>
      <w:r>
        <w:rPr>
          <w:rFonts w:hint="eastAsia"/>
          <w:color w:val="auto"/>
        </w:rPr>
        <w:t>项质控数据，为医护人员提供详细视图化的科室情况，节约人工统计的时间成本，提高统计准确性。</w:t>
      </w:r>
    </w:p>
    <w:p w14:paraId="4207DE9E">
      <w:pPr>
        <w:ind w:firstLine="480"/>
        <w:rPr>
          <w:color w:val="auto"/>
        </w:rPr>
      </w:pPr>
      <w:r>
        <w:rPr>
          <w:rFonts w:hint="eastAsia"/>
          <w:color w:val="auto"/>
        </w:rPr>
        <w:t>常规统计查询</w:t>
      </w:r>
      <w:r>
        <w:rPr>
          <w:color w:val="auto"/>
        </w:rPr>
        <w:tab/>
      </w:r>
      <w:r>
        <w:rPr>
          <w:color w:val="auto"/>
        </w:rPr>
        <w:t>系统提供以图形化的方式展现患者来源分类，去处分类，出入科总量和住院天数/床位周转的数据统计。</w:t>
      </w:r>
    </w:p>
    <w:p w14:paraId="1C78DFC0">
      <w:pPr>
        <w:ind w:firstLine="480"/>
        <w:rPr>
          <w:color w:val="auto"/>
        </w:rPr>
      </w:pPr>
      <w:r>
        <w:rPr>
          <w:rFonts w:hint="eastAsia"/>
          <w:color w:val="auto"/>
        </w:rPr>
        <w:t>系统提供以图形化的方式每日导管统计和新置导管的统计数据。</w:t>
      </w:r>
    </w:p>
    <w:p w14:paraId="33ECE1DA">
      <w:pPr>
        <w:ind w:firstLine="480"/>
        <w:rPr>
          <w:color w:val="auto"/>
        </w:rPr>
      </w:pPr>
      <w:r>
        <w:rPr>
          <w:rFonts w:hint="eastAsia"/>
          <w:color w:val="auto"/>
        </w:rPr>
        <w:t>系统提供以图形化统计某一时间段内各类医疗设备使用情况。</w:t>
      </w:r>
    </w:p>
    <w:p w14:paraId="6E22A2FB">
      <w:pPr>
        <w:ind w:firstLine="480"/>
        <w:rPr>
          <w:color w:val="auto"/>
        </w:rPr>
      </w:pPr>
      <w:r>
        <w:rPr>
          <w:rFonts w:hint="eastAsia"/>
          <w:color w:val="auto"/>
        </w:rPr>
        <w:t>系统提供以图形化方式展现周期内在科患者压疮，跌倒等常规护理质量数据统计。</w:t>
      </w:r>
    </w:p>
    <w:p w14:paraId="6FF8DEB3">
      <w:pPr>
        <w:ind w:firstLine="480"/>
        <w:rPr>
          <w:color w:val="auto"/>
        </w:rPr>
      </w:pPr>
      <w:r>
        <w:rPr>
          <w:color w:val="auto"/>
        </w:rPr>
        <w:t>15项质控指标</w:t>
      </w:r>
    </w:p>
    <w:p w14:paraId="6695650E">
      <w:pPr>
        <w:ind w:firstLine="480"/>
        <w:rPr>
          <w:color w:val="auto"/>
        </w:rPr>
      </w:pPr>
      <w:r>
        <w:rPr>
          <w:color w:val="auto"/>
        </w:rPr>
        <w:t>系统支持2015年度公布的ICU国家质量上报的15个指标的自动统计</w:t>
      </w:r>
    </w:p>
    <w:p w14:paraId="66997DA1">
      <w:pPr>
        <w:ind w:firstLine="480"/>
        <w:rPr>
          <w:color w:val="auto"/>
        </w:rPr>
      </w:pPr>
      <w:r>
        <w:rPr>
          <w:color w:val="auto"/>
        </w:rPr>
        <w:t>1. ICU患者收治率和ICU患者收治床日率；</w:t>
      </w:r>
    </w:p>
    <w:p w14:paraId="5F9035FD">
      <w:pPr>
        <w:ind w:firstLine="480"/>
        <w:rPr>
          <w:color w:val="auto"/>
        </w:rPr>
      </w:pPr>
      <w:r>
        <w:rPr>
          <w:color w:val="auto"/>
        </w:rPr>
        <w:t>2. 急性生理与慢性健康评分（APACHEⅡ评分）≥15分患者收治率（入ICU24小时内）；</w:t>
      </w:r>
    </w:p>
    <w:p w14:paraId="672119E9">
      <w:pPr>
        <w:ind w:firstLine="480"/>
        <w:rPr>
          <w:color w:val="auto"/>
        </w:rPr>
      </w:pPr>
      <w:r>
        <w:rPr>
          <w:color w:val="auto"/>
        </w:rPr>
        <w:t>3. 感染性休克3h集束化治疗（bundle）完成率；</w:t>
      </w:r>
    </w:p>
    <w:p w14:paraId="18825309">
      <w:pPr>
        <w:ind w:firstLine="480"/>
        <w:rPr>
          <w:color w:val="auto"/>
        </w:rPr>
      </w:pPr>
      <w:r>
        <w:rPr>
          <w:color w:val="auto"/>
        </w:rPr>
        <w:t>4. 感染性休克6h集束化治疗（bundle）完成率；</w:t>
      </w:r>
    </w:p>
    <w:p w14:paraId="49012F25">
      <w:pPr>
        <w:ind w:firstLine="480"/>
        <w:rPr>
          <w:color w:val="auto"/>
        </w:rPr>
      </w:pPr>
      <w:r>
        <w:rPr>
          <w:color w:val="auto"/>
        </w:rPr>
        <w:t>5. ICU抗菌药物治疗前病原学送检率；</w:t>
      </w:r>
    </w:p>
    <w:p w14:paraId="7715E9EC">
      <w:pPr>
        <w:ind w:firstLine="480"/>
        <w:rPr>
          <w:color w:val="auto"/>
        </w:rPr>
      </w:pPr>
      <w:r>
        <w:rPr>
          <w:color w:val="auto"/>
        </w:rPr>
        <w:t>6. ICU深静脉血栓（DVT）预防率；</w:t>
      </w:r>
    </w:p>
    <w:p w14:paraId="3FAD4D85">
      <w:pPr>
        <w:ind w:firstLine="480"/>
        <w:rPr>
          <w:color w:val="auto"/>
        </w:rPr>
      </w:pPr>
      <w:r>
        <w:rPr>
          <w:color w:val="auto"/>
        </w:rPr>
        <w:t>7. ICU患者预计病死率；</w:t>
      </w:r>
    </w:p>
    <w:p w14:paraId="36C679AA">
      <w:pPr>
        <w:ind w:firstLine="480"/>
        <w:rPr>
          <w:color w:val="auto"/>
        </w:rPr>
      </w:pPr>
      <w:r>
        <w:rPr>
          <w:color w:val="auto"/>
        </w:rPr>
        <w:t>8. ICU患者标化病死指数（StandardizedMortality Ratio）；</w:t>
      </w:r>
    </w:p>
    <w:p w14:paraId="3F1DF6A9">
      <w:pPr>
        <w:ind w:firstLine="480"/>
        <w:rPr>
          <w:color w:val="auto"/>
        </w:rPr>
      </w:pPr>
      <w:r>
        <w:rPr>
          <w:color w:val="auto"/>
        </w:rPr>
        <w:t>9. ICU非计划气管插管拔管率；</w:t>
      </w:r>
    </w:p>
    <w:p w14:paraId="65EF41B0">
      <w:pPr>
        <w:ind w:firstLine="480"/>
        <w:rPr>
          <w:color w:val="auto"/>
        </w:rPr>
      </w:pPr>
      <w:r>
        <w:rPr>
          <w:color w:val="auto"/>
        </w:rPr>
        <w:t>10. ICU气管插管拔管后48h内再插管率；</w:t>
      </w:r>
    </w:p>
    <w:p w14:paraId="0ADFAF45">
      <w:pPr>
        <w:ind w:firstLine="480"/>
        <w:rPr>
          <w:color w:val="auto"/>
        </w:rPr>
      </w:pPr>
      <w:r>
        <w:rPr>
          <w:color w:val="auto"/>
        </w:rPr>
        <w:t>11. 非计划转入ICU率；</w:t>
      </w:r>
    </w:p>
    <w:p w14:paraId="780BCF02">
      <w:pPr>
        <w:ind w:firstLine="480"/>
        <w:rPr>
          <w:color w:val="auto"/>
        </w:rPr>
      </w:pPr>
      <w:r>
        <w:rPr>
          <w:color w:val="auto"/>
        </w:rPr>
        <w:t>12. 转出ICU后48h内重返率；</w:t>
      </w:r>
    </w:p>
    <w:p w14:paraId="1C95B011">
      <w:pPr>
        <w:ind w:firstLine="480"/>
        <w:rPr>
          <w:color w:val="auto"/>
        </w:rPr>
      </w:pPr>
      <w:r>
        <w:rPr>
          <w:color w:val="auto"/>
        </w:rPr>
        <w:t>13. ICU呼吸机相关性肺炎（VAP）发病率；</w:t>
      </w:r>
    </w:p>
    <w:p w14:paraId="1C8B7E0C">
      <w:pPr>
        <w:ind w:firstLine="480"/>
        <w:rPr>
          <w:color w:val="auto"/>
        </w:rPr>
      </w:pPr>
      <w:r>
        <w:rPr>
          <w:color w:val="auto"/>
        </w:rPr>
        <w:t>14. ICU血管内导管相关血流感染（CRBSI）发病率；</w:t>
      </w:r>
    </w:p>
    <w:p w14:paraId="0C60934C">
      <w:pPr>
        <w:ind w:firstLine="480"/>
        <w:rPr>
          <w:color w:val="auto"/>
        </w:rPr>
      </w:pPr>
      <w:r>
        <w:rPr>
          <w:color w:val="auto"/>
        </w:rPr>
        <w:t>15. ICU导尿管相关泌尿系感染（CAUTI）发病率。</w:t>
      </w:r>
    </w:p>
    <w:p w14:paraId="5C098537">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信息集成</w:t>
      </w:r>
      <w:bookmarkEnd w:id="222"/>
    </w:p>
    <w:p w14:paraId="6B30A661">
      <w:pPr>
        <w:ind w:firstLine="480"/>
        <w:rPr>
          <w:color w:val="auto"/>
        </w:rPr>
      </w:pPr>
      <w:bookmarkStart w:id="223" w:name="_Toc117237509"/>
      <w:r>
        <w:rPr>
          <w:color w:val="auto"/>
        </w:rPr>
        <w:t>可以与医院现有信息系统HIS、LIS、PACS-RIS、EMR进行所有与本项目有关的需要提供接口的系统完整集成，达到系统间信息共享融合的目的。</w:t>
      </w:r>
    </w:p>
    <w:p w14:paraId="08A5B791">
      <w:pPr>
        <w:ind w:firstLine="480"/>
        <w:rPr>
          <w:color w:val="auto"/>
        </w:rPr>
      </w:pPr>
      <w:r>
        <w:rPr>
          <w:color w:val="auto"/>
        </w:rPr>
        <w:t>1） HIS 系统集成: 进行科室分区、患者基本信息、工作人员基本信息、床位信息、患者在院信息、医嘱信息等的交互。</w:t>
      </w:r>
    </w:p>
    <w:p w14:paraId="73D5493A">
      <w:pPr>
        <w:ind w:firstLine="480"/>
        <w:rPr>
          <w:color w:val="auto"/>
        </w:rPr>
      </w:pPr>
      <w:r>
        <w:rPr>
          <w:color w:val="auto"/>
        </w:rPr>
        <w:t xml:space="preserve">2） LIS／PACS-RIS系统集成：进行检查（B/S架构）、检验信息的集成交互，包括检查、检验预约、标本追踪、检查过程交接、结果数据、报告调取等。 </w:t>
      </w:r>
    </w:p>
    <w:p w14:paraId="5301080A">
      <w:pPr>
        <w:ind w:firstLine="480"/>
        <w:rPr>
          <w:color w:val="auto"/>
        </w:rPr>
      </w:pPr>
      <w:r>
        <w:rPr>
          <w:color w:val="auto"/>
        </w:rPr>
        <w:t>3） EMR系统集成：与B/S架构的医生电子病历信息的交互，包括诊断信息、病程记录信息、出入院信息的集成和交互、PDA医嘱执行信息交互。</w:t>
      </w:r>
    </w:p>
    <w:p w14:paraId="4E947C1F">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设备集成</w:t>
      </w:r>
      <w:bookmarkEnd w:id="223"/>
    </w:p>
    <w:p w14:paraId="72F8C635">
      <w:pPr>
        <w:ind w:firstLine="480"/>
        <w:rPr>
          <w:rFonts w:cs="仿宋"/>
          <w:color w:val="auto"/>
        </w:rPr>
      </w:pPr>
      <w:r>
        <w:rPr>
          <w:rFonts w:hint="eastAsia" w:cs="仿宋"/>
          <w:color w:val="auto"/>
        </w:rPr>
        <w:t>系统可自动采集床边仪器上的数据，数据可自动记录在重症护理记录单上。</w:t>
      </w:r>
    </w:p>
    <w:p w14:paraId="2841FC0E">
      <w:pPr>
        <w:ind w:firstLine="480"/>
        <w:rPr>
          <w:rFonts w:cs="仿宋"/>
          <w:color w:val="auto"/>
        </w:rPr>
      </w:pPr>
      <w:r>
        <w:rPr>
          <w:rFonts w:hint="eastAsia" w:cs="仿宋"/>
          <w:color w:val="auto"/>
        </w:rPr>
        <w:t>支持不同品牌型号的设备同时采集。</w:t>
      </w:r>
    </w:p>
    <w:p w14:paraId="5EB247AA">
      <w:pPr>
        <w:ind w:firstLine="480"/>
        <w:rPr>
          <w:rFonts w:cs="仿宋"/>
          <w:color w:val="auto"/>
        </w:rPr>
      </w:pPr>
      <w:r>
        <w:rPr>
          <w:rFonts w:hint="eastAsia" w:cs="仿宋"/>
          <w:color w:val="auto"/>
        </w:rPr>
        <w:t>采集数据的频率可根据临床具体需要进行设置；抢救状态下，采集的频率可达到60秒/次以上，同时可自动生成护理记录。</w:t>
      </w:r>
    </w:p>
    <w:p w14:paraId="6A584FF3">
      <w:pPr>
        <w:ind w:firstLine="480"/>
        <w:rPr>
          <w:rFonts w:cs="仿宋"/>
          <w:color w:val="auto"/>
        </w:rPr>
      </w:pPr>
      <w:r>
        <w:rPr>
          <w:rFonts w:hint="eastAsia" w:cs="仿宋"/>
          <w:color w:val="auto"/>
        </w:rPr>
        <w:t>系统具有体征预警设定，体征预警自反馈功能。出现异常数据，可提供警示，对异常数据可以进行二次修改。采集到的体征可提供数字、曲线图等多种方式展现。</w:t>
      </w:r>
    </w:p>
    <w:p w14:paraId="5B533427">
      <w:pPr>
        <w:pStyle w:val="341"/>
        <w:spacing w:beforeLines="0"/>
        <w:ind w:firstLine="482"/>
        <w:rPr>
          <w:rFonts w:hint="eastAsia" w:ascii="宋体" w:hAnsi="宋体" w:cs="仿宋"/>
          <w:b/>
          <w:bCs/>
          <w:color w:val="auto"/>
          <w:sz w:val="24"/>
          <w:szCs w:val="24"/>
        </w:rPr>
      </w:pPr>
      <w:bookmarkStart w:id="224" w:name="_Toc117237511"/>
      <w:r>
        <w:rPr>
          <w:rFonts w:hint="eastAsia" w:ascii="宋体" w:hAnsi="宋体" w:cs="仿宋"/>
          <w:b/>
          <w:bCs/>
          <w:color w:val="auto"/>
          <w:sz w:val="24"/>
          <w:szCs w:val="24"/>
        </w:rPr>
        <w:t>报警设置</w:t>
      </w:r>
      <w:bookmarkEnd w:id="224"/>
    </w:p>
    <w:p w14:paraId="0F76E78D">
      <w:pPr>
        <w:ind w:firstLine="480"/>
        <w:rPr>
          <w:rFonts w:cs="仿宋"/>
          <w:color w:val="auto"/>
        </w:rPr>
      </w:pPr>
      <w:r>
        <w:rPr>
          <w:rFonts w:hint="eastAsia" w:cs="仿宋"/>
          <w:color w:val="auto"/>
        </w:rPr>
        <w:t>系统具有体征预警设定，且体征预警自反馈功能。</w:t>
      </w:r>
    </w:p>
    <w:p w14:paraId="42C9B8C4">
      <w:pPr>
        <w:pStyle w:val="341"/>
        <w:spacing w:beforeLines="0"/>
        <w:ind w:firstLine="482"/>
        <w:rPr>
          <w:rFonts w:hint="eastAsia" w:ascii="宋体" w:hAnsi="宋体" w:cs="仿宋"/>
          <w:b/>
          <w:bCs/>
          <w:color w:val="auto"/>
          <w:sz w:val="24"/>
          <w:szCs w:val="24"/>
        </w:rPr>
      </w:pPr>
      <w:bookmarkStart w:id="225" w:name="_Toc117237514"/>
      <w:r>
        <w:rPr>
          <w:rFonts w:hint="eastAsia" w:ascii="宋体" w:hAnsi="宋体" w:cs="仿宋"/>
          <w:b/>
          <w:bCs/>
          <w:color w:val="auto"/>
          <w:sz w:val="24"/>
          <w:szCs w:val="24"/>
        </w:rPr>
        <w:t>大屏公告</w:t>
      </w:r>
      <w:bookmarkEnd w:id="225"/>
    </w:p>
    <w:p w14:paraId="0505B16F">
      <w:pPr>
        <w:ind w:firstLine="480"/>
        <w:rPr>
          <w:color w:val="auto"/>
        </w:rPr>
      </w:pPr>
      <w:r>
        <w:rPr>
          <w:rFonts w:hint="eastAsia"/>
          <w:color w:val="auto"/>
        </w:rPr>
        <w:t>集中展示科室患者总体人员基本状况，在科患者床头卡，当日科室人员流转数据，滚动显示科室实时通知。出入科人数趋势图，患者来源分布图，科室质控数据展示。用户可通过大屏公告及时掌握科室重要通知，快速掌握科室患者整体情况，了解重症质控重点，有助于科室有序规范化的管理。</w:t>
      </w:r>
    </w:p>
    <w:p w14:paraId="2C8B96BB">
      <w:pPr>
        <w:pStyle w:val="14"/>
        <w:bidi w:val="0"/>
        <w:rPr>
          <w:color w:val="auto"/>
        </w:rPr>
      </w:pPr>
      <w:r>
        <w:rPr>
          <w:rFonts w:hint="eastAsia"/>
          <w:color w:val="auto"/>
          <w:lang w:val="en-US" w:eastAsia="zh-CN"/>
        </w:rPr>
        <w:t xml:space="preserve"> </w:t>
      </w:r>
      <w:r>
        <w:rPr>
          <w:rFonts w:hint="eastAsia"/>
          <w:color w:val="auto"/>
        </w:rPr>
        <w:t>输血管理系统</w:t>
      </w:r>
    </w:p>
    <w:p w14:paraId="3208BB78">
      <w:pPr>
        <w:bidi w:val="0"/>
        <w:rPr>
          <w:color w:val="auto"/>
        </w:rPr>
      </w:pPr>
      <w:r>
        <w:rPr>
          <w:color w:val="auto"/>
        </w:rPr>
        <w:t>实现从临床用血申请、输血科审核到输注效果评价的全流程数字化管理，涵盖血制品入库、配血、发血及不良反应跟踪，同时提供多维统计与预警功能，确保用血安全合规，提升血库管理效率与追溯能力。</w:t>
      </w:r>
    </w:p>
    <w:p w14:paraId="1A6CB0F6">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D5FB7B9">
      <w:pPr>
        <w:ind w:firstLine="480"/>
        <w:rPr>
          <w:color w:val="auto"/>
        </w:rPr>
      </w:pPr>
      <w:r>
        <w:rPr>
          <w:rFonts w:hint="eastAsia"/>
          <w:color w:val="auto"/>
        </w:rPr>
        <w:t>一.临床用血</w:t>
      </w:r>
    </w:p>
    <w:p w14:paraId="742947E1">
      <w:pPr>
        <w:ind w:firstLine="480"/>
        <w:rPr>
          <w:color w:val="auto"/>
        </w:rPr>
      </w:pPr>
      <w:r>
        <w:rPr>
          <w:rFonts w:hint="eastAsia"/>
          <w:color w:val="auto"/>
        </w:rPr>
        <w:t>1.输血知情同意书</w:t>
      </w:r>
    </w:p>
    <w:p w14:paraId="6D8B688C">
      <w:pPr>
        <w:ind w:firstLine="480"/>
        <w:rPr>
          <w:color w:val="auto"/>
        </w:rPr>
      </w:pPr>
      <w:r>
        <w:rPr>
          <w:rFonts w:hint="eastAsia"/>
          <w:color w:val="auto"/>
        </w:rPr>
        <w:t>2.用血申请单（自体血、异体血、自体+异体、急诊、普通）</w:t>
      </w:r>
    </w:p>
    <w:p w14:paraId="5D650DEA">
      <w:pPr>
        <w:ind w:firstLine="480"/>
        <w:rPr>
          <w:color w:val="auto"/>
        </w:rPr>
      </w:pPr>
      <w:r>
        <w:rPr>
          <w:rFonts w:hint="eastAsia"/>
          <w:color w:val="auto"/>
        </w:rPr>
        <w:t>3.输血前评估</w:t>
      </w:r>
    </w:p>
    <w:p w14:paraId="05C7BE03">
      <w:pPr>
        <w:ind w:firstLine="480"/>
        <w:rPr>
          <w:color w:val="auto"/>
        </w:rPr>
      </w:pPr>
      <w:r>
        <w:rPr>
          <w:rFonts w:hint="eastAsia"/>
          <w:color w:val="auto"/>
        </w:rPr>
        <w:t>4.输注记录与不良反应(输血全流程完整记录，可以批量快速填写多袋血护理记录)</w:t>
      </w:r>
    </w:p>
    <w:p w14:paraId="4AC1E1DA">
      <w:pPr>
        <w:ind w:firstLine="480"/>
        <w:rPr>
          <w:color w:val="auto"/>
        </w:rPr>
      </w:pPr>
      <w:r>
        <w:rPr>
          <w:rFonts w:hint="eastAsia"/>
          <w:color w:val="auto"/>
        </w:rPr>
        <w:t>5.输血效果评价</w:t>
      </w:r>
    </w:p>
    <w:p w14:paraId="44B405E8">
      <w:pPr>
        <w:ind w:firstLine="480"/>
        <w:rPr>
          <w:color w:val="auto"/>
        </w:rPr>
      </w:pPr>
      <w:r>
        <w:rPr>
          <w:rFonts w:hint="eastAsia"/>
          <w:color w:val="auto"/>
        </w:rPr>
        <w:t>6.大量用血医务科审核</w:t>
      </w:r>
    </w:p>
    <w:p w14:paraId="19BC795B">
      <w:pPr>
        <w:ind w:firstLine="480"/>
        <w:rPr>
          <w:color w:val="auto"/>
        </w:rPr>
      </w:pPr>
      <w:r>
        <w:rPr>
          <w:rFonts w:hint="eastAsia"/>
          <w:color w:val="auto"/>
        </w:rPr>
        <w:t>7.输血申请开始到输血后效果评价全流程跟踪查看</w:t>
      </w:r>
    </w:p>
    <w:p w14:paraId="492B7EF1">
      <w:pPr>
        <w:ind w:firstLine="480"/>
        <w:rPr>
          <w:color w:val="auto"/>
        </w:rPr>
      </w:pPr>
      <w:r>
        <w:rPr>
          <w:rFonts w:hint="eastAsia"/>
          <w:color w:val="auto"/>
        </w:rPr>
        <w:t>二.输血科内部管理</w:t>
      </w:r>
    </w:p>
    <w:p w14:paraId="4DA8647D">
      <w:pPr>
        <w:ind w:firstLine="480"/>
        <w:rPr>
          <w:color w:val="auto"/>
        </w:rPr>
      </w:pPr>
      <w:r>
        <w:rPr>
          <w:rFonts w:hint="eastAsia"/>
          <w:color w:val="auto"/>
        </w:rPr>
        <w:t>1.输血制品入库</w:t>
      </w:r>
    </w:p>
    <w:p w14:paraId="6A542395">
      <w:pPr>
        <w:ind w:firstLine="480"/>
        <w:rPr>
          <w:color w:val="auto"/>
        </w:rPr>
      </w:pPr>
      <w:r>
        <w:rPr>
          <w:rFonts w:hint="eastAsia"/>
          <w:color w:val="auto"/>
        </w:rPr>
        <w:t>2.血袋血型复检</w:t>
      </w:r>
    </w:p>
    <w:p w14:paraId="6F6E1D00">
      <w:pPr>
        <w:ind w:firstLine="480"/>
        <w:rPr>
          <w:color w:val="auto"/>
        </w:rPr>
      </w:pPr>
      <w:r>
        <w:rPr>
          <w:rFonts w:hint="eastAsia"/>
          <w:color w:val="auto"/>
        </w:rPr>
        <w:t>3.用血单申请审核模块</w:t>
      </w:r>
    </w:p>
    <w:p w14:paraId="472BD091">
      <w:pPr>
        <w:ind w:firstLine="480"/>
        <w:rPr>
          <w:color w:val="auto"/>
        </w:rPr>
      </w:pPr>
      <w:r>
        <w:rPr>
          <w:rFonts w:hint="eastAsia"/>
          <w:color w:val="auto"/>
        </w:rPr>
        <w:t>4.输血常规检验与血型鉴定录入</w:t>
      </w:r>
    </w:p>
    <w:p w14:paraId="709D0AEA">
      <w:pPr>
        <w:ind w:firstLine="480"/>
        <w:rPr>
          <w:color w:val="auto"/>
        </w:rPr>
      </w:pPr>
      <w:r>
        <w:rPr>
          <w:rFonts w:hint="eastAsia"/>
          <w:color w:val="auto"/>
        </w:rPr>
        <w:t>5.交叉配血</w:t>
      </w:r>
    </w:p>
    <w:p w14:paraId="4AD19A81">
      <w:pPr>
        <w:ind w:firstLine="480"/>
        <w:rPr>
          <w:color w:val="auto"/>
        </w:rPr>
      </w:pPr>
      <w:r>
        <w:rPr>
          <w:rFonts w:hint="eastAsia"/>
          <w:color w:val="auto"/>
        </w:rPr>
        <w:t>6.科室发血管理</w:t>
      </w:r>
    </w:p>
    <w:p w14:paraId="237FE196">
      <w:pPr>
        <w:ind w:firstLine="480"/>
        <w:rPr>
          <w:color w:val="auto"/>
        </w:rPr>
      </w:pPr>
      <w:r>
        <w:rPr>
          <w:rFonts w:hint="eastAsia"/>
          <w:color w:val="auto"/>
        </w:rPr>
        <w:t>7.血制品返回血站与报废</w:t>
      </w:r>
    </w:p>
    <w:p w14:paraId="5794086B">
      <w:pPr>
        <w:ind w:firstLine="480"/>
        <w:rPr>
          <w:color w:val="auto"/>
        </w:rPr>
      </w:pPr>
      <w:r>
        <w:rPr>
          <w:rFonts w:hint="eastAsia"/>
          <w:color w:val="auto"/>
        </w:rPr>
        <w:t>8.其他用血机构发血</w:t>
      </w:r>
    </w:p>
    <w:p w14:paraId="75BBCAE6">
      <w:pPr>
        <w:ind w:firstLine="480"/>
        <w:rPr>
          <w:color w:val="auto"/>
        </w:rPr>
      </w:pPr>
      <w:r>
        <w:rPr>
          <w:rFonts w:hint="eastAsia"/>
          <w:color w:val="auto"/>
        </w:rPr>
        <w:t>9.血袋回收与销毁登记</w:t>
      </w:r>
    </w:p>
    <w:p w14:paraId="67D37B04">
      <w:pPr>
        <w:ind w:firstLine="480"/>
        <w:rPr>
          <w:color w:val="auto"/>
        </w:rPr>
      </w:pPr>
      <w:r>
        <w:rPr>
          <w:rFonts w:hint="eastAsia"/>
          <w:color w:val="auto"/>
        </w:rPr>
        <w:t>10.标本签收</w:t>
      </w:r>
    </w:p>
    <w:p w14:paraId="098A8701">
      <w:pPr>
        <w:ind w:firstLine="480"/>
        <w:rPr>
          <w:color w:val="auto"/>
        </w:rPr>
      </w:pPr>
      <w:r>
        <w:rPr>
          <w:rFonts w:hint="eastAsia"/>
          <w:color w:val="auto"/>
        </w:rPr>
        <w:t>11.消息管理：用血申请临床核准签发消息发送到输血科；</w:t>
      </w:r>
    </w:p>
    <w:p w14:paraId="3086C78D">
      <w:pPr>
        <w:ind w:firstLine="480"/>
        <w:rPr>
          <w:color w:val="auto"/>
        </w:rPr>
      </w:pPr>
      <w:r>
        <w:rPr>
          <w:rFonts w:hint="eastAsia"/>
          <w:color w:val="auto"/>
        </w:rPr>
        <w:t>开具申请单前，是否签署同意书提醒，输注记录与不良反应单发送后消息发送到输血科；用血输血后评价单后消息发送到输血科；输血科审核申请后消息发送到临床；输血科交叉配血后消息发送到临床；输血科发血后消息发送到临床；不良反应填写后自动发送至输血科；输血后输注效果提醒</w:t>
      </w:r>
    </w:p>
    <w:p w14:paraId="000AFE81">
      <w:pPr>
        <w:ind w:firstLine="480"/>
        <w:rPr>
          <w:color w:val="auto"/>
        </w:rPr>
      </w:pPr>
      <w:r>
        <w:rPr>
          <w:rFonts w:hint="eastAsia"/>
          <w:color w:val="auto"/>
        </w:rPr>
        <w:t>预警消息功能</w:t>
      </w:r>
    </w:p>
    <w:p w14:paraId="27ADA837">
      <w:pPr>
        <w:ind w:firstLine="480"/>
        <w:rPr>
          <w:color w:val="auto"/>
        </w:rPr>
      </w:pPr>
      <w:r>
        <w:rPr>
          <w:rFonts w:hint="eastAsia"/>
          <w:color w:val="auto"/>
        </w:rPr>
        <w:t>13.血浆融化记录</w:t>
      </w:r>
    </w:p>
    <w:p w14:paraId="0824E6DC">
      <w:pPr>
        <w:ind w:firstLine="480"/>
        <w:rPr>
          <w:color w:val="auto"/>
        </w:rPr>
      </w:pPr>
      <w:r>
        <w:rPr>
          <w:rFonts w:hint="eastAsia"/>
          <w:color w:val="auto"/>
        </w:rPr>
        <w:t>14.血袋样辫保存</w:t>
      </w:r>
    </w:p>
    <w:p w14:paraId="2D2A93DE">
      <w:pPr>
        <w:ind w:firstLine="480"/>
        <w:rPr>
          <w:color w:val="auto"/>
        </w:rPr>
      </w:pPr>
      <w:r>
        <w:rPr>
          <w:rFonts w:hint="eastAsia"/>
          <w:color w:val="auto"/>
        </w:rPr>
        <w:t>三查询与统计</w:t>
      </w:r>
    </w:p>
    <w:p w14:paraId="492821B6">
      <w:pPr>
        <w:ind w:firstLine="480"/>
        <w:rPr>
          <w:color w:val="auto"/>
        </w:rPr>
      </w:pPr>
      <w:r>
        <w:rPr>
          <w:rFonts w:hint="eastAsia"/>
          <w:color w:val="auto"/>
        </w:rPr>
        <w:t>输血前常规检验报告查询</w:t>
      </w:r>
    </w:p>
    <w:p w14:paraId="26351765">
      <w:pPr>
        <w:ind w:firstLine="480"/>
        <w:rPr>
          <w:color w:val="auto"/>
        </w:rPr>
      </w:pPr>
      <w:r>
        <w:rPr>
          <w:rFonts w:hint="eastAsia"/>
          <w:color w:val="auto"/>
        </w:rPr>
        <w:t>血型与交叉配血试验记录查询</w:t>
      </w:r>
    </w:p>
    <w:p w14:paraId="42E01532">
      <w:pPr>
        <w:ind w:firstLine="480"/>
        <w:rPr>
          <w:color w:val="auto"/>
        </w:rPr>
      </w:pPr>
      <w:r>
        <w:rPr>
          <w:rFonts w:hint="eastAsia"/>
          <w:color w:val="auto"/>
        </w:rPr>
        <w:t>病人输血过程查询</w:t>
      </w:r>
    </w:p>
    <w:p w14:paraId="5A0B459E">
      <w:pPr>
        <w:ind w:firstLine="480"/>
        <w:rPr>
          <w:color w:val="auto"/>
        </w:rPr>
      </w:pPr>
      <w:r>
        <w:rPr>
          <w:rFonts w:hint="eastAsia"/>
          <w:color w:val="auto"/>
        </w:rPr>
        <w:t>病人手术用血查询</w:t>
      </w:r>
    </w:p>
    <w:p w14:paraId="7BFB4EDD">
      <w:pPr>
        <w:ind w:firstLine="480"/>
        <w:rPr>
          <w:color w:val="auto"/>
        </w:rPr>
      </w:pPr>
      <w:r>
        <w:rPr>
          <w:rFonts w:hint="eastAsia"/>
          <w:color w:val="auto"/>
        </w:rPr>
        <w:t>病人用血情况查询</w:t>
      </w:r>
    </w:p>
    <w:p w14:paraId="61CB6864">
      <w:pPr>
        <w:ind w:firstLine="480"/>
        <w:rPr>
          <w:color w:val="auto"/>
        </w:rPr>
      </w:pPr>
      <w:r>
        <w:rPr>
          <w:rFonts w:hint="eastAsia"/>
          <w:color w:val="auto"/>
        </w:rPr>
        <w:t>抗体筛查阳性查询</w:t>
      </w:r>
    </w:p>
    <w:p w14:paraId="1A3A6FA1">
      <w:pPr>
        <w:ind w:firstLine="480"/>
        <w:rPr>
          <w:color w:val="auto"/>
        </w:rPr>
      </w:pPr>
      <w:r>
        <w:rPr>
          <w:rFonts w:hint="eastAsia"/>
          <w:color w:val="auto"/>
        </w:rPr>
        <w:t>血制品状态查询、血制品库存查询</w:t>
      </w:r>
    </w:p>
    <w:p w14:paraId="1C8F5565">
      <w:pPr>
        <w:ind w:firstLine="480"/>
        <w:rPr>
          <w:color w:val="auto"/>
        </w:rPr>
      </w:pPr>
      <w:r>
        <w:rPr>
          <w:rFonts w:hint="eastAsia"/>
          <w:color w:val="auto"/>
        </w:rPr>
        <w:t>血制品出入库明细查询血制品出入库明细查询</w:t>
      </w:r>
    </w:p>
    <w:p w14:paraId="0B1FF348">
      <w:pPr>
        <w:ind w:firstLine="480"/>
        <w:rPr>
          <w:color w:val="auto"/>
        </w:rPr>
      </w:pPr>
      <w:r>
        <w:rPr>
          <w:rFonts w:hint="eastAsia"/>
          <w:color w:val="auto"/>
        </w:rPr>
        <w:t>紧急申请单查询</w:t>
      </w:r>
    </w:p>
    <w:p w14:paraId="1625AA60">
      <w:pPr>
        <w:ind w:firstLine="480"/>
        <w:rPr>
          <w:color w:val="auto"/>
        </w:rPr>
      </w:pPr>
      <w:r>
        <w:rPr>
          <w:rFonts w:hint="eastAsia"/>
          <w:color w:val="auto"/>
        </w:rPr>
        <w:t>申请单申请和用血量查询</w:t>
      </w:r>
    </w:p>
    <w:p w14:paraId="7F837568">
      <w:pPr>
        <w:ind w:firstLine="480"/>
        <w:rPr>
          <w:color w:val="auto"/>
        </w:rPr>
      </w:pPr>
      <w:r>
        <w:rPr>
          <w:rFonts w:hint="eastAsia"/>
          <w:color w:val="auto"/>
        </w:rPr>
        <w:t>不良反应查询</w:t>
      </w:r>
    </w:p>
    <w:p w14:paraId="5DAB6479">
      <w:pPr>
        <w:ind w:firstLine="480"/>
        <w:rPr>
          <w:color w:val="auto"/>
        </w:rPr>
      </w:pPr>
      <w:r>
        <w:rPr>
          <w:rFonts w:hint="eastAsia"/>
          <w:color w:val="auto"/>
        </w:rPr>
        <w:t>血型不一致配血查询</w:t>
      </w:r>
    </w:p>
    <w:p w14:paraId="2DD7CC5C">
      <w:pPr>
        <w:ind w:firstLine="480"/>
        <w:rPr>
          <w:color w:val="auto"/>
        </w:rPr>
      </w:pPr>
      <w:r>
        <w:rPr>
          <w:rFonts w:hint="eastAsia"/>
          <w:color w:val="auto"/>
        </w:rPr>
        <w:t>大量用血报批审核率统计</w:t>
      </w:r>
    </w:p>
    <w:p w14:paraId="32362FF4">
      <w:pPr>
        <w:ind w:firstLine="480"/>
        <w:rPr>
          <w:color w:val="auto"/>
        </w:rPr>
      </w:pPr>
      <w:r>
        <w:rPr>
          <w:rFonts w:hint="eastAsia"/>
          <w:color w:val="auto"/>
        </w:rPr>
        <w:t>Rh阴性血用血查询</w:t>
      </w:r>
    </w:p>
    <w:p w14:paraId="196FD471">
      <w:pPr>
        <w:ind w:firstLine="480"/>
        <w:rPr>
          <w:color w:val="auto"/>
        </w:rPr>
      </w:pPr>
      <w:r>
        <w:rPr>
          <w:rFonts w:hint="eastAsia"/>
          <w:color w:val="auto"/>
        </w:rPr>
        <w:t>申请单审核率统计</w:t>
      </w:r>
    </w:p>
    <w:p w14:paraId="3E2A63F6">
      <w:pPr>
        <w:ind w:firstLine="480"/>
        <w:rPr>
          <w:color w:val="auto"/>
        </w:rPr>
      </w:pPr>
      <w:r>
        <w:rPr>
          <w:rFonts w:hint="eastAsia"/>
          <w:color w:val="auto"/>
        </w:rPr>
        <w:t>申请单审核不通过明细</w:t>
      </w:r>
    </w:p>
    <w:p w14:paraId="59C7701D">
      <w:pPr>
        <w:ind w:firstLine="480"/>
        <w:rPr>
          <w:color w:val="auto"/>
        </w:rPr>
      </w:pPr>
      <w:r>
        <w:rPr>
          <w:rFonts w:hint="eastAsia"/>
          <w:color w:val="auto"/>
        </w:rPr>
        <w:t>血制品库存统计</w:t>
      </w:r>
    </w:p>
    <w:p w14:paraId="6F00CBC9">
      <w:pPr>
        <w:ind w:firstLine="480"/>
        <w:rPr>
          <w:color w:val="auto"/>
        </w:rPr>
      </w:pPr>
      <w:r>
        <w:rPr>
          <w:rFonts w:hint="eastAsia"/>
          <w:color w:val="auto"/>
        </w:rPr>
        <w:t>血制品库存汇总统计</w:t>
      </w:r>
    </w:p>
    <w:p w14:paraId="5A7BDB56">
      <w:pPr>
        <w:ind w:firstLine="480"/>
        <w:rPr>
          <w:color w:val="auto"/>
        </w:rPr>
      </w:pPr>
      <w:r>
        <w:rPr>
          <w:rFonts w:hint="eastAsia"/>
          <w:color w:val="auto"/>
        </w:rPr>
        <w:t>血制品入库报表</w:t>
      </w:r>
    </w:p>
    <w:p w14:paraId="25305181">
      <w:pPr>
        <w:ind w:firstLine="480"/>
        <w:rPr>
          <w:color w:val="auto"/>
        </w:rPr>
      </w:pPr>
      <w:r>
        <w:rPr>
          <w:rFonts w:hint="eastAsia"/>
          <w:color w:val="auto"/>
        </w:rPr>
        <w:t>血制品出库报表</w:t>
      </w:r>
    </w:p>
    <w:p w14:paraId="33923FAB">
      <w:pPr>
        <w:ind w:firstLine="480"/>
        <w:rPr>
          <w:color w:val="auto"/>
        </w:rPr>
      </w:pPr>
      <w:r>
        <w:rPr>
          <w:rFonts w:hint="eastAsia"/>
          <w:color w:val="auto"/>
        </w:rPr>
        <w:t>血制品报废、返回血站统计</w:t>
      </w:r>
    </w:p>
    <w:p w14:paraId="3DE97798">
      <w:pPr>
        <w:ind w:firstLine="480"/>
        <w:rPr>
          <w:color w:val="auto"/>
        </w:rPr>
      </w:pPr>
      <w:r>
        <w:rPr>
          <w:rFonts w:hint="eastAsia"/>
          <w:color w:val="auto"/>
        </w:rPr>
        <w:t>血制品库存日报</w:t>
      </w:r>
    </w:p>
    <w:p w14:paraId="0EE78B1C">
      <w:pPr>
        <w:ind w:firstLine="480"/>
        <w:rPr>
          <w:color w:val="auto"/>
        </w:rPr>
      </w:pPr>
      <w:r>
        <w:rPr>
          <w:rFonts w:hint="eastAsia"/>
          <w:color w:val="auto"/>
        </w:rPr>
        <w:t>血制品按成分出入库统计</w:t>
      </w:r>
    </w:p>
    <w:p w14:paraId="51408253">
      <w:pPr>
        <w:ind w:firstLine="480"/>
        <w:rPr>
          <w:color w:val="auto"/>
        </w:rPr>
      </w:pPr>
      <w:r>
        <w:rPr>
          <w:rFonts w:hint="eastAsia"/>
          <w:color w:val="auto"/>
        </w:rPr>
        <w:t>血制品出库汇总</w:t>
      </w:r>
    </w:p>
    <w:p w14:paraId="33A9FD45">
      <w:pPr>
        <w:ind w:firstLine="480"/>
        <w:rPr>
          <w:color w:val="auto"/>
        </w:rPr>
      </w:pPr>
      <w:r>
        <w:rPr>
          <w:rFonts w:hint="eastAsia"/>
          <w:color w:val="auto"/>
        </w:rPr>
        <w:t>病人用血量统计</w:t>
      </w:r>
    </w:p>
    <w:p w14:paraId="7C3778FE">
      <w:pPr>
        <w:ind w:firstLine="480"/>
        <w:rPr>
          <w:color w:val="auto"/>
        </w:rPr>
      </w:pPr>
      <w:r>
        <w:rPr>
          <w:rFonts w:hint="eastAsia"/>
          <w:color w:val="auto"/>
        </w:rPr>
        <w:t>科室、医师用血情况查询</w:t>
      </w:r>
    </w:p>
    <w:p w14:paraId="13FC0F6B">
      <w:pPr>
        <w:ind w:firstLine="480"/>
        <w:rPr>
          <w:color w:val="auto"/>
        </w:rPr>
      </w:pPr>
      <w:r>
        <w:rPr>
          <w:rFonts w:hint="eastAsia"/>
          <w:color w:val="auto"/>
        </w:rPr>
        <w:t>科室用血情况明细统计</w:t>
      </w:r>
    </w:p>
    <w:p w14:paraId="36BF1F3A">
      <w:pPr>
        <w:ind w:firstLine="480"/>
        <w:rPr>
          <w:color w:val="auto"/>
        </w:rPr>
      </w:pPr>
      <w:r>
        <w:rPr>
          <w:rFonts w:hint="eastAsia"/>
          <w:color w:val="auto"/>
        </w:rPr>
        <w:t>用血人次与用血量统计</w:t>
      </w:r>
    </w:p>
    <w:p w14:paraId="36248568">
      <w:pPr>
        <w:ind w:firstLine="480"/>
        <w:rPr>
          <w:color w:val="auto"/>
        </w:rPr>
      </w:pPr>
      <w:r>
        <w:rPr>
          <w:rFonts w:hint="eastAsia"/>
          <w:color w:val="auto"/>
        </w:rPr>
        <w:t>用血量统计月度汇总</w:t>
      </w:r>
    </w:p>
    <w:p w14:paraId="3930ECB4">
      <w:pPr>
        <w:ind w:firstLine="480"/>
        <w:rPr>
          <w:color w:val="auto"/>
        </w:rPr>
      </w:pPr>
      <w:r>
        <w:rPr>
          <w:rFonts w:hint="eastAsia"/>
          <w:color w:val="auto"/>
        </w:rPr>
        <w:t>血袋回收销毁统计</w:t>
      </w:r>
    </w:p>
    <w:p w14:paraId="2D893E7B">
      <w:pPr>
        <w:ind w:firstLine="480"/>
        <w:rPr>
          <w:color w:val="auto"/>
        </w:rPr>
      </w:pPr>
      <w:r>
        <w:rPr>
          <w:rFonts w:hint="eastAsia"/>
          <w:color w:val="auto"/>
        </w:rPr>
        <w:t>成分血临床使用率统计</w:t>
      </w:r>
    </w:p>
    <w:p w14:paraId="70793B63">
      <w:pPr>
        <w:ind w:firstLine="480"/>
        <w:rPr>
          <w:color w:val="auto"/>
        </w:rPr>
      </w:pPr>
      <w:r>
        <w:rPr>
          <w:rFonts w:hint="eastAsia"/>
          <w:color w:val="auto"/>
        </w:rPr>
        <w:t>自体输血统计</w:t>
      </w:r>
    </w:p>
    <w:p w14:paraId="205E7F8B">
      <w:pPr>
        <w:ind w:firstLine="480"/>
        <w:rPr>
          <w:color w:val="auto"/>
        </w:rPr>
      </w:pPr>
      <w:r>
        <w:rPr>
          <w:rFonts w:hint="eastAsia"/>
          <w:color w:val="auto"/>
        </w:rPr>
        <w:t>按成分统计用血人次</w:t>
      </w:r>
    </w:p>
    <w:p w14:paraId="4430B06F">
      <w:pPr>
        <w:ind w:firstLine="480"/>
        <w:rPr>
          <w:color w:val="auto"/>
        </w:rPr>
      </w:pPr>
      <w:r>
        <w:rPr>
          <w:rFonts w:hint="eastAsia"/>
          <w:color w:val="auto"/>
        </w:rPr>
        <w:t>配血工作量统计</w:t>
      </w:r>
    </w:p>
    <w:p w14:paraId="6A36E1D3">
      <w:pPr>
        <w:ind w:firstLine="480"/>
        <w:rPr>
          <w:color w:val="auto"/>
        </w:rPr>
      </w:pPr>
      <w:r>
        <w:rPr>
          <w:rFonts w:hint="eastAsia"/>
          <w:color w:val="auto"/>
        </w:rPr>
        <w:t>交接班管理</w:t>
      </w:r>
    </w:p>
    <w:p w14:paraId="51606DE3">
      <w:pPr>
        <w:pStyle w:val="14"/>
        <w:bidi w:val="0"/>
        <w:rPr>
          <w:color w:val="auto"/>
        </w:rPr>
      </w:pPr>
      <w:r>
        <w:rPr>
          <w:rFonts w:hint="eastAsia"/>
          <w:color w:val="auto"/>
          <w:lang w:val="en-US" w:eastAsia="zh-CN"/>
        </w:rPr>
        <w:t xml:space="preserve"> </w:t>
      </w:r>
      <w:r>
        <w:rPr>
          <w:rFonts w:hint="eastAsia"/>
          <w:color w:val="auto"/>
        </w:rPr>
        <w:t>通用治疗管理系统</w:t>
      </w:r>
    </w:p>
    <w:p w14:paraId="47260822">
      <w:pPr>
        <w:bidi w:val="0"/>
        <w:rPr>
          <w:color w:val="auto"/>
        </w:rPr>
      </w:pPr>
      <w:r>
        <w:rPr>
          <w:color w:val="auto"/>
        </w:rPr>
        <w:t>整合放疗、化疗、康复及高压氧等治疗模块，支持从预约、方案制定到疗效评估的全周期管理，通过智能提示、质控分析和设备联动优化治疗流程，实现多学科治疗数据的标准化与协同化，提升医疗服务质量和运营效率。</w:t>
      </w:r>
    </w:p>
    <w:p w14:paraId="3603FBC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04E556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放疗信息管理</w:t>
      </w:r>
    </w:p>
    <w:p w14:paraId="25F0AA92">
      <w:pPr>
        <w:ind w:firstLine="480"/>
        <w:rPr>
          <w:rFonts w:cs="仿宋"/>
          <w:color w:val="auto"/>
        </w:rPr>
      </w:pPr>
      <w:r>
        <w:rPr>
          <w:rFonts w:hint="eastAsia" w:cs="仿宋"/>
          <w:color w:val="auto"/>
        </w:rPr>
        <w:t>（1）预约登记</w:t>
      </w:r>
    </w:p>
    <w:p w14:paraId="262FC8AF">
      <w:pPr>
        <w:ind w:firstLine="480"/>
        <w:rPr>
          <w:rFonts w:cs="仿宋"/>
          <w:color w:val="auto"/>
        </w:rPr>
      </w:pPr>
      <w:r>
        <w:rPr>
          <w:rFonts w:hint="eastAsia" w:cs="仿宋"/>
          <w:color w:val="auto"/>
        </w:rPr>
        <w:t>支持患者基本信息、放疗申请单、患者病历等信息的获取功能,根据患者情况和放疗计划安排为患者进行放疗预约，包括预约时间和预约医生。</w:t>
      </w:r>
    </w:p>
    <w:p w14:paraId="20FA793D">
      <w:pPr>
        <w:ind w:firstLine="480"/>
        <w:rPr>
          <w:rFonts w:cs="仿宋"/>
          <w:color w:val="auto"/>
        </w:rPr>
      </w:pPr>
      <w:r>
        <w:rPr>
          <w:rFonts w:hint="eastAsia" w:cs="仿宋"/>
          <w:color w:val="auto"/>
        </w:rPr>
        <w:t>（2）制订治疗方案和放疗计划</w:t>
      </w:r>
    </w:p>
    <w:p w14:paraId="5D8A42A2">
      <w:pPr>
        <w:ind w:firstLine="480"/>
        <w:rPr>
          <w:rFonts w:cs="仿宋"/>
          <w:color w:val="auto"/>
        </w:rPr>
      </w:pPr>
      <w:r>
        <w:rPr>
          <w:rFonts w:hint="eastAsia" w:cs="仿宋"/>
          <w:color w:val="auto"/>
        </w:rPr>
        <w:t>根据患者的病历、检杳结果、历史放疗记录、患者各项评估、实时生命体征和医嘱等信息,制订针对患者的放疗治疗方案。</w:t>
      </w:r>
    </w:p>
    <w:p w14:paraId="5ADAF1CA">
      <w:pPr>
        <w:ind w:firstLine="480"/>
        <w:rPr>
          <w:rFonts w:cs="仿宋"/>
          <w:color w:val="auto"/>
        </w:rPr>
      </w:pPr>
      <w:r>
        <w:rPr>
          <w:rFonts w:hint="eastAsia" w:cs="仿宋"/>
          <w:color w:val="auto"/>
        </w:rPr>
        <w:t>（3）病历（含CT 影像）调阅</w:t>
      </w:r>
    </w:p>
    <w:p w14:paraId="43B3C7FC">
      <w:pPr>
        <w:ind w:firstLine="480"/>
        <w:rPr>
          <w:rFonts w:cs="仿宋"/>
          <w:color w:val="auto"/>
        </w:rPr>
      </w:pPr>
      <w:r>
        <w:rPr>
          <w:rFonts w:hint="eastAsia" w:cs="仿宋"/>
          <w:color w:val="auto"/>
        </w:rPr>
        <w:t>提供病历调阅功能,医生能随时查看患者的所有门诊、住院病历。提供CT影像调阅,医生能随时调阅患者的历史CT影像。</w:t>
      </w:r>
    </w:p>
    <w:p w14:paraId="22F11C43">
      <w:pPr>
        <w:ind w:firstLine="480"/>
        <w:rPr>
          <w:rFonts w:cs="仿宋"/>
          <w:color w:val="auto"/>
        </w:rPr>
      </w:pPr>
      <w:r>
        <w:rPr>
          <w:rFonts w:hint="eastAsia" w:cs="仿宋"/>
          <w:color w:val="auto"/>
        </w:rPr>
        <w:t>（4）靶区结构勾画</w:t>
      </w:r>
    </w:p>
    <w:p w14:paraId="3C5AED8F">
      <w:pPr>
        <w:ind w:firstLine="480"/>
        <w:rPr>
          <w:rFonts w:cs="仿宋"/>
          <w:color w:val="auto"/>
        </w:rPr>
      </w:pPr>
      <w:r>
        <w:rPr>
          <w:rFonts w:hint="eastAsia" w:cs="仿宋"/>
          <w:color w:val="auto"/>
        </w:rPr>
        <w:t>医生可根据患者的病情,随时调阅患者的CT影像,并可在CT影像上进行精准的靶区结构勾画。</w:t>
      </w:r>
    </w:p>
    <w:p w14:paraId="3C29EAF6">
      <w:pPr>
        <w:ind w:firstLine="480"/>
        <w:rPr>
          <w:rFonts w:cs="仿宋"/>
          <w:color w:val="auto"/>
        </w:rPr>
      </w:pPr>
      <w:r>
        <w:rPr>
          <w:rFonts w:hint="eastAsia" w:cs="仿宋"/>
          <w:color w:val="auto"/>
        </w:rPr>
        <w:t>（5）生物计量评估</w:t>
      </w:r>
    </w:p>
    <w:p w14:paraId="2222F091">
      <w:pPr>
        <w:ind w:firstLine="480"/>
        <w:rPr>
          <w:rFonts w:cs="仿宋"/>
          <w:color w:val="auto"/>
        </w:rPr>
      </w:pPr>
      <w:r>
        <w:rPr>
          <w:rFonts w:hint="eastAsia" w:cs="仿宋"/>
          <w:color w:val="auto"/>
        </w:rPr>
        <w:t>提供生物计量结果记录功能,为放疗治疗患者进行生物计量检查记录,为医生调整下一步的治疗方案提供辅助依据。</w:t>
      </w:r>
    </w:p>
    <w:p w14:paraId="750B154A">
      <w:pPr>
        <w:ind w:firstLine="480"/>
        <w:rPr>
          <w:rFonts w:cs="仿宋"/>
          <w:color w:val="auto"/>
        </w:rPr>
      </w:pPr>
      <w:r>
        <w:rPr>
          <w:rFonts w:hint="eastAsia" w:cs="仿宋"/>
          <w:color w:val="auto"/>
        </w:rPr>
        <w:t>（6）设备管理</w:t>
      </w:r>
    </w:p>
    <w:p w14:paraId="4D50D7FE">
      <w:pPr>
        <w:ind w:firstLine="480"/>
        <w:rPr>
          <w:rFonts w:cs="仿宋"/>
          <w:color w:val="auto"/>
        </w:rPr>
      </w:pPr>
      <w:r>
        <w:rPr>
          <w:rFonts w:hint="eastAsia" w:cs="仿宋"/>
          <w:color w:val="auto"/>
        </w:rPr>
        <w:t>对放疗设备的运行情况、维护情况进行记录,并可提供监控功能。</w:t>
      </w:r>
    </w:p>
    <w:p w14:paraId="681AD78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化疗信息管理</w:t>
      </w:r>
    </w:p>
    <w:p w14:paraId="211C6A10">
      <w:pPr>
        <w:ind w:firstLine="480"/>
        <w:rPr>
          <w:rFonts w:cs="仿宋"/>
          <w:color w:val="auto"/>
        </w:rPr>
      </w:pPr>
      <w:r>
        <w:rPr>
          <w:rFonts w:hint="eastAsia" w:cs="仿宋"/>
          <w:color w:val="auto"/>
        </w:rPr>
        <w:t>（1）患者预约登记管理</w:t>
      </w:r>
    </w:p>
    <w:p w14:paraId="6C8D8EAB">
      <w:pPr>
        <w:ind w:firstLine="480"/>
        <w:rPr>
          <w:rFonts w:cs="仿宋"/>
          <w:color w:val="auto"/>
        </w:rPr>
      </w:pPr>
      <w:r>
        <w:rPr>
          <w:rFonts w:hint="eastAsia" w:cs="仿宋"/>
          <w:color w:val="auto"/>
        </w:rPr>
        <w:t>提供化疗的患者登记功能、获取患者基本信息和诊断信息、补充化疗需要的关键信息并保存。提供化疗的预约功能,可通过多种方式为患者提供预约结果。</w:t>
      </w:r>
    </w:p>
    <w:p w14:paraId="4AAA1109">
      <w:pPr>
        <w:ind w:firstLine="480"/>
        <w:rPr>
          <w:rFonts w:cs="仿宋"/>
          <w:color w:val="auto"/>
        </w:rPr>
      </w:pPr>
      <w:r>
        <w:rPr>
          <w:rFonts w:hint="eastAsia" w:cs="仿宋"/>
          <w:color w:val="auto"/>
        </w:rPr>
        <w:t>（2）化疗计量方案制订</w:t>
      </w:r>
    </w:p>
    <w:p w14:paraId="01D3FCC3">
      <w:pPr>
        <w:ind w:firstLine="480"/>
        <w:rPr>
          <w:rFonts w:cs="仿宋"/>
          <w:color w:val="auto"/>
        </w:rPr>
      </w:pPr>
      <w:r>
        <w:rPr>
          <w:rFonts w:hint="eastAsia" w:cs="仿宋"/>
          <w:color w:val="auto"/>
        </w:rPr>
        <w:t>支持查看患者的所有门诊、住院病历、历史医嘱、处方等，并可根据患者的病历、检查结果、历史化疗记录、患者各项评估等信息,为患者制订化疗计量方案。</w:t>
      </w:r>
    </w:p>
    <w:p w14:paraId="41F01712">
      <w:pPr>
        <w:ind w:firstLine="480"/>
        <w:rPr>
          <w:rFonts w:cs="仿宋"/>
          <w:color w:val="auto"/>
        </w:rPr>
      </w:pPr>
      <w:r>
        <w:rPr>
          <w:rFonts w:hint="eastAsia" w:cs="仿宋"/>
          <w:color w:val="auto"/>
        </w:rPr>
        <w:t>（3）化疗输液管理</w:t>
      </w:r>
    </w:p>
    <w:p w14:paraId="2D3D60A1">
      <w:pPr>
        <w:ind w:firstLine="480"/>
        <w:rPr>
          <w:rFonts w:cs="仿宋"/>
          <w:color w:val="auto"/>
        </w:rPr>
      </w:pPr>
      <w:r>
        <w:rPr>
          <w:rFonts w:hint="eastAsia" w:cs="仿宋"/>
          <w:color w:val="auto"/>
        </w:rPr>
        <w:t>支持化疗过程中对患者的实时监控,可对患者进行全程化的输液信息监控管理。</w:t>
      </w:r>
    </w:p>
    <w:p w14:paraId="13416C06">
      <w:pPr>
        <w:ind w:firstLine="480"/>
        <w:rPr>
          <w:rFonts w:cs="仿宋"/>
          <w:color w:val="auto"/>
        </w:rPr>
      </w:pPr>
      <w:r>
        <w:rPr>
          <w:rFonts w:hint="eastAsia" w:cs="仿宋"/>
          <w:color w:val="auto"/>
        </w:rPr>
        <w:t>（4）分次化疗前评估</w:t>
      </w:r>
    </w:p>
    <w:p w14:paraId="41ED5E99">
      <w:pPr>
        <w:ind w:firstLine="480"/>
        <w:rPr>
          <w:rFonts w:cs="仿宋"/>
          <w:color w:val="auto"/>
        </w:rPr>
      </w:pPr>
      <w:r>
        <w:rPr>
          <w:rFonts w:hint="eastAsia" w:cs="仿宋"/>
          <w:color w:val="auto"/>
        </w:rPr>
        <w:t>可根据患者的病情，进行TNM分期、ECOG 评分、KPS评分和调整药物剂量。</w:t>
      </w:r>
    </w:p>
    <w:p w14:paraId="26416C47">
      <w:pPr>
        <w:ind w:firstLine="480"/>
        <w:rPr>
          <w:rFonts w:cs="仿宋"/>
          <w:color w:val="auto"/>
        </w:rPr>
      </w:pPr>
      <w:r>
        <w:rPr>
          <w:rFonts w:hint="eastAsia" w:cs="仿宋"/>
          <w:color w:val="auto"/>
        </w:rPr>
        <w:t>（5）化疗疗程结果评估</w:t>
      </w:r>
    </w:p>
    <w:p w14:paraId="6C3E49E3">
      <w:pPr>
        <w:ind w:firstLine="480"/>
        <w:rPr>
          <w:rFonts w:cs="仿宋"/>
          <w:color w:val="auto"/>
        </w:rPr>
      </w:pPr>
      <w:r>
        <w:rPr>
          <w:rFonts w:hint="eastAsia" w:cs="仿宋"/>
          <w:color w:val="auto"/>
        </w:rPr>
        <w:t>可对患者该阶段的化疗治疗效果进行评估,记录患者化疗结果数据,保存患者本阶段化疗治疗的评估结果，用以优化治疗方案。</w:t>
      </w:r>
    </w:p>
    <w:p w14:paraId="3C94D76E">
      <w:pPr>
        <w:ind w:firstLine="480"/>
        <w:rPr>
          <w:color w:val="auto"/>
        </w:rPr>
      </w:pPr>
      <w:r>
        <w:rPr>
          <w:rFonts w:hint="eastAsia"/>
          <w:color w:val="auto"/>
        </w:rPr>
        <w:t>（6）质量控制和统计分析</w:t>
      </w:r>
    </w:p>
    <w:p w14:paraId="59C34067">
      <w:pPr>
        <w:ind w:firstLine="480"/>
        <w:rPr>
          <w:color w:val="auto"/>
        </w:rPr>
      </w:pPr>
      <w:r>
        <w:rPr>
          <w:rFonts w:hint="eastAsia"/>
          <w:color w:val="auto"/>
        </w:rPr>
        <w:t>可通过对患者的化疗治疗结果分析,评估全组或整个医院的化疗治疗质量和水平。可为医院提高治疗质量，制定整改措施提供数据支持，可根据不同的查询条件灵活地查询化疗数据，并对数据进行分析。</w:t>
      </w:r>
    </w:p>
    <w:p w14:paraId="7DFC3FED">
      <w:pPr>
        <w:pStyle w:val="341"/>
        <w:spacing w:beforeLines="0"/>
        <w:ind w:firstLine="482"/>
        <w:rPr>
          <w:rFonts w:hint="eastAsia" w:ascii="宋体" w:hAnsi="宋体"/>
          <w:color w:val="auto"/>
          <w:sz w:val="24"/>
          <w:szCs w:val="24"/>
        </w:rPr>
      </w:pPr>
      <w:r>
        <w:rPr>
          <w:rFonts w:hint="eastAsia" w:ascii="宋体" w:hAnsi="宋体" w:cs="仿宋"/>
          <w:b/>
          <w:bCs/>
          <w:color w:val="auto"/>
          <w:sz w:val="24"/>
          <w:szCs w:val="24"/>
        </w:rPr>
        <w:t>康复信息管理</w:t>
      </w:r>
    </w:p>
    <w:p w14:paraId="3155ABD6">
      <w:pPr>
        <w:pStyle w:val="341"/>
        <w:spacing w:beforeLines="0"/>
        <w:ind w:firstLine="480"/>
        <w:rPr>
          <w:rFonts w:hint="eastAsia" w:ascii="宋体" w:hAnsi="宋体"/>
          <w:color w:val="auto"/>
          <w:sz w:val="24"/>
          <w:szCs w:val="24"/>
        </w:rPr>
      </w:pPr>
      <w:r>
        <w:rPr>
          <w:rFonts w:hint="eastAsia"/>
          <w:color w:val="auto"/>
          <w:sz w:val="24"/>
          <w:szCs w:val="24"/>
        </w:rPr>
        <w:t>（</w:t>
      </w:r>
      <w:r>
        <w:rPr>
          <w:rFonts w:hint="eastAsia" w:ascii="宋体" w:hAnsi="宋体"/>
          <w:color w:val="auto"/>
          <w:sz w:val="24"/>
          <w:szCs w:val="24"/>
        </w:rPr>
        <w:t>1）支持添加、删除、修改用户，根据用户职责、权限给各个用户定义一个系统角色，并为各角色进行授权管理，级别越高，权限越大;用户凭电子密匙登录系统，按角色屏蔽（开放</w:t>
      </w:r>
      <w:r>
        <w:rPr>
          <w:rFonts w:hint="eastAsia"/>
          <w:color w:val="auto"/>
          <w:sz w:val="24"/>
          <w:szCs w:val="24"/>
        </w:rPr>
        <w:t>）</w:t>
      </w:r>
      <w:r>
        <w:rPr>
          <w:rFonts w:hint="eastAsia" w:ascii="宋体" w:hAnsi="宋体"/>
          <w:color w:val="auto"/>
          <w:sz w:val="24"/>
          <w:szCs w:val="24"/>
        </w:rPr>
        <w:t>系统功能。</w:t>
      </w:r>
    </w:p>
    <w:p w14:paraId="5A0E1A16">
      <w:pPr>
        <w:pStyle w:val="341"/>
        <w:spacing w:beforeLines="0"/>
        <w:ind w:firstLine="480"/>
        <w:rPr>
          <w:rFonts w:hint="eastAsia" w:ascii="宋体" w:hAnsi="宋体"/>
          <w:color w:val="auto"/>
          <w:sz w:val="24"/>
          <w:szCs w:val="24"/>
        </w:rPr>
      </w:pPr>
      <w:r>
        <w:rPr>
          <w:rFonts w:hint="eastAsia" w:ascii="宋体" w:hAnsi="宋体"/>
          <w:color w:val="auto"/>
          <w:sz w:val="24"/>
          <w:szCs w:val="24"/>
        </w:rPr>
        <w:t>（</w:t>
      </w:r>
      <w:r>
        <w:rPr>
          <w:rFonts w:ascii="宋体" w:hAnsi="宋体"/>
          <w:color w:val="auto"/>
          <w:sz w:val="24"/>
          <w:szCs w:val="24"/>
        </w:rPr>
        <w:t>2）</w:t>
      </w:r>
      <w:r>
        <w:rPr>
          <w:rFonts w:hint="eastAsia" w:ascii="宋体" w:hAnsi="宋体"/>
          <w:color w:val="auto"/>
          <w:sz w:val="24"/>
          <w:szCs w:val="24"/>
        </w:rPr>
        <w:t>支持与医嘱系统数据集成，定时（初定10min</w:t>
      </w:r>
      <w:r>
        <w:rPr>
          <w:rFonts w:hint="eastAsia"/>
          <w:color w:val="auto"/>
          <w:sz w:val="24"/>
          <w:szCs w:val="24"/>
        </w:rPr>
        <w:t>）</w:t>
      </w:r>
      <w:r>
        <w:rPr>
          <w:rFonts w:hint="eastAsia" w:ascii="宋体" w:hAnsi="宋体"/>
          <w:color w:val="auto"/>
          <w:sz w:val="24"/>
          <w:szCs w:val="24"/>
        </w:rPr>
        <w:t>从医嘱系统中间表中读取康复治疗/评估任务信息，并形成治疗/评估计划，记录到本系统中。</w:t>
      </w:r>
    </w:p>
    <w:p w14:paraId="43B1F032">
      <w:pPr>
        <w:pStyle w:val="341"/>
        <w:spacing w:beforeLines="0"/>
        <w:ind w:firstLine="480"/>
        <w:rPr>
          <w:rFonts w:hint="eastAsia" w:ascii="宋体" w:hAnsi="宋体"/>
          <w:color w:val="auto"/>
          <w:sz w:val="24"/>
          <w:szCs w:val="24"/>
        </w:rPr>
      </w:pPr>
      <w:r>
        <w:rPr>
          <w:rFonts w:hint="eastAsia" w:ascii="宋体" w:hAnsi="宋体"/>
          <w:color w:val="auto"/>
          <w:sz w:val="24"/>
          <w:szCs w:val="24"/>
        </w:rPr>
        <w:t>（3）支持通过查询条件查看当前治疗任务，以列表形式展示当前已完成/未完成的治疗任务，用不同颜色区别;针对当前的治疗任务，调用系统定义的治疗方法知识库，系统能自动提示相关治疗的适应症、禁忌症、使用仪器、操作规范等;治疗师根据治疗情况书写治疗记录，书写方式可以调用事先所定义模板或者自由文本录入，记录内容为患者治疗一般情况和所使用的设备;治疗师可以查看当前患者的历史治疗记录及评估表格，以便了解病人病情动态发展。</w:t>
      </w:r>
    </w:p>
    <w:p w14:paraId="23F50EBC">
      <w:pPr>
        <w:pStyle w:val="341"/>
        <w:spacing w:beforeLines="0"/>
        <w:ind w:firstLine="480"/>
        <w:rPr>
          <w:rFonts w:hint="eastAsia" w:ascii="宋体" w:hAnsi="宋体"/>
          <w:color w:val="auto"/>
          <w:sz w:val="24"/>
          <w:szCs w:val="24"/>
        </w:rPr>
      </w:pPr>
      <w:r>
        <w:rPr>
          <w:rFonts w:hint="eastAsia" w:ascii="宋体" w:hAnsi="宋体"/>
          <w:color w:val="auto"/>
          <w:sz w:val="24"/>
          <w:szCs w:val="24"/>
        </w:rPr>
        <w:t>（</w:t>
      </w:r>
      <w:r>
        <w:rPr>
          <w:rFonts w:ascii="宋体" w:hAnsi="宋体"/>
          <w:color w:val="auto"/>
          <w:sz w:val="24"/>
          <w:szCs w:val="24"/>
        </w:rPr>
        <w:t>4）支持</w:t>
      </w:r>
      <w:r>
        <w:rPr>
          <w:rFonts w:hint="eastAsia" w:ascii="宋体" w:hAnsi="宋体"/>
          <w:color w:val="auto"/>
          <w:sz w:val="24"/>
          <w:szCs w:val="24"/>
        </w:rPr>
        <w:t>在病人进行康复医疗治疗的前期、中期及后期，医生需要对其开展各项功能评定，此模块主要用于病人治疗情况评定。首先以列表提示尚未完成的评估任务，也可通过一系列的查询条件筛选任务;接着在做评定时系统针对当前的评估项目，提供辅助评估的标准、注意事项;然后以选择题的形式供医生勾选录入评估表，评估表由系统后台自定义的数据字典提供，确保评估表统一、标准;最后该模块还展示当前病人的评定历史及评定结果。</w:t>
      </w:r>
    </w:p>
    <w:p w14:paraId="32E8E4CD">
      <w:pPr>
        <w:pStyle w:val="341"/>
        <w:spacing w:beforeLines="0"/>
        <w:ind w:firstLine="480"/>
        <w:rPr>
          <w:rFonts w:hint="eastAsia" w:ascii="宋体" w:hAnsi="宋体"/>
          <w:color w:val="auto"/>
          <w:sz w:val="24"/>
          <w:szCs w:val="24"/>
        </w:rPr>
      </w:pPr>
      <w:r>
        <w:rPr>
          <w:rFonts w:hint="eastAsia" w:ascii="宋体" w:hAnsi="宋体"/>
          <w:color w:val="auto"/>
          <w:sz w:val="24"/>
          <w:szCs w:val="24"/>
        </w:rPr>
        <w:t>（</w:t>
      </w:r>
      <w:r>
        <w:rPr>
          <w:rFonts w:ascii="宋体" w:hAnsi="宋体"/>
          <w:color w:val="auto"/>
          <w:sz w:val="24"/>
          <w:szCs w:val="24"/>
        </w:rPr>
        <w:t>5）支持</w:t>
      </w:r>
      <w:r>
        <w:rPr>
          <w:rFonts w:hint="eastAsia" w:ascii="宋体" w:hAnsi="宋体"/>
          <w:color w:val="auto"/>
          <w:sz w:val="24"/>
          <w:szCs w:val="24"/>
        </w:rPr>
        <w:t>将所有康复治疗项目由医嘱系统导入，使治疗师能清楚看到所有当日的治疗项目，康复治疗完成后，经治疗师和病人共同确认收费，如未完成或拒绝治疗不产生费用。</w:t>
      </w:r>
    </w:p>
    <w:p w14:paraId="4C6994FD">
      <w:pPr>
        <w:pStyle w:val="341"/>
        <w:spacing w:beforeLines="0"/>
        <w:ind w:firstLine="480"/>
        <w:rPr>
          <w:rFonts w:hint="eastAsia" w:ascii="宋体" w:hAnsi="宋体"/>
          <w:color w:val="auto"/>
          <w:sz w:val="24"/>
          <w:szCs w:val="24"/>
        </w:rPr>
      </w:pPr>
      <w:r>
        <w:rPr>
          <w:rFonts w:hint="eastAsia" w:ascii="宋体" w:hAnsi="宋体"/>
          <w:color w:val="auto"/>
          <w:sz w:val="24"/>
          <w:szCs w:val="24"/>
        </w:rPr>
        <w:t>（</w:t>
      </w:r>
      <w:r>
        <w:rPr>
          <w:rFonts w:ascii="宋体" w:hAnsi="宋体"/>
          <w:color w:val="auto"/>
          <w:sz w:val="24"/>
          <w:szCs w:val="24"/>
        </w:rPr>
        <w:t>6）支持</w:t>
      </w:r>
      <w:r>
        <w:rPr>
          <w:rFonts w:hint="eastAsia" w:ascii="宋体" w:hAnsi="宋体"/>
          <w:color w:val="auto"/>
          <w:sz w:val="24"/>
          <w:szCs w:val="24"/>
        </w:rPr>
        <w:t>针对当前的治疗/评定计划，系统知识库提供智能辅助，系统能自动提示相关治疗的适应症、禁忌症、使用仪器、操作规范等，不仅规范治疗/评定处理流程，还有助于辅助年轻治疗师学习。如果治疗/评定计划没有在指定时间内完成，系统给出红色警报提示，直至处理完毕;如果在指定时间</w:t>
      </w:r>
      <w:r>
        <w:rPr>
          <w:rFonts w:hint="eastAsia"/>
          <w:color w:val="auto"/>
          <w:sz w:val="24"/>
          <w:szCs w:val="24"/>
        </w:rPr>
        <w:t>（</w:t>
      </w:r>
      <w:r>
        <w:rPr>
          <w:rFonts w:hint="eastAsia" w:ascii="宋体" w:hAnsi="宋体"/>
          <w:color w:val="auto"/>
          <w:sz w:val="24"/>
          <w:szCs w:val="24"/>
        </w:rPr>
        <w:t>30天后</w:t>
      </w:r>
      <w:r>
        <w:rPr>
          <w:rFonts w:hint="eastAsia"/>
          <w:color w:val="auto"/>
          <w:sz w:val="24"/>
          <w:szCs w:val="24"/>
        </w:rPr>
        <w:t>）</w:t>
      </w:r>
      <w:r>
        <w:rPr>
          <w:rFonts w:hint="eastAsia" w:ascii="宋体" w:hAnsi="宋体"/>
          <w:color w:val="auto"/>
          <w:sz w:val="24"/>
          <w:szCs w:val="24"/>
        </w:rPr>
        <w:t>医生没再开治疗/评定医嘱，系统也会给出提示。</w:t>
      </w:r>
    </w:p>
    <w:p w14:paraId="2602B80B">
      <w:pPr>
        <w:pStyle w:val="341"/>
        <w:spacing w:beforeLines="0"/>
        <w:ind w:firstLine="480"/>
        <w:rPr>
          <w:rFonts w:hint="eastAsia" w:ascii="宋体" w:hAnsi="宋体"/>
          <w:color w:val="auto"/>
          <w:sz w:val="24"/>
          <w:szCs w:val="24"/>
        </w:rPr>
      </w:pPr>
      <w:r>
        <w:rPr>
          <w:rFonts w:hint="eastAsia" w:ascii="宋体" w:hAnsi="宋体"/>
          <w:color w:val="auto"/>
          <w:sz w:val="24"/>
          <w:szCs w:val="24"/>
        </w:rPr>
        <w:t>（</w:t>
      </w:r>
      <w:r>
        <w:rPr>
          <w:rFonts w:ascii="宋体" w:hAnsi="宋体"/>
          <w:color w:val="auto"/>
          <w:sz w:val="24"/>
          <w:szCs w:val="24"/>
        </w:rPr>
        <w:t>7）支持</w:t>
      </w:r>
      <w:r>
        <w:rPr>
          <w:rFonts w:hint="eastAsia" w:ascii="宋体" w:hAnsi="宋体"/>
          <w:color w:val="auto"/>
          <w:sz w:val="24"/>
          <w:szCs w:val="24"/>
        </w:rPr>
        <w:t>让科主任能随时了解整个治疗情况:</w:t>
      </w:r>
      <w:r>
        <w:rPr>
          <w:rFonts w:hint="eastAsia"/>
          <w:color w:val="auto"/>
          <w:sz w:val="24"/>
          <w:szCs w:val="24"/>
        </w:rPr>
        <w:t>（</w:t>
      </w:r>
      <w:r>
        <w:rPr>
          <w:rFonts w:hint="eastAsia" w:ascii="宋体" w:hAnsi="宋体"/>
          <w:color w:val="auto"/>
          <w:sz w:val="24"/>
          <w:szCs w:val="24"/>
        </w:rPr>
        <w:t>1）设备使用情况，包括治疗设备的去向、归属，不同种类的治疗仪器使用频率。</w:t>
      </w:r>
      <w:r>
        <w:rPr>
          <w:rFonts w:hint="eastAsia"/>
          <w:color w:val="auto"/>
          <w:sz w:val="24"/>
          <w:szCs w:val="24"/>
        </w:rPr>
        <w:t>（</w:t>
      </w:r>
      <w:r>
        <w:rPr>
          <w:rFonts w:hint="eastAsia" w:ascii="宋体" w:hAnsi="宋体"/>
          <w:color w:val="auto"/>
          <w:sz w:val="24"/>
          <w:szCs w:val="24"/>
        </w:rPr>
        <w:t>2）治疗师工作量。</w:t>
      </w:r>
    </w:p>
    <w:p w14:paraId="3AF8343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放射介入信息管理</w:t>
      </w:r>
    </w:p>
    <w:p w14:paraId="6D2DB0B1">
      <w:pPr>
        <w:pStyle w:val="94"/>
        <w:numPr>
          <w:ilvl w:val="0"/>
          <w:numId w:val="101"/>
        </w:numPr>
        <w:snapToGrid w:val="0"/>
        <w:ind w:firstLine="480"/>
        <w:rPr>
          <w:color w:val="auto"/>
          <w:sz w:val="24"/>
        </w:rPr>
      </w:pPr>
      <w:r>
        <w:rPr>
          <w:rFonts w:hint="eastAsia"/>
          <w:color w:val="auto"/>
          <w:sz w:val="24"/>
        </w:rPr>
        <w:t>支持动态播放DSA动态影像。</w:t>
      </w:r>
    </w:p>
    <w:p w14:paraId="28D5BCB4">
      <w:pPr>
        <w:pStyle w:val="94"/>
        <w:numPr>
          <w:ilvl w:val="0"/>
          <w:numId w:val="101"/>
        </w:numPr>
        <w:snapToGrid w:val="0"/>
        <w:ind w:firstLine="480"/>
        <w:rPr>
          <w:color w:val="auto"/>
          <w:sz w:val="24"/>
        </w:rPr>
      </w:pPr>
      <w:r>
        <w:rPr>
          <w:rFonts w:hint="eastAsia"/>
          <w:color w:val="auto"/>
          <w:sz w:val="24"/>
        </w:rPr>
        <w:t>支持自定义播放速度，暂停、快进等功能。</w:t>
      </w:r>
    </w:p>
    <w:p w14:paraId="0B1D8623">
      <w:pPr>
        <w:pStyle w:val="94"/>
        <w:numPr>
          <w:ilvl w:val="0"/>
          <w:numId w:val="101"/>
        </w:numPr>
        <w:snapToGrid w:val="0"/>
        <w:ind w:firstLine="480"/>
        <w:rPr>
          <w:color w:val="auto"/>
          <w:sz w:val="24"/>
        </w:rPr>
      </w:pPr>
      <w:r>
        <w:rPr>
          <w:rFonts w:hint="eastAsia"/>
          <w:color w:val="auto"/>
          <w:sz w:val="24"/>
        </w:rPr>
        <w:t>支持动态影像循环播放模式，循环播放，往复播放等功能。</w:t>
      </w:r>
    </w:p>
    <w:p w14:paraId="2CB2BCF2">
      <w:pPr>
        <w:pStyle w:val="94"/>
        <w:numPr>
          <w:ilvl w:val="0"/>
          <w:numId w:val="101"/>
        </w:numPr>
        <w:snapToGrid w:val="0"/>
        <w:ind w:firstLine="480"/>
        <w:rPr>
          <w:color w:val="auto"/>
          <w:sz w:val="24"/>
        </w:rPr>
      </w:pPr>
      <w:r>
        <w:rPr>
          <w:rFonts w:hint="eastAsia"/>
          <w:color w:val="auto"/>
          <w:sz w:val="24"/>
        </w:rPr>
        <w:t>支持蒙版功能，自动删减非关键位置影像，突出血管影像。</w:t>
      </w:r>
    </w:p>
    <w:p w14:paraId="2E8F82EF">
      <w:pPr>
        <w:pStyle w:val="94"/>
        <w:numPr>
          <w:ilvl w:val="0"/>
          <w:numId w:val="101"/>
        </w:numPr>
        <w:snapToGrid w:val="0"/>
        <w:ind w:firstLine="480"/>
        <w:rPr>
          <w:color w:val="auto"/>
          <w:sz w:val="24"/>
        </w:rPr>
      </w:pPr>
      <w:r>
        <w:rPr>
          <w:color w:val="auto"/>
          <w:sz w:val="24"/>
        </w:rPr>
        <w:t>支持介入手术相关统计查询功能。</w:t>
      </w:r>
    </w:p>
    <w:p w14:paraId="382B56F2">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高压氧信息管理</w:t>
      </w:r>
    </w:p>
    <w:p w14:paraId="5FDFDA27">
      <w:pPr>
        <w:pStyle w:val="341"/>
        <w:spacing w:beforeLines="0"/>
        <w:ind w:firstLine="480"/>
        <w:rPr>
          <w:rFonts w:hint="eastAsia" w:ascii="宋体" w:hAnsi="宋体"/>
          <w:color w:val="auto"/>
          <w:sz w:val="24"/>
          <w:szCs w:val="24"/>
        </w:rPr>
      </w:pPr>
      <w:bookmarkStart w:id="226" w:name="_Toc153618226"/>
      <w:r>
        <w:rPr>
          <w:rFonts w:hint="eastAsia" w:ascii="宋体" w:hAnsi="宋体"/>
          <w:color w:val="auto"/>
          <w:sz w:val="24"/>
          <w:szCs w:val="24"/>
        </w:rPr>
        <w:t>高压氧质控系统</w:t>
      </w:r>
      <w:bookmarkEnd w:id="226"/>
    </w:p>
    <w:p w14:paraId="483AE176">
      <w:pPr>
        <w:ind w:firstLine="480"/>
        <w:rPr>
          <w:color w:val="auto"/>
        </w:rPr>
      </w:pPr>
      <w:r>
        <w:rPr>
          <w:rFonts w:hint="eastAsia" w:cs="宋体"/>
          <w:color w:val="auto"/>
        </w:rPr>
        <w:t>改变传统的质量控制的工作模式，将质量控制由定性管理向定量管理转变，由经验管理向科学管理转变，并以数据资料为依据，数字化体现科室质量，对科室质量的管理从模糊估算到量化可比，实行对个人、科室、工作绩效考评，使质量管理更加严谨规范，使管理工作变得更加主动有序。</w:t>
      </w:r>
    </w:p>
    <w:p w14:paraId="2C41A00F">
      <w:pPr>
        <w:pStyle w:val="341"/>
        <w:spacing w:beforeLines="0"/>
        <w:ind w:firstLine="480"/>
        <w:rPr>
          <w:rFonts w:hint="eastAsia" w:ascii="宋体" w:hAnsi="宋体"/>
          <w:color w:val="auto"/>
          <w:sz w:val="24"/>
          <w:szCs w:val="24"/>
        </w:rPr>
      </w:pPr>
      <w:bookmarkStart w:id="227" w:name="_Toc153618227"/>
      <w:r>
        <w:rPr>
          <w:rFonts w:hint="eastAsia" w:ascii="宋体" w:hAnsi="宋体"/>
          <w:color w:val="auto"/>
          <w:sz w:val="24"/>
          <w:szCs w:val="24"/>
        </w:rPr>
        <w:t>高压氧白板系统</w:t>
      </w:r>
      <w:bookmarkEnd w:id="227"/>
    </w:p>
    <w:p w14:paraId="79FDEFF9">
      <w:pPr>
        <w:snapToGrid w:val="0"/>
        <w:ind w:firstLine="480"/>
        <w:rPr>
          <w:rFonts w:cs="宋体"/>
          <w:color w:val="auto"/>
        </w:rPr>
      </w:pPr>
      <w:r>
        <w:rPr>
          <w:rFonts w:hint="eastAsia" w:cs="宋体"/>
          <w:color w:val="auto"/>
        </w:rPr>
        <w:t>（1）触控屏操作，可与HIS、pda系统等系统实现有效对接，从his中导入病历，支持病人特殊注记提示;</w:t>
      </w:r>
    </w:p>
    <w:p w14:paraId="5D67571B">
      <w:pPr>
        <w:snapToGrid w:val="0"/>
        <w:ind w:firstLine="480"/>
        <w:rPr>
          <w:rFonts w:cs="宋体"/>
          <w:color w:val="auto"/>
        </w:rPr>
      </w:pPr>
      <w:r>
        <w:rPr>
          <w:rFonts w:hint="eastAsia" w:cs="宋体"/>
          <w:color w:val="auto"/>
        </w:rPr>
        <w:t>（2）可动态显示氧舱预约动态、氧舱运行动态、科室人员排班表、院内科室公告;</w:t>
      </w:r>
    </w:p>
    <w:p w14:paraId="4AE4CD83">
      <w:pPr>
        <w:ind w:firstLine="480"/>
        <w:rPr>
          <w:color w:val="auto"/>
        </w:rPr>
      </w:pPr>
      <w:r>
        <w:rPr>
          <w:rFonts w:hint="eastAsia" w:cs="宋体"/>
          <w:color w:val="auto"/>
        </w:rPr>
        <w:t>（3）预约动态可筛选某个预约日期的氧舱班次的病人动态信息，可实时大屏幕对预约信息一目了然，方便调度预约登记。舱位动态显示当前班次舱位的病人治疗信息。</w:t>
      </w:r>
    </w:p>
    <w:p w14:paraId="614CFDF4">
      <w:pPr>
        <w:pStyle w:val="341"/>
        <w:spacing w:beforeLines="0"/>
        <w:ind w:firstLine="480"/>
        <w:rPr>
          <w:rFonts w:hint="eastAsia" w:ascii="宋体" w:hAnsi="宋体"/>
          <w:color w:val="auto"/>
          <w:sz w:val="24"/>
          <w:szCs w:val="24"/>
        </w:rPr>
      </w:pPr>
      <w:bookmarkStart w:id="228" w:name="_Toc153618228"/>
      <w:r>
        <w:rPr>
          <w:rFonts w:hint="eastAsia" w:ascii="宋体" w:hAnsi="宋体"/>
          <w:color w:val="auto"/>
          <w:sz w:val="24"/>
          <w:szCs w:val="24"/>
        </w:rPr>
        <w:t>高压氧PDA系统</w:t>
      </w:r>
      <w:bookmarkEnd w:id="228"/>
    </w:p>
    <w:p w14:paraId="6B1CEDF9">
      <w:pPr>
        <w:snapToGrid w:val="0"/>
        <w:ind w:firstLine="480"/>
        <w:rPr>
          <w:rFonts w:cs="宋体"/>
          <w:color w:val="auto"/>
        </w:rPr>
      </w:pPr>
      <w:r>
        <w:rPr>
          <w:rFonts w:hint="eastAsia" w:cs="宋体"/>
          <w:color w:val="auto"/>
        </w:rPr>
        <w:t>（1）可以把医嘱执行、过程监控、结果分析、绩效考核进行记录。有利于精细化管理，提高工作质量和服务效率。</w:t>
      </w:r>
    </w:p>
    <w:p w14:paraId="402AC326">
      <w:pPr>
        <w:snapToGrid w:val="0"/>
        <w:ind w:firstLine="480"/>
        <w:rPr>
          <w:rFonts w:cs="宋体"/>
          <w:color w:val="auto"/>
        </w:rPr>
      </w:pPr>
      <w:r>
        <w:rPr>
          <w:rFonts w:hint="eastAsia" w:cs="宋体"/>
          <w:color w:val="auto"/>
        </w:rPr>
        <w:t>（2）实现高压氧治疗精细化管理，如类别细分、预约动态标签、动态详情等。</w:t>
      </w:r>
    </w:p>
    <w:p w14:paraId="33753AB6">
      <w:pPr>
        <w:snapToGrid w:val="0"/>
        <w:ind w:firstLine="480"/>
        <w:rPr>
          <w:rFonts w:cs="宋体"/>
          <w:color w:val="auto"/>
        </w:rPr>
      </w:pPr>
      <w:r>
        <w:rPr>
          <w:rFonts w:hint="eastAsia" w:cs="宋体"/>
          <w:color w:val="auto"/>
        </w:rPr>
        <w:t>（3）提高安全性、提高效率。</w:t>
      </w:r>
    </w:p>
    <w:p w14:paraId="709D178E">
      <w:pPr>
        <w:snapToGrid w:val="0"/>
        <w:ind w:firstLine="480"/>
        <w:rPr>
          <w:rFonts w:cs="宋体"/>
          <w:color w:val="auto"/>
        </w:rPr>
      </w:pPr>
      <w:r>
        <w:rPr>
          <w:rFonts w:hint="eastAsia" w:cs="宋体"/>
          <w:color w:val="auto"/>
        </w:rPr>
        <w:t>（4）实现“无纸化、网络化”办工，及时信息采集更新，避免人工录入信息错误，提高工作效率。</w:t>
      </w:r>
    </w:p>
    <w:p w14:paraId="558325A6">
      <w:pPr>
        <w:snapToGrid w:val="0"/>
        <w:ind w:firstLine="480"/>
        <w:rPr>
          <w:rFonts w:cs="宋体"/>
          <w:color w:val="auto"/>
        </w:rPr>
      </w:pPr>
      <w:r>
        <w:rPr>
          <w:rFonts w:hint="eastAsia" w:cs="宋体"/>
          <w:color w:val="auto"/>
        </w:rPr>
        <w:t>（5）手持平板及PDA，满足医护人员随时了解病患治疗情况，以及各种场景下的应用需求。</w:t>
      </w:r>
    </w:p>
    <w:p w14:paraId="124FFA5A">
      <w:pPr>
        <w:pStyle w:val="341"/>
        <w:spacing w:beforeLines="0"/>
        <w:ind w:firstLine="480"/>
        <w:rPr>
          <w:rFonts w:hint="eastAsia" w:ascii="宋体" w:hAnsi="宋体"/>
          <w:color w:val="auto"/>
          <w:sz w:val="24"/>
          <w:szCs w:val="24"/>
        </w:rPr>
      </w:pPr>
      <w:bookmarkStart w:id="229" w:name="_Toc153618229"/>
      <w:r>
        <w:rPr>
          <w:rFonts w:hint="eastAsia" w:ascii="宋体" w:hAnsi="宋体"/>
          <w:color w:val="auto"/>
          <w:sz w:val="24"/>
          <w:szCs w:val="24"/>
        </w:rPr>
        <w:t>高压氧平板系统</w:t>
      </w:r>
      <w:bookmarkEnd w:id="229"/>
    </w:p>
    <w:p w14:paraId="2286440D">
      <w:pPr>
        <w:ind w:firstLine="480"/>
        <w:rPr>
          <w:color w:val="auto"/>
        </w:rPr>
      </w:pPr>
      <w:r>
        <w:rPr>
          <w:rFonts w:hint="eastAsia" w:cs="宋体"/>
          <w:color w:val="auto"/>
        </w:rPr>
        <w:t>平板系统作为是氧舱质控检查单填写的得力助手，技师可随身带着平板在边检查边记录，可在平板上填写每日设备运行情况表检查、氧舱治疗前相应的检查记录表，氧舱操作记录表等，数据实时写入高压气管理信息系统中。避免了技术工程师的重复录入系统的工作。</w:t>
      </w:r>
    </w:p>
    <w:p w14:paraId="08748CBA">
      <w:pPr>
        <w:pStyle w:val="341"/>
        <w:spacing w:beforeLines="0"/>
        <w:ind w:firstLine="480"/>
        <w:rPr>
          <w:rFonts w:hint="eastAsia" w:ascii="宋体" w:hAnsi="宋体"/>
          <w:color w:val="auto"/>
          <w:sz w:val="24"/>
          <w:szCs w:val="24"/>
        </w:rPr>
      </w:pPr>
      <w:bookmarkStart w:id="230" w:name="_Toc153618230"/>
      <w:r>
        <w:rPr>
          <w:rFonts w:hint="eastAsia" w:ascii="宋体" w:hAnsi="宋体"/>
          <w:color w:val="auto"/>
          <w:sz w:val="24"/>
          <w:szCs w:val="24"/>
        </w:rPr>
        <w:t>与HIS系统对接</w:t>
      </w:r>
      <w:bookmarkEnd w:id="230"/>
    </w:p>
    <w:p w14:paraId="7B7E5BB0">
      <w:pPr>
        <w:snapToGrid w:val="0"/>
        <w:ind w:firstLine="480"/>
        <w:rPr>
          <w:rFonts w:cs="宋体"/>
          <w:color w:val="auto"/>
        </w:rPr>
      </w:pPr>
      <w:r>
        <w:rPr>
          <w:rFonts w:hint="eastAsia" w:cs="宋体"/>
          <w:color w:val="auto"/>
        </w:rPr>
        <w:t>（1）申请单和费用与his系统无缝衔接</w:t>
      </w:r>
    </w:p>
    <w:p w14:paraId="78CD2091">
      <w:pPr>
        <w:snapToGrid w:val="0"/>
        <w:ind w:firstLine="480"/>
        <w:rPr>
          <w:rFonts w:cs="宋体"/>
          <w:color w:val="auto"/>
        </w:rPr>
      </w:pPr>
      <w:r>
        <w:rPr>
          <w:rFonts w:hint="eastAsia" w:cs="宋体"/>
          <w:color w:val="auto"/>
        </w:rPr>
        <w:t>（2）分析报告提供全院共享</w:t>
      </w:r>
    </w:p>
    <w:p w14:paraId="2FAA49C7">
      <w:pPr>
        <w:snapToGrid w:val="0"/>
        <w:ind w:firstLine="480"/>
        <w:rPr>
          <w:rFonts w:cs="宋体"/>
          <w:color w:val="auto"/>
        </w:rPr>
      </w:pPr>
      <w:r>
        <w:rPr>
          <w:rFonts w:hint="eastAsia" w:cs="宋体"/>
          <w:color w:val="auto"/>
        </w:rPr>
        <w:t>（3）资源预约可整合到资源调度中心</w:t>
      </w:r>
    </w:p>
    <w:p w14:paraId="5C0315CD">
      <w:pPr>
        <w:pStyle w:val="14"/>
        <w:bidi w:val="0"/>
        <w:rPr>
          <w:color w:val="auto"/>
        </w:rPr>
      </w:pPr>
      <w:r>
        <w:rPr>
          <w:rFonts w:hint="eastAsia"/>
          <w:color w:val="auto"/>
          <w:lang w:val="en-US" w:eastAsia="zh-CN"/>
        </w:rPr>
        <w:t xml:space="preserve"> </w:t>
      </w:r>
      <w:r>
        <w:rPr>
          <w:rFonts w:hint="eastAsia"/>
          <w:color w:val="auto"/>
        </w:rPr>
        <w:t>透析信息管理系统</w:t>
      </w:r>
    </w:p>
    <w:p w14:paraId="3CA5EB31">
      <w:pPr>
        <w:snapToGrid w:val="0"/>
        <w:ind w:firstLine="482"/>
        <w:rPr>
          <w:rFonts w:cs="宋体"/>
          <w:b/>
          <w:bCs/>
          <w:color w:val="auto"/>
        </w:rPr>
      </w:pPr>
      <w:bookmarkStart w:id="231" w:name="_Toc150931632"/>
      <w:r>
        <w:rPr>
          <w:rFonts w:hint="eastAsia" w:cs="宋体"/>
          <w:b/>
          <w:bCs/>
          <w:color w:val="auto"/>
        </w:rPr>
        <w:t>血透工作站业务</w:t>
      </w:r>
      <w:bookmarkEnd w:id="231"/>
    </w:p>
    <w:p w14:paraId="7F173458">
      <w:pPr>
        <w:snapToGrid w:val="0"/>
        <w:ind w:firstLine="480"/>
        <w:rPr>
          <w:rFonts w:cs="宋体"/>
          <w:color w:val="auto"/>
        </w:rPr>
      </w:pPr>
      <w:bookmarkStart w:id="232" w:name="_Toc477005641"/>
      <w:r>
        <w:rPr>
          <w:rFonts w:hint="eastAsia" w:cs="宋体"/>
          <w:color w:val="auto"/>
        </w:rPr>
        <w:t>（1）支持患者信息管理</w:t>
      </w:r>
      <w:bookmarkEnd w:id="232"/>
      <w:r>
        <w:rPr>
          <w:rFonts w:hint="eastAsia" w:cs="宋体"/>
          <w:color w:val="auto"/>
        </w:rPr>
        <w:t>、个性化如管路标示等；</w:t>
      </w:r>
    </w:p>
    <w:p w14:paraId="4D2612D9">
      <w:pPr>
        <w:snapToGrid w:val="0"/>
        <w:ind w:firstLine="480"/>
        <w:rPr>
          <w:rFonts w:cs="宋体"/>
          <w:color w:val="auto"/>
        </w:rPr>
      </w:pPr>
      <w:r>
        <w:rPr>
          <w:rFonts w:hint="eastAsia" w:cs="宋体"/>
          <w:color w:val="auto"/>
        </w:rPr>
        <w:t>（2）支持患者按日期自动排床管理</w:t>
      </w:r>
      <w:bookmarkStart w:id="233" w:name="_Toc477005642"/>
      <w:r>
        <w:rPr>
          <w:rFonts w:hint="eastAsia" w:cs="宋体"/>
          <w:color w:val="auto"/>
        </w:rPr>
        <w:t>；</w:t>
      </w:r>
    </w:p>
    <w:p w14:paraId="2CDD12F9">
      <w:pPr>
        <w:snapToGrid w:val="0"/>
        <w:ind w:firstLine="480"/>
        <w:rPr>
          <w:rFonts w:cs="宋体"/>
          <w:color w:val="auto"/>
        </w:rPr>
      </w:pPr>
      <w:r>
        <w:rPr>
          <w:rFonts w:hint="eastAsia" w:cs="宋体"/>
          <w:color w:val="auto"/>
        </w:rPr>
        <w:t>（3）支持患者透析方案管理</w:t>
      </w:r>
      <w:bookmarkEnd w:id="233"/>
      <w:r>
        <w:rPr>
          <w:rFonts w:hint="eastAsia" w:cs="宋体"/>
          <w:color w:val="auto"/>
        </w:rPr>
        <w:t>；</w:t>
      </w:r>
    </w:p>
    <w:p w14:paraId="03B5CF34">
      <w:pPr>
        <w:snapToGrid w:val="0"/>
        <w:ind w:firstLine="480"/>
        <w:rPr>
          <w:rFonts w:cs="宋体"/>
          <w:color w:val="auto"/>
        </w:rPr>
      </w:pPr>
      <w:r>
        <w:rPr>
          <w:rFonts w:hint="eastAsia" w:cs="宋体"/>
          <w:color w:val="auto"/>
        </w:rPr>
        <w:t>（4）支持患者预检签到管理</w:t>
      </w:r>
      <w:bookmarkStart w:id="234" w:name="_Toc477005645"/>
      <w:r>
        <w:rPr>
          <w:rFonts w:hint="eastAsia" w:cs="宋体"/>
          <w:color w:val="auto"/>
        </w:rPr>
        <w:t>；</w:t>
      </w:r>
    </w:p>
    <w:p w14:paraId="67F5AA90">
      <w:pPr>
        <w:snapToGrid w:val="0"/>
        <w:ind w:firstLine="480"/>
        <w:rPr>
          <w:rFonts w:cs="宋体"/>
          <w:color w:val="auto"/>
        </w:rPr>
      </w:pPr>
      <w:r>
        <w:rPr>
          <w:rFonts w:hint="eastAsia" w:cs="宋体"/>
          <w:color w:val="auto"/>
        </w:rPr>
        <w:t>（5）支持患者透析治疗管理</w:t>
      </w:r>
      <w:bookmarkEnd w:id="234"/>
      <w:r>
        <w:rPr>
          <w:rFonts w:hint="eastAsia" w:cs="宋体"/>
          <w:color w:val="auto"/>
        </w:rPr>
        <w:t>；</w:t>
      </w:r>
      <w:bookmarkStart w:id="235" w:name="_Toc477005646"/>
    </w:p>
    <w:p w14:paraId="24EDF42A">
      <w:pPr>
        <w:snapToGrid w:val="0"/>
        <w:ind w:firstLine="480"/>
        <w:rPr>
          <w:rFonts w:cs="宋体"/>
          <w:color w:val="auto"/>
        </w:rPr>
      </w:pPr>
      <w:r>
        <w:rPr>
          <w:rFonts w:hint="eastAsia" w:cs="宋体"/>
          <w:color w:val="auto"/>
        </w:rPr>
        <w:t>（6）支持治疗监测预警管理</w:t>
      </w:r>
      <w:bookmarkEnd w:id="235"/>
      <w:r>
        <w:rPr>
          <w:rFonts w:hint="eastAsia" w:cs="宋体"/>
          <w:color w:val="auto"/>
        </w:rPr>
        <w:t>、内瘘穿刺提示等；</w:t>
      </w:r>
    </w:p>
    <w:p w14:paraId="07F694C2">
      <w:pPr>
        <w:snapToGrid w:val="0"/>
        <w:ind w:firstLine="480"/>
        <w:rPr>
          <w:rFonts w:cs="宋体"/>
          <w:color w:val="auto"/>
        </w:rPr>
      </w:pPr>
      <w:r>
        <w:rPr>
          <w:rFonts w:hint="eastAsia" w:cs="宋体"/>
          <w:color w:val="auto"/>
        </w:rPr>
        <w:t>（7）支持透析患者费用管理、耗材管理；</w:t>
      </w:r>
    </w:p>
    <w:p w14:paraId="01871465">
      <w:pPr>
        <w:snapToGrid w:val="0"/>
        <w:ind w:firstLine="480"/>
        <w:rPr>
          <w:rFonts w:cs="宋体"/>
          <w:color w:val="auto"/>
        </w:rPr>
      </w:pPr>
      <w:r>
        <w:rPr>
          <w:rFonts w:hint="eastAsia" w:cs="宋体"/>
          <w:color w:val="auto"/>
        </w:rPr>
        <w:t>（8）支持透析器复用管理；</w:t>
      </w:r>
      <w:bookmarkStart w:id="236" w:name="_Toc477005649"/>
    </w:p>
    <w:p w14:paraId="16D99E60">
      <w:pPr>
        <w:snapToGrid w:val="0"/>
        <w:ind w:firstLine="480"/>
        <w:rPr>
          <w:color w:val="auto"/>
        </w:rPr>
      </w:pPr>
      <w:r>
        <w:rPr>
          <w:rFonts w:hint="eastAsia" w:cs="宋体"/>
          <w:color w:val="auto"/>
        </w:rPr>
        <w:t>（9）支持住院透析患者预约</w:t>
      </w:r>
      <w:bookmarkEnd w:id="236"/>
      <w:r>
        <w:rPr>
          <w:rFonts w:hint="eastAsia" w:cs="宋体"/>
          <w:color w:val="auto"/>
        </w:rPr>
        <w:t>；</w:t>
      </w:r>
    </w:p>
    <w:p w14:paraId="3A634B65">
      <w:pPr>
        <w:ind w:firstLine="480"/>
        <w:rPr>
          <w:color w:val="auto"/>
        </w:rPr>
      </w:pPr>
      <w:r>
        <w:rPr>
          <w:rFonts w:hint="eastAsia" w:cs="宋体"/>
          <w:color w:val="auto"/>
        </w:rPr>
        <w:t>（1</w:t>
      </w:r>
      <w:r>
        <w:rPr>
          <w:rFonts w:cs="宋体"/>
          <w:color w:val="auto"/>
        </w:rPr>
        <w:t>0</w:t>
      </w:r>
      <w:r>
        <w:rPr>
          <w:rFonts w:hint="eastAsia" w:cs="宋体"/>
          <w:color w:val="auto"/>
        </w:rPr>
        <w:t>）支持水处理管理；</w:t>
      </w:r>
    </w:p>
    <w:p w14:paraId="6B390BFD">
      <w:pPr>
        <w:snapToGrid w:val="0"/>
        <w:ind w:firstLine="482"/>
        <w:rPr>
          <w:rFonts w:cs="宋体"/>
          <w:b/>
          <w:bCs/>
          <w:color w:val="auto"/>
        </w:rPr>
      </w:pPr>
      <w:bookmarkStart w:id="237" w:name="_Toc150931633"/>
      <w:r>
        <w:rPr>
          <w:rFonts w:hint="eastAsia" w:cs="宋体"/>
          <w:b/>
          <w:bCs/>
          <w:color w:val="auto"/>
        </w:rPr>
        <w:t>血透评估工作站</w:t>
      </w:r>
      <w:bookmarkEnd w:id="237"/>
    </w:p>
    <w:p w14:paraId="538165DC">
      <w:pPr>
        <w:snapToGrid w:val="0"/>
        <w:ind w:firstLine="480"/>
        <w:rPr>
          <w:rFonts w:cs="宋体"/>
          <w:color w:val="auto"/>
        </w:rPr>
      </w:pPr>
      <w:r>
        <w:rPr>
          <w:rFonts w:hint="eastAsia" w:cs="宋体"/>
          <w:color w:val="auto"/>
        </w:rPr>
        <w:t>（</w:t>
      </w:r>
      <w:r>
        <w:rPr>
          <w:rFonts w:cs="宋体"/>
          <w:color w:val="auto"/>
        </w:rPr>
        <w:t>1</w:t>
      </w:r>
      <w:r>
        <w:rPr>
          <w:rFonts w:hint="eastAsia" w:cs="宋体"/>
          <w:color w:val="auto"/>
        </w:rPr>
        <w:t>）</w:t>
      </w:r>
      <w:r>
        <w:rPr>
          <w:rFonts w:cs="宋体"/>
          <w:color w:val="auto"/>
        </w:rPr>
        <w:t>支持</w:t>
      </w:r>
      <w:r>
        <w:rPr>
          <w:rFonts w:hint="eastAsia" w:cs="宋体"/>
          <w:color w:val="auto"/>
        </w:rPr>
        <w:t>查看、修改病人的基本信息和医疗信息，从His中手动提取病人信息。</w:t>
      </w:r>
    </w:p>
    <w:p w14:paraId="1C32FB62">
      <w:pPr>
        <w:snapToGrid w:val="0"/>
        <w:ind w:firstLine="480"/>
        <w:rPr>
          <w:rFonts w:hint="eastAsia" w:eastAsia="宋体" w:cs="宋体"/>
          <w:color w:val="auto"/>
          <w:lang w:eastAsia="zh-CN"/>
        </w:rPr>
      </w:pPr>
      <w:r>
        <w:rPr>
          <w:rFonts w:hint="eastAsia" w:cs="宋体"/>
          <w:color w:val="auto"/>
        </w:rPr>
        <w:t>（2）</w:t>
      </w:r>
      <w:r>
        <w:rPr>
          <w:rFonts w:cs="宋体"/>
          <w:color w:val="auto"/>
        </w:rPr>
        <w:t>支持</w:t>
      </w:r>
      <w:r>
        <w:rPr>
          <w:rFonts w:hint="eastAsia" w:cs="宋体"/>
          <w:color w:val="auto"/>
        </w:rPr>
        <w:t>制定病人评估计划及评估内容，通过自动监测检验数据，提醒生成评估计划，批量生成病人的评估计划</w:t>
      </w:r>
      <w:r>
        <w:rPr>
          <w:rFonts w:hint="eastAsia" w:cs="宋体"/>
          <w:color w:val="auto"/>
          <w:lang w:eastAsia="zh-CN"/>
        </w:rPr>
        <w:t>。</w:t>
      </w:r>
    </w:p>
    <w:p w14:paraId="78049E5D">
      <w:pPr>
        <w:snapToGrid w:val="0"/>
        <w:ind w:firstLine="480"/>
        <w:rPr>
          <w:rFonts w:cs="宋体"/>
          <w:color w:val="auto"/>
        </w:rPr>
      </w:pPr>
      <w:r>
        <w:rPr>
          <w:rFonts w:hint="eastAsia" w:cs="宋体"/>
          <w:color w:val="auto"/>
        </w:rPr>
        <w:t>（3）支持手工录入或自动提取病人历次实验检查数据，查看或导出病人某个项目在某段日期内的数据分析曲线，查看病人某个组合或所有组合下的历史数据，浏览病人历史报告单。</w:t>
      </w:r>
    </w:p>
    <w:p w14:paraId="03AF7E34">
      <w:pPr>
        <w:snapToGrid w:val="0"/>
        <w:ind w:firstLine="480"/>
        <w:rPr>
          <w:rFonts w:hint="eastAsia" w:eastAsia="宋体" w:cs="宋体"/>
          <w:color w:val="auto"/>
          <w:lang w:eastAsia="zh-CN"/>
        </w:rPr>
      </w:pPr>
      <w:r>
        <w:rPr>
          <w:rFonts w:hint="eastAsia" w:cs="宋体"/>
          <w:color w:val="auto"/>
        </w:rPr>
        <w:t>（4）支持手工录入或自动提取病人历次辅助检查数据，查看或导出病人某个项目在某段日期内的数据分析曲线，查看病人某个组合或所有组合下的历史数据，浏览病人历史报告单</w:t>
      </w:r>
      <w:r>
        <w:rPr>
          <w:rFonts w:hint="eastAsia" w:cs="宋体"/>
          <w:color w:val="auto"/>
          <w:lang w:eastAsia="zh-CN"/>
        </w:rPr>
        <w:t>。</w:t>
      </w:r>
    </w:p>
    <w:p w14:paraId="2AFC7BAD">
      <w:pPr>
        <w:snapToGrid w:val="0"/>
        <w:ind w:firstLine="480"/>
        <w:rPr>
          <w:rFonts w:hint="eastAsia" w:eastAsia="宋体" w:cs="宋体"/>
          <w:color w:val="auto"/>
          <w:lang w:eastAsia="zh-CN"/>
        </w:rPr>
      </w:pPr>
      <w:r>
        <w:rPr>
          <w:rFonts w:hint="eastAsia" w:cs="宋体"/>
          <w:color w:val="auto"/>
        </w:rPr>
        <w:t>（5）支持营养宣教、检验分析、营养分析、饮食回顾、饮食医嘱、个人食谱、饮食禁忌、营养评分、营养评估单</w:t>
      </w:r>
      <w:r>
        <w:rPr>
          <w:rFonts w:hint="eastAsia" w:cs="宋体"/>
          <w:color w:val="auto"/>
          <w:lang w:eastAsia="zh-CN"/>
        </w:rPr>
        <w:t>。</w:t>
      </w:r>
    </w:p>
    <w:p w14:paraId="5B03DEB0">
      <w:pPr>
        <w:snapToGrid w:val="0"/>
        <w:ind w:firstLine="480"/>
        <w:rPr>
          <w:rFonts w:hint="eastAsia" w:eastAsia="宋体" w:cs="宋体"/>
          <w:color w:val="auto"/>
          <w:lang w:eastAsia="zh-CN"/>
        </w:rPr>
      </w:pPr>
      <w:r>
        <w:rPr>
          <w:rFonts w:hint="eastAsia" w:cs="宋体"/>
          <w:color w:val="auto"/>
        </w:rPr>
        <w:t>（6）支持护理宣教，记录查看病人课程学习情况，查看病人护理宣教的历史信息</w:t>
      </w:r>
      <w:r>
        <w:rPr>
          <w:rFonts w:hint="eastAsia" w:cs="宋体"/>
          <w:color w:val="auto"/>
          <w:lang w:eastAsia="zh-CN"/>
        </w:rPr>
        <w:t>。</w:t>
      </w:r>
    </w:p>
    <w:p w14:paraId="079761EA">
      <w:pPr>
        <w:snapToGrid w:val="0"/>
        <w:ind w:firstLine="480"/>
        <w:rPr>
          <w:rFonts w:hint="eastAsia" w:eastAsia="宋体" w:cs="宋体"/>
          <w:color w:val="auto"/>
          <w:lang w:eastAsia="zh-CN"/>
        </w:rPr>
      </w:pPr>
      <w:r>
        <w:rPr>
          <w:rFonts w:hint="eastAsia" w:cs="宋体"/>
          <w:color w:val="auto"/>
        </w:rPr>
        <w:t>（7）支持手动或者自动输入充分性评估项目数据，并提取涉及的Lis项目数据，计算充分性指标项目，如KT/V、nPCR等，查看某项目的历史数据列表和分析曲线</w:t>
      </w:r>
      <w:r>
        <w:rPr>
          <w:rFonts w:hint="eastAsia" w:cs="宋体"/>
          <w:color w:val="auto"/>
          <w:lang w:eastAsia="zh-CN"/>
        </w:rPr>
        <w:t>。</w:t>
      </w:r>
    </w:p>
    <w:p w14:paraId="0FEC103E">
      <w:pPr>
        <w:snapToGrid w:val="0"/>
        <w:ind w:firstLine="480"/>
        <w:rPr>
          <w:rFonts w:hint="eastAsia" w:cs="宋体"/>
          <w:color w:val="auto"/>
          <w:lang w:eastAsia="zh-CN"/>
        </w:rPr>
      </w:pPr>
      <w:r>
        <w:rPr>
          <w:rFonts w:hint="eastAsia" w:cs="宋体"/>
          <w:color w:val="auto"/>
        </w:rPr>
        <w:t>（8）支持查看病人的住院、出院记录，记录、查看病人转归信息</w:t>
      </w:r>
      <w:r>
        <w:rPr>
          <w:rFonts w:hint="eastAsia" w:cs="宋体"/>
          <w:color w:val="auto"/>
          <w:lang w:eastAsia="zh-CN"/>
        </w:rPr>
        <w:t>。</w:t>
      </w:r>
    </w:p>
    <w:p w14:paraId="520E23EA">
      <w:pPr>
        <w:snapToGrid w:val="0"/>
        <w:ind w:firstLine="480"/>
        <w:rPr>
          <w:rFonts w:cs="宋体"/>
          <w:color w:val="auto"/>
        </w:rPr>
      </w:pPr>
      <w:r>
        <w:rPr>
          <w:rFonts w:hint="eastAsia" w:cs="宋体"/>
          <w:color w:val="auto"/>
        </w:rPr>
        <w:t>（9）支持手工录入评估评分项目数据，复制提取涉及检验、用药等数据，根据公式计算评分结果，查看浏览某段日期范围内的评分结果列表及分析曲线，查看浏览某项目在某段日期内的结果值及评分值结果列表及分析曲线。</w:t>
      </w:r>
    </w:p>
    <w:p w14:paraId="2D421873">
      <w:pPr>
        <w:snapToGrid w:val="0"/>
        <w:ind w:firstLine="480"/>
        <w:rPr>
          <w:rFonts w:hint="eastAsia" w:eastAsia="宋体" w:cs="宋体"/>
          <w:color w:val="auto"/>
          <w:lang w:eastAsia="zh-CN"/>
        </w:rPr>
      </w:pPr>
      <w:r>
        <w:rPr>
          <w:rFonts w:hint="eastAsia" w:cs="宋体"/>
          <w:color w:val="auto"/>
        </w:rPr>
        <w:t>（1</w:t>
      </w:r>
      <w:r>
        <w:rPr>
          <w:rFonts w:cs="宋体"/>
          <w:color w:val="auto"/>
        </w:rPr>
        <w:t>0</w:t>
      </w:r>
      <w:r>
        <w:rPr>
          <w:rFonts w:hint="eastAsia" w:cs="宋体"/>
          <w:color w:val="auto"/>
        </w:rPr>
        <w:t>）支持浏览上传历次随访资料，资料格式包含：图片、PDF、文档、文字说明等</w:t>
      </w:r>
      <w:r>
        <w:rPr>
          <w:rFonts w:hint="eastAsia" w:cs="宋体"/>
          <w:color w:val="auto"/>
          <w:lang w:eastAsia="zh-CN"/>
        </w:rPr>
        <w:t>。</w:t>
      </w:r>
    </w:p>
    <w:p w14:paraId="0C3ABC9C">
      <w:pPr>
        <w:snapToGrid w:val="0"/>
        <w:ind w:firstLine="482"/>
        <w:rPr>
          <w:rFonts w:cs="宋体"/>
          <w:b/>
          <w:bCs/>
          <w:color w:val="auto"/>
        </w:rPr>
      </w:pPr>
      <w:bookmarkStart w:id="238" w:name="_Toc150931634"/>
      <w:r>
        <w:rPr>
          <w:rFonts w:hint="eastAsia" w:cs="宋体"/>
          <w:b/>
          <w:bCs/>
          <w:color w:val="auto"/>
        </w:rPr>
        <w:t>血透管理中心业务</w:t>
      </w:r>
      <w:bookmarkEnd w:id="238"/>
    </w:p>
    <w:p w14:paraId="54834652">
      <w:pPr>
        <w:snapToGrid w:val="0"/>
        <w:ind w:firstLine="480"/>
        <w:rPr>
          <w:rFonts w:cs="宋体"/>
          <w:color w:val="auto"/>
        </w:rPr>
      </w:pPr>
      <w:r>
        <w:rPr>
          <w:rFonts w:hint="eastAsia" w:cs="宋体"/>
          <w:color w:val="auto"/>
        </w:rPr>
        <w:t>（1）支持查询、浏览当前在透患者和历史患者的基本信息、</w:t>
      </w:r>
    </w:p>
    <w:p w14:paraId="1B2FEACF">
      <w:pPr>
        <w:snapToGrid w:val="0"/>
        <w:ind w:firstLine="480"/>
        <w:rPr>
          <w:rFonts w:cs="宋体"/>
          <w:color w:val="auto"/>
        </w:rPr>
      </w:pPr>
      <w:r>
        <w:rPr>
          <w:rFonts w:hint="eastAsia" w:cs="宋体"/>
          <w:color w:val="auto"/>
        </w:rPr>
        <w:t>（2）支持上报数据管理，生成上报数据包，一键上传。</w:t>
      </w:r>
    </w:p>
    <w:p w14:paraId="7289DC9B">
      <w:pPr>
        <w:snapToGrid w:val="0"/>
        <w:ind w:firstLine="480"/>
        <w:rPr>
          <w:rFonts w:cs="宋体"/>
          <w:color w:val="auto"/>
        </w:rPr>
      </w:pPr>
      <w:r>
        <w:rPr>
          <w:rFonts w:hint="eastAsia" w:cs="宋体"/>
          <w:color w:val="auto"/>
        </w:rPr>
        <w:t>（3）支持中心质量评估：主要包括结构质量指标分析、过程质量指标分析、目标质量指标分析、中心情况统计报表。</w:t>
      </w:r>
    </w:p>
    <w:p w14:paraId="18BD3249">
      <w:pPr>
        <w:snapToGrid w:val="0"/>
        <w:ind w:firstLine="482"/>
        <w:rPr>
          <w:rFonts w:cs="宋体"/>
          <w:b/>
          <w:bCs/>
          <w:color w:val="auto"/>
        </w:rPr>
      </w:pPr>
      <w:bookmarkStart w:id="239" w:name="_Toc150931635"/>
      <w:r>
        <w:rPr>
          <w:rFonts w:hint="eastAsia" w:cs="宋体"/>
          <w:b/>
          <w:bCs/>
          <w:color w:val="auto"/>
        </w:rPr>
        <w:t>患者质量评估</w:t>
      </w:r>
      <w:bookmarkEnd w:id="239"/>
    </w:p>
    <w:p w14:paraId="14F2AA34">
      <w:pPr>
        <w:snapToGrid w:val="0"/>
        <w:ind w:firstLine="480"/>
        <w:rPr>
          <w:rFonts w:cs="宋体"/>
          <w:color w:val="auto"/>
        </w:rPr>
      </w:pPr>
      <w:r>
        <w:rPr>
          <w:rFonts w:hint="eastAsia" w:cs="宋体"/>
          <w:color w:val="auto"/>
        </w:rPr>
        <w:t>（1）支持患者质量评估：主要包括患者治疗分析、高血压管理、营养状况管理、肾性贫血的评估、矿物质和骨异常的评估、血透充分性管理、容量状况管理、生活质量评估、精神心理评估等。</w:t>
      </w:r>
    </w:p>
    <w:p w14:paraId="40D88CAE">
      <w:pPr>
        <w:snapToGrid w:val="0"/>
        <w:ind w:firstLine="480"/>
        <w:rPr>
          <w:rFonts w:cs="宋体"/>
          <w:color w:val="auto"/>
        </w:rPr>
      </w:pPr>
      <w:r>
        <w:rPr>
          <w:rFonts w:hint="eastAsia" w:cs="宋体"/>
          <w:color w:val="auto"/>
        </w:rPr>
        <w:t>（2）支持信息维护：主要包括课程维护、知识点维护、食物维护、运动维护、接口维护、药物信息、菜单设置、分析项设置、记录项设置、评估分类。</w:t>
      </w:r>
    </w:p>
    <w:p w14:paraId="74157D8F">
      <w:pPr>
        <w:snapToGrid w:val="0"/>
        <w:ind w:firstLine="480"/>
        <w:rPr>
          <w:rFonts w:cs="宋体"/>
          <w:color w:val="auto"/>
        </w:rPr>
      </w:pPr>
      <w:r>
        <w:rPr>
          <w:rFonts w:hint="eastAsia" w:cs="宋体"/>
          <w:color w:val="auto"/>
        </w:rPr>
        <w:t>（3）支持统计查询：包括病人查询、病人治疗查询、报表设置、报表维护，对不同的用户设置不同的浏览权限，设定已维护报表的查询条件。</w:t>
      </w:r>
    </w:p>
    <w:p w14:paraId="1723339A">
      <w:pPr>
        <w:snapToGrid w:val="0"/>
        <w:ind w:firstLine="480"/>
        <w:rPr>
          <w:rFonts w:cs="宋体"/>
          <w:color w:val="auto"/>
        </w:rPr>
      </w:pPr>
      <w:r>
        <w:rPr>
          <w:rFonts w:hint="eastAsia" w:cs="宋体"/>
          <w:color w:val="auto"/>
        </w:rPr>
        <w:t>（4）支持报表浏览</w:t>
      </w:r>
    </w:p>
    <w:p w14:paraId="764F85F6">
      <w:pPr>
        <w:snapToGrid w:val="0"/>
        <w:ind w:firstLine="480"/>
        <w:rPr>
          <w:rFonts w:cs="宋体"/>
          <w:color w:val="auto"/>
        </w:rPr>
      </w:pPr>
      <w:r>
        <w:rPr>
          <w:rFonts w:hint="eastAsia" w:cs="宋体"/>
          <w:color w:val="auto"/>
        </w:rPr>
        <w:t>（</w:t>
      </w:r>
      <w:r>
        <w:rPr>
          <w:rFonts w:cs="宋体"/>
          <w:color w:val="auto"/>
        </w:rPr>
        <w:t>5</w:t>
      </w:r>
      <w:r>
        <w:rPr>
          <w:rFonts w:hint="eastAsia" w:cs="宋体"/>
          <w:color w:val="auto"/>
        </w:rPr>
        <w:t>）支持护理人员排班统计、护理人员业务培训统计功能。</w:t>
      </w:r>
    </w:p>
    <w:p w14:paraId="2D6FEA90">
      <w:pPr>
        <w:snapToGrid w:val="0"/>
        <w:ind w:firstLine="482"/>
        <w:rPr>
          <w:rFonts w:cs="宋体"/>
          <w:b/>
          <w:bCs/>
          <w:color w:val="auto"/>
        </w:rPr>
      </w:pPr>
      <w:bookmarkStart w:id="240" w:name="_Toc150931636"/>
      <w:r>
        <w:rPr>
          <w:rFonts w:hint="eastAsia" w:cs="宋体"/>
          <w:b/>
          <w:bCs/>
          <w:color w:val="auto"/>
        </w:rPr>
        <w:t>血管通路随访系统</w:t>
      </w:r>
      <w:bookmarkEnd w:id="240"/>
    </w:p>
    <w:p w14:paraId="08833561">
      <w:pPr>
        <w:numPr>
          <w:ilvl w:val="0"/>
          <w:numId w:val="102"/>
        </w:numPr>
        <w:snapToGrid w:val="0"/>
        <w:ind w:left="0" w:leftChars="0" w:firstLine="480" w:firstLineChars="0"/>
        <w:rPr>
          <w:rFonts w:cs="宋体"/>
          <w:color w:val="auto"/>
        </w:rPr>
      </w:pPr>
      <w:r>
        <w:rPr>
          <w:rFonts w:hint="eastAsia" w:cs="宋体"/>
          <w:color w:val="auto"/>
        </w:rPr>
        <w:t>支持患者登记：登记信息主要有基本信息、患者的病史信息、透析史、透析通路史等相关信息。信息登记的方式主要有两种，一种医护人员手动登记，一种联系院内HIS系统，提取HIS系统中能提取的所有信息数据到本地数据库中，然后根据患者情况针对性完善内容。</w:t>
      </w:r>
    </w:p>
    <w:p w14:paraId="46579FF6">
      <w:pPr>
        <w:numPr>
          <w:ilvl w:val="0"/>
          <w:numId w:val="102"/>
        </w:numPr>
        <w:snapToGrid w:val="0"/>
        <w:ind w:left="0" w:leftChars="0" w:firstLine="480" w:firstLineChars="0"/>
        <w:rPr>
          <w:rFonts w:cs="宋体"/>
          <w:color w:val="auto"/>
        </w:rPr>
      </w:pPr>
      <w:r>
        <w:rPr>
          <w:rFonts w:hint="eastAsia" w:cs="宋体"/>
          <w:color w:val="auto"/>
        </w:rPr>
        <w:t>支持通路手术：根据患者情况，确定要建立的通路类型，通过通路成形术最后形成患者的血管通路，记录手术过程和手术小季，最后形成手术报告。</w:t>
      </w:r>
    </w:p>
    <w:p w14:paraId="1ABD667A">
      <w:pPr>
        <w:numPr>
          <w:ilvl w:val="0"/>
          <w:numId w:val="102"/>
        </w:numPr>
        <w:snapToGrid w:val="0"/>
        <w:ind w:left="0" w:leftChars="0" w:firstLine="480" w:firstLineChars="0"/>
        <w:rPr>
          <w:rFonts w:cs="宋体"/>
          <w:color w:val="auto"/>
        </w:rPr>
      </w:pPr>
      <w:r>
        <w:rPr>
          <w:rFonts w:hint="eastAsia" w:cs="宋体"/>
          <w:color w:val="auto"/>
        </w:rPr>
        <w:t>支持通路记录：通过科室手术完成通路建立的患者，在手术记录后自动产生对应的通路记录信息，如果已建立通路患者，补齐完善相关通路信息。</w:t>
      </w:r>
    </w:p>
    <w:p w14:paraId="7AC7BC2A">
      <w:pPr>
        <w:numPr>
          <w:ilvl w:val="0"/>
          <w:numId w:val="102"/>
        </w:numPr>
        <w:snapToGrid w:val="0"/>
        <w:ind w:left="0" w:leftChars="0" w:firstLine="480" w:firstLineChars="0"/>
        <w:rPr>
          <w:rFonts w:cs="宋体"/>
          <w:color w:val="auto"/>
        </w:rPr>
      </w:pPr>
      <w:r>
        <w:rPr>
          <w:rFonts w:hint="eastAsia" w:cs="宋体"/>
          <w:color w:val="auto"/>
        </w:rPr>
        <w:t>支持随访计划:根据患者通路情况，建立周期性的随访机制，以便能对患者进行规律性的随访，同时也便于更好地对随访患者进行管理。</w:t>
      </w:r>
    </w:p>
    <w:p w14:paraId="10E26512">
      <w:pPr>
        <w:numPr>
          <w:ilvl w:val="0"/>
          <w:numId w:val="102"/>
        </w:numPr>
        <w:snapToGrid w:val="0"/>
        <w:ind w:left="0" w:leftChars="0" w:firstLine="480" w:firstLineChars="0"/>
        <w:rPr>
          <w:rFonts w:cs="宋体"/>
          <w:color w:val="auto"/>
        </w:rPr>
      </w:pPr>
      <w:r>
        <w:rPr>
          <w:rFonts w:hint="eastAsia" w:cs="宋体"/>
          <w:color w:val="auto"/>
        </w:rPr>
        <w:t>支持随访通知：在为每个患者制定周期性的随访计划后，系统自动根据计划情况提醒医护人员通知患者前来随访，并记录通知过程与结果，调整计划的实际情况。</w:t>
      </w:r>
    </w:p>
    <w:p w14:paraId="20108C54">
      <w:pPr>
        <w:numPr>
          <w:ilvl w:val="0"/>
          <w:numId w:val="102"/>
        </w:numPr>
        <w:snapToGrid w:val="0"/>
        <w:ind w:left="0" w:leftChars="0" w:firstLine="480" w:firstLineChars="0"/>
        <w:rPr>
          <w:rFonts w:cs="宋体"/>
          <w:color w:val="auto"/>
        </w:rPr>
      </w:pPr>
      <w:r>
        <w:rPr>
          <w:rFonts w:hint="eastAsia" w:cs="宋体"/>
          <w:color w:val="auto"/>
        </w:rPr>
        <w:t>支持随访过程管理；</w:t>
      </w:r>
    </w:p>
    <w:p w14:paraId="6D6F975C">
      <w:pPr>
        <w:numPr>
          <w:ilvl w:val="0"/>
          <w:numId w:val="102"/>
        </w:numPr>
        <w:snapToGrid w:val="0"/>
        <w:ind w:left="0" w:leftChars="0" w:firstLine="480" w:firstLineChars="0"/>
        <w:rPr>
          <w:rFonts w:cs="宋体"/>
          <w:color w:val="auto"/>
        </w:rPr>
      </w:pPr>
      <w:r>
        <w:rPr>
          <w:rFonts w:hint="eastAsia" w:cs="宋体"/>
          <w:color w:val="auto"/>
        </w:rPr>
        <w:t>支持随访结果管理：在随访结束后，根据随访过程中记录的数据内容，自动产生出患者的该次通路随访的报告，报告格式根据科室需要自定义设计。</w:t>
      </w:r>
    </w:p>
    <w:p w14:paraId="3E71672F">
      <w:pPr>
        <w:snapToGrid w:val="0"/>
        <w:ind w:firstLine="482"/>
        <w:rPr>
          <w:rFonts w:cs="宋体"/>
          <w:b/>
          <w:bCs/>
          <w:color w:val="auto"/>
        </w:rPr>
      </w:pPr>
      <w:bookmarkStart w:id="241" w:name="_Toc150931637"/>
      <w:r>
        <w:rPr>
          <w:rFonts w:hint="eastAsia" w:cs="宋体"/>
          <w:b/>
          <w:bCs/>
          <w:color w:val="auto"/>
        </w:rPr>
        <w:t>数据共享</w:t>
      </w:r>
      <w:bookmarkEnd w:id="241"/>
    </w:p>
    <w:p w14:paraId="7D505210">
      <w:pPr>
        <w:numPr>
          <w:ilvl w:val="0"/>
          <w:numId w:val="103"/>
        </w:numPr>
        <w:snapToGrid w:val="0"/>
        <w:ind w:left="5" w:leftChars="0" w:firstLine="475" w:firstLineChars="0"/>
        <w:rPr>
          <w:rFonts w:cs="宋体"/>
          <w:color w:val="auto"/>
        </w:rPr>
      </w:pPr>
      <w:r>
        <w:rPr>
          <w:rFonts w:hint="eastAsia" w:cs="宋体"/>
          <w:color w:val="auto"/>
        </w:rPr>
        <w:t>支持血透报告的全院共享</w:t>
      </w:r>
      <w:r>
        <w:rPr>
          <w:rFonts w:hint="eastAsia" w:cs="宋体"/>
          <w:color w:val="auto"/>
          <w:lang w:eastAsia="zh-CN"/>
        </w:rPr>
        <w:t>。</w:t>
      </w:r>
    </w:p>
    <w:p w14:paraId="7DEAB6A5">
      <w:pPr>
        <w:pStyle w:val="2"/>
        <w:numPr>
          <w:ilvl w:val="0"/>
          <w:numId w:val="103"/>
        </w:numPr>
        <w:ind w:left="5" w:leftChars="0" w:firstLine="475" w:firstLineChars="0"/>
        <w:rPr>
          <w:rFonts w:hint="eastAsia" w:cs="宋体"/>
          <w:color w:val="auto"/>
        </w:rPr>
      </w:pPr>
      <w:r>
        <w:rPr>
          <w:rFonts w:hint="eastAsia" w:cs="宋体"/>
          <w:color w:val="auto"/>
        </w:rPr>
        <w:t>预约排床开放到资源调度平台，能够实现统一的预约管理</w:t>
      </w:r>
      <w:r>
        <w:rPr>
          <w:rFonts w:hint="eastAsia" w:cs="宋体"/>
          <w:color w:val="auto"/>
          <w:lang w:eastAsia="zh-CN"/>
        </w:rPr>
        <w:t>。</w:t>
      </w:r>
    </w:p>
    <w:p w14:paraId="62DBF68C">
      <w:pPr>
        <w:pStyle w:val="14"/>
        <w:bidi w:val="0"/>
        <w:rPr>
          <w:color w:val="auto"/>
        </w:rPr>
      </w:pPr>
      <w:r>
        <w:rPr>
          <w:rFonts w:hint="eastAsia"/>
          <w:color w:val="auto"/>
          <w:lang w:val="en-US" w:eastAsia="zh-CN"/>
        </w:rPr>
        <w:t xml:space="preserve"> </w:t>
      </w:r>
      <w:r>
        <w:rPr>
          <w:rFonts w:hint="eastAsia"/>
          <w:color w:val="auto"/>
        </w:rPr>
        <w:t>健康体检信息系统</w:t>
      </w:r>
    </w:p>
    <w:p w14:paraId="10BBA00B">
      <w:pPr>
        <w:pStyle w:val="341"/>
        <w:spacing w:beforeLines="0"/>
        <w:ind w:firstLine="482"/>
        <w:rPr>
          <w:rFonts w:hint="eastAsia" w:ascii="宋体" w:hAnsi="宋体" w:cs="仿宋"/>
          <w:b/>
          <w:bCs/>
          <w:color w:val="auto"/>
          <w:sz w:val="24"/>
          <w:szCs w:val="24"/>
        </w:rPr>
      </w:pPr>
      <w:bookmarkStart w:id="242" w:name="_Toc62585523"/>
      <w:bookmarkStart w:id="243" w:name="_Toc106373085"/>
      <w:bookmarkStart w:id="244" w:name="_Toc56075665"/>
      <w:r>
        <w:rPr>
          <w:rFonts w:hint="eastAsia" w:ascii="宋体" w:hAnsi="宋体" w:cs="仿宋"/>
          <w:b/>
          <w:bCs/>
          <w:color w:val="auto"/>
          <w:sz w:val="24"/>
          <w:szCs w:val="24"/>
        </w:rPr>
        <w:t>登记</w:t>
      </w:r>
      <w:bookmarkEnd w:id="242"/>
      <w:bookmarkEnd w:id="243"/>
      <w:bookmarkEnd w:id="244"/>
    </w:p>
    <w:p w14:paraId="4ACFB56B">
      <w:pPr>
        <w:pStyle w:val="94"/>
        <w:numPr>
          <w:ilvl w:val="0"/>
          <w:numId w:val="104"/>
        </w:numPr>
        <w:ind w:left="0" w:firstLine="480"/>
        <w:rPr>
          <w:color w:val="auto"/>
          <w:sz w:val="24"/>
        </w:rPr>
      </w:pPr>
      <w:bookmarkStart w:id="245" w:name="_Toc62585524"/>
      <w:bookmarkStart w:id="246" w:name="_Toc56075666"/>
      <w:bookmarkStart w:id="247" w:name="_Toc106373086"/>
      <w:r>
        <w:rPr>
          <w:rFonts w:hint="eastAsia"/>
          <w:color w:val="auto"/>
          <w:sz w:val="24"/>
        </w:rPr>
        <w:t>体检预约模块：接受团体/个人的上门预约、电话预约、网上预约，微信预约，并支持Excel文件批量导入、导出功能。</w:t>
      </w:r>
    </w:p>
    <w:p w14:paraId="142C2180">
      <w:pPr>
        <w:pStyle w:val="94"/>
        <w:numPr>
          <w:ilvl w:val="0"/>
          <w:numId w:val="104"/>
        </w:numPr>
        <w:ind w:left="0" w:firstLine="480"/>
        <w:rPr>
          <w:color w:val="auto"/>
          <w:sz w:val="24"/>
        </w:rPr>
      </w:pPr>
      <w:r>
        <w:rPr>
          <w:rFonts w:hint="eastAsia"/>
          <w:color w:val="auto"/>
          <w:sz w:val="24"/>
        </w:rPr>
        <w:t>体检登记模块：确认登记当天体检人员基本信息，支持手工输入相关信息，支持读取身份证、就诊卡功能，打印条码标签，打印体检指引单。</w:t>
      </w:r>
    </w:p>
    <w:p w14:paraId="1A47330D">
      <w:pPr>
        <w:pStyle w:val="94"/>
        <w:numPr>
          <w:ilvl w:val="0"/>
          <w:numId w:val="104"/>
        </w:numPr>
        <w:ind w:left="0" w:firstLine="480"/>
        <w:rPr>
          <w:color w:val="auto"/>
          <w:sz w:val="24"/>
        </w:rPr>
      </w:pPr>
      <w:r>
        <w:rPr>
          <w:rFonts w:hint="eastAsia"/>
          <w:color w:val="auto"/>
          <w:sz w:val="24"/>
        </w:rPr>
        <w:t>综合管理：系统可通过操作权限限制功能实现一个界面完成所有资料的录入功能。</w:t>
      </w:r>
    </w:p>
    <w:p w14:paraId="5008F173">
      <w:pPr>
        <w:pStyle w:val="94"/>
        <w:numPr>
          <w:ilvl w:val="0"/>
          <w:numId w:val="104"/>
        </w:numPr>
        <w:ind w:left="0" w:firstLine="480"/>
        <w:rPr>
          <w:color w:val="auto"/>
          <w:sz w:val="24"/>
        </w:rPr>
      </w:pPr>
      <w:r>
        <w:rPr>
          <w:rFonts w:hint="eastAsia"/>
          <w:color w:val="auto"/>
          <w:sz w:val="24"/>
        </w:rPr>
        <w:t>现场相片采集：可在登记现场对非读身份证方式登记的人员进行照片采集。</w:t>
      </w:r>
    </w:p>
    <w:p w14:paraId="31306027">
      <w:pPr>
        <w:pStyle w:val="94"/>
        <w:numPr>
          <w:ilvl w:val="0"/>
          <w:numId w:val="104"/>
        </w:numPr>
        <w:ind w:left="0" w:firstLine="480"/>
        <w:rPr>
          <w:color w:val="auto"/>
          <w:sz w:val="24"/>
        </w:rPr>
      </w:pPr>
      <w:r>
        <w:rPr>
          <w:rFonts w:hint="eastAsia"/>
          <w:color w:val="auto"/>
          <w:sz w:val="24"/>
        </w:rPr>
        <w:t>一号制管理：具有维持体检档案号“一号制”的功能，防止同一个人的多次体检使用不同的体检档案号。</w:t>
      </w:r>
    </w:p>
    <w:p w14:paraId="5F4A3061">
      <w:pPr>
        <w:pStyle w:val="94"/>
        <w:numPr>
          <w:ilvl w:val="0"/>
          <w:numId w:val="104"/>
        </w:numPr>
        <w:ind w:left="0" w:firstLine="480"/>
        <w:rPr>
          <w:color w:val="auto"/>
          <w:sz w:val="24"/>
        </w:rPr>
      </w:pPr>
      <w:r>
        <w:rPr>
          <w:color w:val="auto"/>
          <w:sz w:val="24"/>
        </w:rPr>
        <w:t>支持远程</w:t>
      </w:r>
      <w:r>
        <w:rPr>
          <w:rFonts w:hint="eastAsia"/>
          <w:color w:val="auto"/>
          <w:sz w:val="24"/>
        </w:rPr>
        <w:t>登记，</w:t>
      </w:r>
      <w:r>
        <w:rPr>
          <w:color w:val="auto"/>
          <w:sz w:val="24"/>
        </w:rPr>
        <w:t>通过安装远程</w:t>
      </w:r>
      <w:r>
        <w:rPr>
          <w:rFonts w:hint="eastAsia"/>
          <w:color w:val="auto"/>
          <w:sz w:val="24"/>
        </w:rPr>
        <w:t>登记</w:t>
      </w:r>
      <w:r>
        <w:rPr>
          <w:color w:val="auto"/>
          <w:sz w:val="24"/>
        </w:rPr>
        <w:t>端</w:t>
      </w:r>
      <w:r>
        <w:rPr>
          <w:rFonts w:hint="eastAsia"/>
          <w:color w:val="auto"/>
          <w:sz w:val="24"/>
        </w:rPr>
        <w:t>，</w:t>
      </w:r>
      <w:r>
        <w:rPr>
          <w:color w:val="auto"/>
          <w:sz w:val="24"/>
        </w:rPr>
        <w:t>实现院外远程登记体检患者信息</w:t>
      </w:r>
      <w:r>
        <w:rPr>
          <w:rFonts w:hint="eastAsia"/>
          <w:color w:val="auto"/>
          <w:sz w:val="24"/>
        </w:rPr>
        <w:t>。</w:t>
      </w:r>
    </w:p>
    <w:p w14:paraId="523515AB">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打印</w:t>
      </w:r>
      <w:bookmarkEnd w:id="245"/>
      <w:bookmarkEnd w:id="246"/>
      <w:bookmarkEnd w:id="247"/>
    </w:p>
    <w:p w14:paraId="10790A5D">
      <w:pPr>
        <w:pStyle w:val="94"/>
        <w:numPr>
          <w:ilvl w:val="0"/>
          <w:numId w:val="105"/>
        </w:numPr>
        <w:ind w:left="0" w:firstLine="480"/>
        <w:rPr>
          <w:color w:val="auto"/>
          <w:sz w:val="24"/>
        </w:rPr>
      </w:pPr>
      <w:bookmarkStart w:id="248" w:name="_Toc62585525"/>
      <w:bookmarkStart w:id="249" w:name="_Toc56075667"/>
      <w:bookmarkStart w:id="250" w:name="_Toc106373087"/>
      <w:r>
        <w:rPr>
          <w:rFonts w:hint="eastAsia"/>
          <w:color w:val="auto"/>
          <w:sz w:val="24"/>
        </w:rPr>
        <w:t>条码打印：系统可以根据体检套餐的情况打印相应的条码，同时还增加了条码补打系统，以免客户在体检过程中的丢失。</w:t>
      </w:r>
    </w:p>
    <w:p w14:paraId="03FFB484">
      <w:pPr>
        <w:pStyle w:val="94"/>
        <w:numPr>
          <w:ilvl w:val="0"/>
          <w:numId w:val="105"/>
        </w:numPr>
        <w:ind w:left="0" w:firstLine="480"/>
        <w:rPr>
          <w:color w:val="auto"/>
          <w:sz w:val="24"/>
        </w:rPr>
      </w:pPr>
      <w:r>
        <w:rPr>
          <w:rFonts w:hint="eastAsia"/>
          <w:color w:val="auto"/>
          <w:sz w:val="24"/>
        </w:rPr>
        <w:t>表格打印：可以根据不同的套餐打印出相应的体检指引单，可到不同科室进行逐项检查。</w:t>
      </w:r>
    </w:p>
    <w:p w14:paraId="2DBE58B1">
      <w:pPr>
        <w:pStyle w:val="94"/>
        <w:numPr>
          <w:ilvl w:val="0"/>
          <w:numId w:val="105"/>
        </w:numPr>
        <w:ind w:left="0" w:firstLine="480"/>
        <w:rPr>
          <w:color w:val="auto"/>
          <w:sz w:val="24"/>
        </w:rPr>
      </w:pPr>
      <w:r>
        <w:rPr>
          <w:rFonts w:hint="eastAsia"/>
          <w:color w:val="auto"/>
          <w:sz w:val="24"/>
        </w:rPr>
        <w:t>报告打印：该系统提供单个报告打印和集中报告打印功能，并且可以将单个的和集体的体检报告分别以Excel文件、Access数据库的形式导出。</w:t>
      </w:r>
    </w:p>
    <w:p w14:paraId="1E187B4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报告</w:t>
      </w:r>
      <w:bookmarkEnd w:id="248"/>
      <w:bookmarkEnd w:id="249"/>
      <w:bookmarkEnd w:id="250"/>
    </w:p>
    <w:p w14:paraId="588BAB44">
      <w:pPr>
        <w:pStyle w:val="94"/>
        <w:numPr>
          <w:ilvl w:val="0"/>
          <w:numId w:val="106"/>
        </w:numPr>
        <w:ind w:left="0" w:firstLine="480"/>
        <w:rPr>
          <w:color w:val="auto"/>
          <w:sz w:val="24"/>
        </w:rPr>
      </w:pPr>
      <w:bookmarkStart w:id="251" w:name="_Toc62585526"/>
      <w:bookmarkStart w:id="252" w:name="_Toc56075668"/>
      <w:bookmarkStart w:id="253" w:name="_Toc106373088"/>
      <w:r>
        <w:rPr>
          <w:rFonts w:hint="eastAsia"/>
          <w:color w:val="auto"/>
          <w:sz w:val="24"/>
        </w:rPr>
        <w:t>报告管理：可对体检报告的格式、排版、封面进行修改、编辑、新增，并有多套标准模板。</w:t>
      </w:r>
    </w:p>
    <w:p w14:paraId="5E2518B8">
      <w:pPr>
        <w:pStyle w:val="94"/>
        <w:numPr>
          <w:ilvl w:val="0"/>
          <w:numId w:val="106"/>
        </w:numPr>
        <w:ind w:left="0" w:firstLine="480"/>
        <w:rPr>
          <w:color w:val="auto"/>
          <w:sz w:val="24"/>
        </w:rPr>
      </w:pPr>
      <w:r>
        <w:rPr>
          <w:rFonts w:hint="eastAsia"/>
          <w:color w:val="auto"/>
          <w:sz w:val="24"/>
        </w:rPr>
        <w:t>报告审核：各科室出报告可进行审核、小结可进行审核、完成总检可进行审核。</w:t>
      </w:r>
    </w:p>
    <w:p w14:paraId="3774F3DB">
      <w:pPr>
        <w:pStyle w:val="94"/>
        <w:numPr>
          <w:ilvl w:val="0"/>
          <w:numId w:val="106"/>
        </w:numPr>
        <w:ind w:left="0" w:firstLine="480"/>
        <w:rPr>
          <w:color w:val="auto"/>
          <w:sz w:val="24"/>
        </w:rPr>
      </w:pPr>
      <w:r>
        <w:rPr>
          <w:color w:val="auto"/>
          <w:sz w:val="24"/>
        </w:rPr>
        <w:t>报告打印</w:t>
      </w:r>
      <w:r>
        <w:rPr>
          <w:rFonts w:hint="eastAsia"/>
          <w:color w:val="auto"/>
          <w:sz w:val="24"/>
        </w:rPr>
        <w:t>：</w:t>
      </w:r>
      <w:r>
        <w:rPr>
          <w:color w:val="auto"/>
          <w:sz w:val="24"/>
        </w:rPr>
        <w:t>支持从多套模板中选择此次报告打印所用模板</w:t>
      </w:r>
      <w:r>
        <w:rPr>
          <w:rFonts w:hint="eastAsia"/>
          <w:color w:val="auto"/>
          <w:sz w:val="24"/>
        </w:rPr>
        <w:t>。</w:t>
      </w:r>
    </w:p>
    <w:p w14:paraId="4303C672">
      <w:pPr>
        <w:pStyle w:val="94"/>
        <w:numPr>
          <w:ilvl w:val="0"/>
          <w:numId w:val="106"/>
        </w:numPr>
        <w:ind w:left="0" w:firstLine="480"/>
        <w:rPr>
          <w:color w:val="auto"/>
          <w:sz w:val="24"/>
        </w:rPr>
      </w:pPr>
      <w:r>
        <w:rPr>
          <w:rFonts w:hint="eastAsia"/>
          <w:color w:val="auto"/>
          <w:sz w:val="24"/>
        </w:rPr>
        <w:t>体检</w:t>
      </w:r>
      <w:r>
        <w:rPr>
          <w:color w:val="auto"/>
          <w:sz w:val="24"/>
        </w:rPr>
        <w:t>报告</w:t>
      </w:r>
      <w:r>
        <w:rPr>
          <w:rFonts w:hint="eastAsia"/>
          <w:color w:val="auto"/>
          <w:sz w:val="24"/>
        </w:rPr>
        <w:t>：</w:t>
      </w:r>
      <w:r>
        <w:rPr>
          <w:color w:val="auto"/>
          <w:sz w:val="24"/>
        </w:rPr>
        <w:t>支持团检报告跟个人报告两种模式</w:t>
      </w:r>
      <w:r>
        <w:rPr>
          <w:rFonts w:hint="eastAsia"/>
          <w:color w:val="auto"/>
          <w:sz w:val="24"/>
        </w:rPr>
        <w:t>，</w:t>
      </w:r>
      <w:r>
        <w:rPr>
          <w:color w:val="auto"/>
          <w:sz w:val="24"/>
        </w:rPr>
        <w:t>可根据团检</w:t>
      </w:r>
      <w:r>
        <w:rPr>
          <w:rFonts w:hint="eastAsia"/>
          <w:color w:val="auto"/>
          <w:sz w:val="24"/>
        </w:rPr>
        <w:t>结果，</w:t>
      </w:r>
      <w:r>
        <w:rPr>
          <w:color w:val="auto"/>
          <w:sz w:val="24"/>
        </w:rPr>
        <w:t>自动生成团检报告</w:t>
      </w:r>
      <w:r>
        <w:rPr>
          <w:rFonts w:hint="eastAsia"/>
          <w:color w:val="auto"/>
          <w:sz w:val="24"/>
        </w:rPr>
        <w:t>。</w:t>
      </w:r>
    </w:p>
    <w:p w14:paraId="2FC74CA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报表</w:t>
      </w:r>
      <w:bookmarkEnd w:id="251"/>
      <w:bookmarkEnd w:id="252"/>
      <w:bookmarkEnd w:id="253"/>
    </w:p>
    <w:p w14:paraId="51B75A77">
      <w:pPr>
        <w:pStyle w:val="94"/>
        <w:numPr>
          <w:ilvl w:val="0"/>
          <w:numId w:val="107"/>
        </w:numPr>
        <w:ind w:left="0" w:firstLine="480"/>
        <w:rPr>
          <w:color w:val="auto"/>
          <w:sz w:val="24"/>
        </w:rPr>
      </w:pPr>
      <w:bookmarkStart w:id="254" w:name="_Toc106373089"/>
      <w:bookmarkStart w:id="255" w:name="_Toc62585527"/>
      <w:r>
        <w:rPr>
          <w:rFonts w:hint="eastAsia"/>
          <w:color w:val="auto"/>
          <w:sz w:val="24"/>
        </w:rPr>
        <w:t>体检报表：提供面对客户的（团体、个人）和体检中心内部所需的各种统计报表。</w:t>
      </w:r>
    </w:p>
    <w:p w14:paraId="5D943E84">
      <w:pPr>
        <w:pStyle w:val="94"/>
        <w:numPr>
          <w:ilvl w:val="0"/>
          <w:numId w:val="107"/>
        </w:numPr>
        <w:ind w:left="0" w:firstLine="480"/>
        <w:rPr>
          <w:color w:val="auto"/>
          <w:sz w:val="24"/>
        </w:rPr>
      </w:pPr>
      <w:r>
        <w:rPr>
          <w:rFonts w:hint="eastAsia"/>
          <w:color w:val="auto"/>
          <w:sz w:val="24"/>
        </w:rPr>
        <w:t>丰富的报表查询统计：具有丰富的各种统计报表，包括面向体检单位的分析报表，面向体检中心的各种工作量报表，面向财务的收费报表。必须具备的报表有：疾病的年龄段分布统计报表（年龄段可随意设置）、单位多次体检的对比分析报表、个人多次体检的对比分析报表、各科室工作量\收入报表、各工作人员工作量\收入报表，所有的报表，都必须能够以Excel\Access\Html等格式导出电子文档。</w:t>
      </w:r>
    </w:p>
    <w:p w14:paraId="561A06C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分检</w:t>
      </w:r>
      <w:bookmarkEnd w:id="254"/>
      <w:bookmarkEnd w:id="255"/>
    </w:p>
    <w:p w14:paraId="279B0585">
      <w:pPr>
        <w:pStyle w:val="94"/>
        <w:numPr>
          <w:ilvl w:val="0"/>
          <w:numId w:val="108"/>
        </w:numPr>
        <w:ind w:left="0" w:firstLine="480"/>
        <w:rPr>
          <w:color w:val="auto"/>
          <w:sz w:val="24"/>
        </w:rPr>
      </w:pPr>
      <w:bookmarkStart w:id="256" w:name="_Toc62585528"/>
      <w:bookmarkStart w:id="257" w:name="_Toc56075670"/>
      <w:bookmarkStart w:id="258" w:name="_Toc106373090"/>
      <w:r>
        <w:rPr>
          <w:color w:val="auto"/>
          <w:sz w:val="24"/>
        </w:rPr>
        <w:t>支持按照受检者所检的不同科室的体检项目进行结果录入</w:t>
      </w:r>
      <w:r>
        <w:rPr>
          <w:rFonts w:hint="eastAsia"/>
          <w:color w:val="auto"/>
          <w:sz w:val="24"/>
        </w:rPr>
        <w:t>。</w:t>
      </w:r>
    </w:p>
    <w:p w14:paraId="3BFA4C1C">
      <w:pPr>
        <w:pStyle w:val="94"/>
        <w:numPr>
          <w:ilvl w:val="0"/>
          <w:numId w:val="108"/>
        </w:numPr>
        <w:ind w:left="0" w:firstLine="480"/>
        <w:rPr>
          <w:color w:val="auto"/>
          <w:sz w:val="24"/>
        </w:rPr>
      </w:pPr>
      <w:r>
        <w:rPr>
          <w:color w:val="auto"/>
          <w:sz w:val="24"/>
        </w:rPr>
        <w:t>支持体检者历次体检结果</w:t>
      </w:r>
      <w:r>
        <w:rPr>
          <w:rFonts w:hint="eastAsia"/>
          <w:color w:val="auto"/>
          <w:sz w:val="24"/>
        </w:rPr>
        <w:t>、</w:t>
      </w:r>
      <w:r>
        <w:rPr>
          <w:color w:val="auto"/>
          <w:sz w:val="24"/>
        </w:rPr>
        <w:t>院内检查</w:t>
      </w:r>
      <w:r>
        <w:rPr>
          <w:rFonts w:hint="eastAsia"/>
          <w:color w:val="auto"/>
          <w:sz w:val="24"/>
        </w:rPr>
        <w:t>结果</w:t>
      </w:r>
      <w:r>
        <w:rPr>
          <w:color w:val="auto"/>
          <w:sz w:val="24"/>
        </w:rPr>
        <w:t>及小结信息查看，可对体检顾客历次结果进行对比分析。</w:t>
      </w:r>
    </w:p>
    <w:p w14:paraId="44A7E901">
      <w:pPr>
        <w:pStyle w:val="94"/>
        <w:numPr>
          <w:ilvl w:val="0"/>
          <w:numId w:val="108"/>
        </w:numPr>
        <w:ind w:left="0" w:firstLine="480"/>
        <w:rPr>
          <w:color w:val="auto"/>
          <w:sz w:val="24"/>
        </w:rPr>
      </w:pPr>
      <w:r>
        <w:rPr>
          <w:color w:val="auto"/>
          <w:sz w:val="24"/>
        </w:rPr>
        <w:t>能够根据患者实际情况</w:t>
      </w:r>
      <w:r>
        <w:rPr>
          <w:rFonts w:hint="eastAsia"/>
          <w:color w:val="auto"/>
          <w:sz w:val="24"/>
        </w:rPr>
        <w:t>，</w:t>
      </w:r>
      <w:r>
        <w:rPr>
          <w:color w:val="auto"/>
          <w:sz w:val="24"/>
        </w:rPr>
        <w:t>设置</w:t>
      </w:r>
      <w:r>
        <w:rPr>
          <w:rFonts w:hint="eastAsia"/>
          <w:color w:val="auto"/>
          <w:sz w:val="24"/>
        </w:rPr>
        <w:t>项目是否拒检。</w:t>
      </w:r>
    </w:p>
    <w:p w14:paraId="095E9A2B">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总检</w:t>
      </w:r>
      <w:bookmarkEnd w:id="256"/>
      <w:bookmarkEnd w:id="257"/>
      <w:bookmarkEnd w:id="258"/>
    </w:p>
    <w:p w14:paraId="160B8F27">
      <w:pPr>
        <w:pStyle w:val="94"/>
        <w:numPr>
          <w:ilvl w:val="0"/>
          <w:numId w:val="109"/>
        </w:numPr>
        <w:ind w:left="0" w:firstLine="480"/>
        <w:rPr>
          <w:color w:val="auto"/>
          <w:sz w:val="24"/>
        </w:rPr>
      </w:pPr>
      <w:bookmarkStart w:id="259" w:name="_Toc106373091"/>
      <w:r>
        <w:rPr>
          <w:rFonts w:hint="eastAsia"/>
          <w:color w:val="auto"/>
          <w:sz w:val="24"/>
        </w:rPr>
        <w:t>能够自动产生综述和建议。</w:t>
      </w:r>
    </w:p>
    <w:p w14:paraId="2896AB93">
      <w:pPr>
        <w:pStyle w:val="94"/>
        <w:numPr>
          <w:ilvl w:val="0"/>
          <w:numId w:val="109"/>
        </w:numPr>
        <w:ind w:left="0" w:firstLine="480"/>
        <w:rPr>
          <w:color w:val="auto"/>
          <w:sz w:val="24"/>
        </w:rPr>
      </w:pPr>
      <w:r>
        <w:rPr>
          <w:rFonts w:hint="eastAsia"/>
          <w:color w:val="auto"/>
          <w:sz w:val="24"/>
        </w:rPr>
        <w:t>支持查询历次的体检结果。</w:t>
      </w:r>
    </w:p>
    <w:p w14:paraId="68C60906">
      <w:pPr>
        <w:pStyle w:val="94"/>
        <w:numPr>
          <w:ilvl w:val="0"/>
          <w:numId w:val="109"/>
        </w:numPr>
        <w:ind w:left="0" w:firstLine="480"/>
        <w:rPr>
          <w:color w:val="auto"/>
          <w:sz w:val="24"/>
        </w:rPr>
      </w:pPr>
      <w:r>
        <w:rPr>
          <w:rFonts w:hint="eastAsia"/>
          <w:color w:val="auto"/>
          <w:sz w:val="24"/>
        </w:rPr>
        <w:t>支持进行对比分析，可以根据需要单向检查或检验的对比分析。</w:t>
      </w:r>
    </w:p>
    <w:p w14:paraId="23B28CDE">
      <w:pPr>
        <w:pStyle w:val="94"/>
        <w:numPr>
          <w:ilvl w:val="0"/>
          <w:numId w:val="109"/>
        </w:numPr>
        <w:ind w:left="0" w:firstLine="480"/>
        <w:rPr>
          <w:color w:val="auto"/>
          <w:sz w:val="24"/>
        </w:rPr>
      </w:pPr>
      <w:r>
        <w:rPr>
          <w:rFonts w:hint="eastAsia"/>
          <w:color w:val="auto"/>
          <w:sz w:val="24"/>
        </w:rPr>
        <w:t>具有完备的总检撤销和重做功能，在总检未撤销前，阻止体检明细项目结果值的随意修改；在重做总检时，能够醒目地列出变化的内容，并保持以前的总检内容以备修改，避免以前总检内容的丢失。</w:t>
      </w:r>
    </w:p>
    <w:p w14:paraId="5234BDBC">
      <w:pPr>
        <w:pStyle w:val="94"/>
        <w:numPr>
          <w:ilvl w:val="0"/>
          <w:numId w:val="109"/>
        </w:numPr>
        <w:ind w:left="0" w:firstLine="480"/>
        <w:rPr>
          <w:color w:val="auto"/>
          <w:sz w:val="24"/>
        </w:rPr>
      </w:pPr>
      <w:r>
        <w:rPr>
          <w:color w:val="auto"/>
          <w:sz w:val="24"/>
        </w:rPr>
        <w:t>具有清晰的体检闭环管理</w:t>
      </w:r>
      <w:r>
        <w:rPr>
          <w:rFonts w:hint="eastAsia"/>
          <w:color w:val="auto"/>
          <w:sz w:val="24"/>
        </w:rPr>
        <w:t>，</w:t>
      </w:r>
      <w:r>
        <w:rPr>
          <w:color w:val="auto"/>
          <w:sz w:val="24"/>
        </w:rPr>
        <w:t>从待检到报告发送全流程展示</w:t>
      </w:r>
      <w:r>
        <w:rPr>
          <w:rFonts w:hint="eastAsia"/>
          <w:color w:val="auto"/>
          <w:sz w:val="24"/>
        </w:rPr>
        <w:t>。</w:t>
      </w:r>
    </w:p>
    <w:p w14:paraId="32489231">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体检收费</w:t>
      </w:r>
      <w:bookmarkEnd w:id="259"/>
    </w:p>
    <w:p w14:paraId="2AFBF81A">
      <w:pPr>
        <w:pStyle w:val="94"/>
        <w:numPr>
          <w:ilvl w:val="0"/>
          <w:numId w:val="110"/>
        </w:numPr>
        <w:ind w:left="0" w:firstLine="480"/>
        <w:rPr>
          <w:color w:val="auto"/>
          <w:sz w:val="24"/>
        </w:rPr>
      </w:pPr>
      <w:bookmarkStart w:id="260" w:name="_Toc106373092"/>
      <w:r>
        <w:rPr>
          <w:rFonts w:hint="eastAsia"/>
          <w:color w:val="auto"/>
          <w:sz w:val="24"/>
        </w:rPr>
        <w:t>可以通过身份证、导检单进行个人待收费信息的查询，可以进行多种支付方式的记录，自动打印收费发票。</w:t>
      </w:r>
    </w:p>
    <w:p w14:paraId="41FB5087">
      <w:pPr>
        <w:pStyle w:val="94"/>
        <w:numPr>
          <w:ilvl w:val="0"/>
          <w:numId w:val="110"/>
        </w:numPr>
        <w:ind w:left="0" w:firstLine="480"/>
        <w:rPr>
          <w:color w:val="auto"/>
          <w:sz w:val="24"/>
        </w:rPr>
      </w:pPr>
      <w:r>
        <w:rPr>
          <w:color w:val="auto"/>
          <w:sz w:val="24"/>
        </w:rPr>
        <w:t>支持团检付费</w:t>
      </w:r>
      <w:r>
        <w:rPr>
          <w:rFonts w:hint="eastAsia"/>
          <w:color w:val="auto"/>
          <w:sz w:val="24"/>
        </w:rPr>
        <w:t>、</w:t>
      </w:r>
      <w:r>
        <w:rPr>
          <w:color w:val="auto"/>
          <w:sz w:val="24"/>
        </w:rPr>
        <w:t>不记名卡预充值</w:t>
      </w:r>
      <w:r>
        <w:rPr>
          <w:rFonts w:hint="eastAsia"/>
          <w:color w:val="auto"/>
          <w:sz w:val="24"/>
        </w:rPr>
        <w:t>、</w:t>
      </w:r>
      <w:r>
        <w:rPr>
          <w:color w:val="auto"/>
          <w:sz w:val="24"/>
        </w:rPr>
        <w:t>个人体检卡预充值</w:t>
      </w:r>
      <w:r>
        <w:rPr>
          <w:rFonts w:hint="eastAsia"/>
          <w:color w:val="auto"/>
          <w:sz w:val="24"/>
        </w:rPr>
        <w:t>、个检缴费等多种模式进行付费。</w:t>
      </w:r>
    </w:p>
    <w:p w14:paraId="7B47A5F1">
      <w:pPr>
        <w:pStyle w:val="94"/>
        <w:numPr>
          <w:ilvl w:val="0"/>
          <w:numId w:val="110"/>
        </w:numPr>
        <w:ind w:left="0" w:firstLine="480"/>
        <w:rPr>
          <w:color w:val="auto"/>
          <w:sz w:val="24"/>
        </w:rPr>
      </w:pPr>
      <w:r>
        <w:rPr>
          <w:color w:val="auto"/>
          <w:sz w:val="24"/>
        </w:rPr>
        <w:t>支持单个项目打折</w:t>
      </w:r>
      <w:r>
        <w:rPr>
          <w:rFonts w:hint="eastAsia"/>
          <w:color w:val="auto"/>
          <w:sz w:val="24"/>
        </w:rPr>
        <w:t>、</w:t>
      </w:r>
      <w:r>
        <w:rPr>
          <w:color w:val="auto"/>
          <w:sz w:val="24"/>
        </w:rPr>
        <w:t>体检套餐打折</w:t>
      </w:r>
      <w:r>
        <w:rPr>
          <w:rFonts w:hint="eastAsia"/>
          <w:color w:val="auto"/>
          <w:sz w:val="24"/>
        </w:rPr>
        <w:t>、</w:t>
      </w:r>
      <w:r>
        <w:rPr>
          <w:color w:val="auto"/>
          <w:sz w:val="24"/>
        </w:rPr>
        <w:t>团体打折</w:t>
      </w:r>
      <w:r>
        <w:rPr>
          <w:rFonts w:hint="eastAsia"/>
          <w:color w:val="auto"/>
          <w:sz w:val="24"/>
        </w:rPr>
        <w:t>。</w:t>
      </w:r>
    </w:p>
    <w:p w14:paraId="68F3A9D2">
      <w:pPr>
        <w:pStyle w:val="94"/>
        <w:numPr>
          <w:ilvl w:val="0"/>
          <w:numId w:val="110"/>
        </w:numPr>
        <w:ind w:left="0" w:firstLine="480"/>
        <w:rPr>
          <w:color w:val="auto"/>
          <w:sz w:val="24"/>
        </w:rPr>
      </w:pPr>
      <w:r>
        <w:rPr>
          <w:color w:val="auto"/>
          <w:sz w:val="24"/>
        </w:rPr>
        <w:t>支持体检套餐临时加项</w:t>
      </w:r>
      <w:r>
        <w:rPr>
          <w:rFonts w:hint="eastAsia"/>
          <w:color w:val="auto"/>
          <w:sz w:val="24"/>
        </w:rPr>
        <w:t>。</w:t>
      </w:r>
    </w:p>
    <w:p w14:paraId="547E0E84">
      <w:pPr>
        <w:pStyle w:val="94"/>
        <w:numPr>
          <w:ilvl w:val="0"/>
          <w:numId w:val="110"/>
        </w:numPr>
        <w:ind w:left="0" w:firstLine="480"/>
        <w:rPr>
          <w:color w:val="auto"/>
          <w:sz w:val="24"/>
        </w:rPr>
      </w:pPr>
      <w:r>
        <w:rPr>
          <w:color w:val="auto"/>
          <w:sz w:val="24"/>
        </w:rPr>
        <w:t>支持个检</w:t>
      </w:r>
      <w:r>
        <w:rPr>
          <w:rFonts w:hint="eastAsia"/>
          <w:color w:val="auto"/>
          <w:sz w:val="24"/>
        </w:rPr>
        <w:t>、</w:t>
      </w:r>
      <w:r>
        <w:rPr>
          <w:color w:val="auto"/>
          <w:sz w:val="24"/>
        </w:rPr>
        <w:t>团检发票打印</w:t>
      </w:r>
      <w:r>
        <w:rPr>
          <w:rFonts w:hint="eastAsia"/>
          <w:color w:val="auto"/>
          <w:sz w:val="24"/>
        </w:rPr>
        <w:t>。</w:t>
      </w:r>
    </w:p>
    <w:p w14:paraId="23B95D18">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一体化体检平台</w:t>
      </w:r>
      <w:bookmarkEnd w:id="260"/>
    </w:p>
    <w:p w14:paraId="24BC3229">
      <w:pPr>
        <w:pStyle w:val="94"/>
        <w:numPr>
          <w:ilvl w:val="0"/>
          <w:numId w:val="111"/>
        </w:numPr>
        <w:ind w:left="0" w:firstLine="480"/>
        <w:rPr>
          <w:color w:val="auto"/>
          <w:sz w:val="24"/>
        </w:rPr>
      </w:pPr>
      <w:bookmarkStart w:id="261" w:name="_Toc106373093"/>
      <w:r>
        <w:rPr>
          <w:rFonts w:hint="eastAsia"/>
          <w:color w:val="auto"/>
          <w:sz w:val="24"/>
        </w:rPr>
        <w:t>支持体检人员使用门诊收费进行窗口缴费。</w:t>
      </w:r>
    </w:p>
    <w:p w14:paraId="318408A4">
      <w:pPr>
        <w:pStyle w:val="94"/>
        <w:numPr>
          <w:ilvl w:val="0"/>
          <w:numId w:val="111"/>
        </w:numPr>
        <w:ind w:left="0" w:firstLine="480"/>
        <w:rPr>
          <w:color w:val="auto"/>
          <w:sz w:val="24"/>
        </w:rPr>
      </w:pPr>
      <w:r>
        <w:rPr>
          <w:color w:val="auto"/>
          <w:sz w:val="24"/>
        </w:rPr>
        <w:t>支持体检人员使用移动支付设备进行线上缴费</w:t>
      </w:r>
      <w:r>
        <w:rPr>
          <w:rFonts w:hint="eastAsia"/>
          <w:color w:val="auto"/>
          <w:sz w:val="24"/>
        </w:rPr>
        <w:t>。</w:t>
      </w:r>
    </w:p>
    <w:p w14:paraId="0A27FB9E">
      <w:pPr>
        <w:pStyle w:val="94"/>
        <w:numPr>
          <w:ilvl w:val="0"/>
          <w:numId w:val="111"/>
        </w:numPr>
        <w:ind w:left="0" w:firstLine="480"/>
        <w:rPr>
          <w:color w:val="auto"/>
          <w:sz w:val="24"/>
        </w:rPr>
      </w:pPr>
      <w:r>
        <w:rPr>
          <w:color w:val="auto"/>
          <w:sz w:val="24"/>
        </w:rPr>
        <w:t>支持通过自助设备取检查结果</w:t>
      </w:r>
      <w:r>
        <w:rPr>
          <w:rFonts w:hint="eastAsia"/>
          <w:color w:val="auto"/>
          <w:sz w:val="24"/>
        </w:rPr>
        <w:t>。</w:t>
      </w:r>
    </w:p>
    <w:p w14:paraId="23339C53">
      <w:pPr>
        <w:pStyle w:val="94"/>
        <w:numPr>
          <w:ilvl w:val="0"/>
          <w:numId w:val="111"/>
        </w:numPr>
        <w:ind w:left="0" w:firstLine="480"/>
        <w:rPr>
          <w:color w:val="auto"/>
          <w:sz w:val="24"/>
        </w:rPr>
      </w:pPr>
      <w:r>
        <w:rPr>
          <w:color w:val="auto"/>
          <w:sz w:val="24"/>
        </w:rPr>
        <w:t>支持通过微信公众号查看体检报告</w:t>
      </w:r>
      <w:r>
        <w:rPr>
          <w:rFonts w:hint="eastAsia"/>
          <w:color w:val="auto"/>
          <w:sz w:val="24"/>
        </w:rPr>
        <w:t>。</w:t>
      </w:r>
    </w:p>
    <w:p w14:paraId="2BE7873C">
      <w:pPr>
        <w:pStyle w:val="94"/>
        <w:numPr>
          <w:ilvl w:val="0"/>
          <w:numId w:val="111"/>
        </w:numPr>
        <w:ind w:left="0" w:firstLine="480"/>
        <w:rPr>
          <w:color w:val="auto"/>
          <w:sz w:val="24"/>
        </w:rPr>
      </w:pPr>
      <w:r>
        <w:rPr>
          <w:color w:val="auto"/>
          <w:sz w:val="24"/>
        </w:rPr>
        <w:t>支持体检人员与门诊病人共同排队叫号</w:t>
      </w:r>
      <w:r>
        <w:rPr>
          <w:rFonts w:hint="eastAsia"/>
          <w:color w:val="auto"/>
          <w:sz w:val="24"/>
        </w:rPr>
        <w:t>、预约检查。</w:t>
      </w:r>
    </w:p>
    <w:p w14:paraId="3793BF3C">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数据集成</w:t>
      </w:r>
      <w:bookmarkEnd w:id="261"/>
    </w:p>
    <w:p w14:paraId="18467BBC">
      <w:pPr>
        <w:ind w:firstLine="480"/>
        <w:rPr>
          <w:rFonts w:cs="仿宋"/>
          <w:color w:val="auto"/>
        </w:rPr>
      </w:pPr>
      <w:r>
        <w:rPr>
          <w:rFonts w:hint="eastAsia" w:cs="仿宋"/>
          <w:color w:val="auto"/>
        </w:rPr>
        <w:t>支持集成患者临床辅助检查数据。</w:t>
      </w:r>
    </w:p>
    <w:p w14:paraId="1E1D4AA9">
      <w:pPr>
        <w:ind w:firstLine="480"/>
        <w:rPr>
          <w:rFonts w:cs="仿宋"/>
          <w:color w:val="auto"/>
        </w:rPr>
      </w:pPr>
      <w:r>
        <w:rPr>
          <w:rFonts w:hint="eastAsia" w:cs="仿宋"/>
          <w:color w:val="auto"/>
        </w:rPr>
        <w:t>支持临床辅助检查数据与体检检查数据参考对比。</w:t>
      </w:r>
    </w:p>
    <w:p w14:paraId="467F82C5">
      <w:pPr>
        <w:pStyle w:val="341"/>
        <w:spacing w:beforeLines="0"/>
        <w:ind w:firstLine="482"/>
        <w:rPr>
          <w:rFonts w:hint="eastAsia" w:ascii="宋体" w:hAnsi="宋体" w:cs="仿宋"/>
          <w:b/>
          <w:bCs/>
          <w:color w:val="auto"/>
          <w:sz w:val="24"/>
          <w:szCs w:val="24"/>
        </w:rPr>
      </w:pPr>
      <w:bookmarkStart w:id="262" w:name="_Toc106373094"/>
      <w:r>
        <w:rPr>
          <w:rFonts w:hint="eastAsia" w:ascii="宋体" w:hAnsi="宋体" w:cs="仿宋"/>
          <w:b/>
          <w:bCs/>
          <w:color w:val="auto"/>
          <w:sz w:val="24"/>
          <w:szCs w:val="24"/>
        </w:rPr>
        <w:t>智能结论</w:t>
      </w:r>
      <w:bookmarkEnd w:id="262"/>
    </w:p>
    <w:p w14:paraId="5C534908">
      <w:pPr>
        <w:ind w:firstLine="480"/>
        <w:rPr>
          <w:rFonts w:cs="仿宋"/>
          <w:color w:val="auto"/>
        </w:rPr>
      </w:pPr>
      <w:r>
        <w:rPr>
          <w:rFonts w:hint="eastAsia" w:cs="仿宋"/>
          <w:color w:val="auto"/>
        </w:rPr>
        <w:t>支持智能结论规则库定义。</w:t>
      </w:r>
    </w:p>
    <w:p w14:paraId="64D473DC">
      <w:pPr>
        <w:ind w:firstLine="480"/>
        <w:rPr>
          <w:rFonts w:cs="仿宋"/>
          <w:color w:val="auto"/>
        </w:rPr>
      </w:pPr>
      <w:r>
        <w:rPr>
          <w:rFonts w:hint="eastAsia" w:cs="仿宋"/>
          <w:color w:val="auto"/>
        </w:rPr>
        <w:t>支持根据异常体征自动生成结论。</w:t>
      </w:r>
    </w:p>
    <w:p w14:paraId="178B3320">
      <w:pPr>
        <w:ind w:firstLine="480"/>
        <w:rPr>
          <w:rFonts w:cs="仿宋"/>
          <w:color w:val="auto"/>
        </w:rPr>
      </w:pPr>
      <w:r>
        <w:rPr>
          <w:rFonts w:hint="eastAsia" w:cs="仿宋"/>
          <w:color w:val="auto"/>
        </w:rPr>
        <w:t>支持手动追加结论。</w:t>
      </w:r>
    </w:p>
    <w:p w14:paraId="49445649">
      <w:pPr>
        <w:pStyle w:val="341"/>
        <w:spacing w:beforeLines="0"/>
        <w:ind w:firstLine="482"/>
        <w:rPr>
          <w:rFonts w:hint="eastAsia" w:ascii="宋体" w:hAnsi="宋体" w:cs="仿宋"/>
          <w:b/>
          <w:bCs/>
          <w:color w:val="auto"/>
          <w:sz w:val="24"/>
          <w:szCs w:val="24"/>
        </w:rPr>
      </w:pPr>
      <w:bookmarkStart w:id="263" w:name="_Toc106373095"/>
      <w:r>
        <w:rPr>
          <w:rFonts w:hint="eastAsia" w:ascii="宋体" w:hAnsi="宋体" w:cs="仿宋"/>
          <w:b/>
          <w:bCs/>
          <w:color w:val="auto"/>
          <w:sz w:val="24"/>
          <w:szCs w:val="24"/>
        </w:rPr>
        <w:t>智能建议</w:t>
      </w:r>
      <w:bookmarkEnd w:id="263"/>
    </w:p>
    <w:p w14:paraId="3FE54F03">
      <w:pPr>
        <w:ind w:firstLine="480"/>
        <w:rPr>
          <w:rFonts w:cs="仿宋"/>
          <w:color w:val="auto"/>
        </w:rPr>
      </w:pPr>
      <w:r>
        <w:rPr>
          <w:rFonts w:hint="eastAsia" w:cs="仿宋"/>
          <w:color w:val="auto"/>
        </w:rPr>
        <w:t>支持智能建议规则库定义。</w:t>
      </w:r>
    </w:p>
    <w:p w14:paraId="704FE3D8">
      <w:pPr>
        <w:ind w:firstLine="480"/>
        <w:rPr>
          <w:rFonts w:cs="仿宋"/>
          <w:color w:val="auto"/>
        </w:rPr>
      </w:pPr>
      <w:r>
        <w:rPr>
          <w:rFonts w:hint="eastAsia" w:cs="仿宋"/>
          <w:color w:val="auto"/>
        </w:rPr>
        <w:t>支持根据体检结论智能生成体检建议。</w:t>
      </w:r>
    </w:p>
    <w:p w14:paraId="3472FCF9">
      <w:pPr>
        <w:ind w:firstLine="480"/>
        <w:rPr>
          <w:rFonts w:cs="仿宋"/>
          <w:color w:val="auto"/>
        </w:rPr>
      </w:pPr>
      <w:r>
        <w:rPr>
          <w:rFonts w:hint="eastAsia" w:cs="仿宋"/>
          <w:color w:val="auto"/>
        </w:rPr>
        <w:t>支持手动追加建议。</w:t>
      </w:r>
    </w:p>
    <w:p w14:paraId="737A800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查询</w:t>
      </w:r>
    </w:p>
    <w:p w14:paraId="2EDABF78">
      <w:pPr>
        <w:ind w:firstLine="480"/>
        <w:rPr>
          <w:rFonts w:cs="仿宋"/>
          <w:color w:val="auto"/>
        </w:rPr>
      </w:pPr>
      <w:r>
        <w:rPr>
          <w:rFonts w:hint="eastAsia" w:cs="仿宋"/>
          <w:color w:val="auto"/>
        </w:rPr>
        <w:t>数据查询：提供模糊查询方式。并提供多种格式导出功能（EXCEL、XML、HTML、PDF）。</w:t>
      </w:r>
    </w:p>
    <w:p w14:paraId="202B135B">
      <w:pPr>
        <w:ind w:firstLine="480"/>
        <w:rPr>
          <w:rFonts w:cs="仿宋"/>
          <w:color w:val="auto"/>
        </w:rPr>
      </w:pPr>
      <w:r>
        <w:rPr>
          <w:rFonts w:hint="eastAsia" w:cs="仿宋"/>
          <w:color w:val="auto"/>
        </w:rPr>
        <w:t>复诊查询模块：各医生诊台操作界面均设置了复查信息功能，并在总检医生诊台再次设置了复查审核确认功能。可在报表统计中进行统一查询，生成相关报表。方便体检中心下一步开展检后服务。</w:t>
      </w:r>
    </w:p>
    <w:p w14:paraId="2FF197F3">
      <w:pPr>
        <w:ind w:firstLine="480"/>
        <w:rPr>
          <w:rFonts w:cs="仿宋"/>
          <w:color w:val="auto"/>
        </w:rPr>
      </w:pPr>
      <w:r>
        <w:rPr>
          <w:rFonts w:hint="eastAsia" w:cs="仿宋"/>
          <w:color w:val="auto"/>
        </w:rPr>
        <w:t>多媒体查询功能：提供自助查询的功能，方便体检人员自助查询套餐信息、体检结果信息等。</w:t>
      </w:r>
    </w:p>
    <w:p w14:paraId="096ABF40">
      <w:pPr>
        <w:ind w:firstLine="480"/>
        <w:rPr>
          <w:rFonts w:cs="仿宋"/>
          <w:color w:val="auto"/>
        </w:rPr>
      </w:pPr>
      <w:r>
        <w:rPr>
          <w:rFonts w:hint="eastAsia" w:cs="仿宋"/>
          <w:color w:val="auto"/>
        </w:rPr>
        <w:t>平台查询体检报告：能够将体检报告发送到网站、APP、微信等平台，并提供网站、APP、微信等平台进行体检报告的查询功能。</w:t>
      </w:r>
    </w:p>
    <w:p w14:paraId="7808EFE5">
      <w:pPr>
        <w:ind w:firstLine="480"/>
        <w:rPr>
          <w:rFonts w:cs="仿宋"/>
          <w:color w:val="auto"/>
        </w:rPr>
      </w:pPr>
      <w:r>
        <w:rPr>
          <w:rFonts w:hint="eastAsia" w:cs="仿宋"/>
          <w:color w:val="auto"/>
        </w:rPr>
        <w:t>自动防止漏检、设置拒检：具有检查督办和拒检登记功能，提供多种查询报表，以便查阅未检人员、未检项目；并且可以记录拒检项目。</w:t>
      </w:r>
    </w:p>
    <w:p w14:paraId="10B90DC7">
      <w:pPr>
        <w:pStyle w:val="341"/>
        <w:spacing w:beforeLines="0"/>
        <w:ind w:firstLine="482"/>
        <w:rPr>
          <w:rFonts w:hint="eastAsia" w:ascii="宋体" w:hAnsi="宋体" w:cs="仿宋"/>
          <w:b/>
          <w:bCs/>
          <w:color w:val="auto"/>
          <w:sz w:val="24"/>
          <w:szCs w:val="24"/>
        </w:rPr>
      </w:pPr>
      <w:bookmarkStart w:id="264" w:name="_Toc114752145"/>
      <w:r>
        <w:rPr>
          <w:rFonts w:hint="eastAsia" w:ascii="宋体" w:hAnsi="宋体" w:cs="仿宋"/>
          <w:b/>
          <w:bCs/>
          <w:color w:val="auto"/>
          <w:sz w:val="24"/>
          <w:szCs w:val="24"/>
        </w:rPr>
        <w:t>职业病体检</w:t>
      </w:r>
      <w:bookmarkEnd w:id="264"/>
    </w:p>
    <w:p w14:paraId="03C19F2D">
      <w:pPr>
        <w:pStyle w:val="94"/>
        <w:numPr>
          <w:ilvl w:val="0"/>
          <w:numId w:val="112"/>
        </w:numPr>
        <w:ind w:left="0" w:firstLine="200" w:firstLineChars="0"/>
        <w:rPr>
          <w:rFonts w:cs="仿宋"/>
          <w:color w:val="auto"/>
          <w:sz w:val="24"/>
        </w:rPr>
      </w:pPr>
      <w:r>
        <w:rPr>
          <w:rFonts w:hint="eastAsia" w:cs="仿宋"/>
          <w:color w:val="auto"/>
          <w:sz w:val="24"/>
        </w:rPr>
        <w:t>系统支持职业病体检功能，依据GBZ188-2014开发。</w:t>
      </w:r>
    </w:p>
    <w:p w14:paraId="0E6D6898">
      <w:pPr>
        <w:pStyle w:val="94"/>
        <w:numPr>
          <w:ilvl w:val="0"/>
          <w:numId w:val="112"/>
        </w:numPr>
        <w:ind w:left="0" w:firstLine="200" w:firstLineChars="0"/>
        <w:rPr>
          <w:rFonts w:cs="仿宋"/>
          <w:color w:val="auto"/>
          <w:sz w:val="24"/>
        </w:rPr>
      </w:pPr>
      <w:r>
        <w:rPr>
          <w:rFonts w:hint="eastAsia" w:cs="仿宋"/>
          <w:color w:val="auto"/>
          <w:sz w:val="24"/>
        </w:rPr>
        <w:t>体检类别包括：上岗前、在岗期间、离岗时、应急时四类，系统支持后台维护职业病危害因素信息，可根据需要设定危害因素在各类职业病体检类型下的必检项目。</w:t>
      </w:r>
    </w:p>
    <w:p w14:paraId="616CBDB7">
      <w:pPr>
        <w:pStyle w:val="94"/>
        <w:numPr>
          <w:ilvl w:val="0"/>
          <w:numId w:val="112"/>
        </w:numPr>
        <w:ind w:left="0" w:firstLine="200" w:firstLineChars="0"/>
        <w:rPr>
          <w:rFonts w:cs="仿宋"/>
          <w:color w:val="auto"/>
          <w:sz w:val="24"/>
        </w:rPr>
      </w:pPr>
      <w:r>
        <w:rPr>
          <w:rFonts w:hint="eastAsia" w:cs="仿宋"/>
          <w:color w:val="auto"/>
          <w:sz w:val="24"/>
        </w:rPr>
        <w:t>支持个人职业病体检，前台申请登记可录入“职业病体检类型”、“接害因素”、“接害工龄”等信息，系统据此自动关联后台设定自动屏蔽重复项目，实现快速准确的生成必检项目</w:t>
      </w:r>
    </w:p>
    <w:p w14:paraId="154F7431">
      <w:pPr>
        <w:pStyle w:val="94"/>
        <w:numPr>
          <w:ilvl w:val="0"/>
          <w:numId w:val="112"/>
        </w:numPr>
        <w:ind w:left="0" w:firstLine="200" w:firstLineChars="0"/>
        <w:rPr>
          <w:rFonts w:cs="仿宋"/>
          <w:color w:val="auto"/>
          <w:sz w:val="24"/>
        </w:rPr>
      </w:pPr>
      <w:r>
        <w:rPr>
          <w:rFonts w:hint="eastAsia" w:cs="仿宋"/>
          <w:color w:val="auto"/>
          <w:sz w:val="24"/>
        </w:rPr>
        <w:t>系统支持后台根据接害因素设定职业病疾病判断条件，自动生成职业病诊断。</w:t>
      </w:r>
    </w:p>
    <w:p w14:paraId="2F37B5B0">
      <w:pPr>
        <w:pStyle w:val="94"/>
        <w:numPr>
          <w:ilvl w:val="0"/>
          <w:numId w:val="112"/>
        </w:numPr>
        <w:ind w:left="0" w:firstLine="200" w:firstLineChars="0"/>
        <w:rPr>
          <w:rFonts w:cs="仿宋"/>
          <w:color w:val="auto"/>
          <w:sz w:val="24"/>
        </w:rPr>
      </w:pPr>
      <w:r>
        <w:rPr>
          <w:rFonts w:hint="eastAsia" w:cs="仿宋"/>
          <w:color w:val="auto"/>
          <w:sz w:val="24"/>
        </w:rPr>
        <w:t>支持根据 GBZ188-2014 进行职业禁忌证分类，能够根据体检类别和危害因素显示维护职业禁忌证。</w:t>
      </w:r>
    </w:p>
    <w:p w14:paraId="3025AEB7">
      <w:pPr>
        <w:pStyle w:val="94"/>
        <w:numPr>
          <w:ilvl w:val="0"/>
          <w:numId w:val="112"/>
        </w:numPr>
        <w:ind w:left="0" w:firstLine="200" w:firstLineChars="0"/>
        <w:rPr>
          <w:rFonts w:cs="仿宋"/>
          <w:color w:val="auto"/>
          <w:sz w:val="24"/>
        </w:rPr>
      </w:pPr>
      <w:r>
        <w:rPr>
          <w:rFonts w:hint="eastAsia" w:cs="仿宋"/>
          <w:color w:val="auto"/>
          <w:sz w:val="24"/>
        </w:rPr>
        <w:t>系统支持后台设定职业疾病的健康建议，根据职业病疾病自动生成职业病健康建议。</w:t>
      </w:r>
    </w:p>
    <w:p w14:paraId="7A08793A">
      <w:pPr>
        <w:pStyle w:val="94"/>
        <w:numPr>
          <w:ilvl w:val="0"/>
          <w:numId w:val="112"/>
        </w:numPr>
        <w:ind w:left="0" w:firstLine="200" w:firstLineChars="0"/>
        <w:rPr>
          <w:rFonts w:cs="仿宋"/>
          <w:color w:val="auto"/>
          <w:sz w:val="24"/>
        </w:rPr>
      </w:pPr>
      <w:r>
        <w:rPr>
          <w:rFonts w:hint="eastAsia" w:cs="仿宋"/>
          <w:color w:val="auto"/>
          <w:sz w:val="24"/>
        </w:rPr>
        <w:t>总检室可方便的查看体检者的接害因素、接害工龄等职业病相关信息。</w:t>
      </w:r>
    </w:p>
    <w:p w14:paraId="1860D459">
      <w:pPr>
        <w:pStyle w:val="94"/>
        <w:numPr>
          <w:ilvl w:val="0"/>
          <w:numId w:val="112"/>
        </w:numPr>
        <w:ind w:left="0" w:firstLine="200" w:firstLineChars="0"/>
        <w:rPr>
          <w:rFonts w:cs="仿宋"/>
          <w:color w:val="auto"/>
          <w:sz w:val="24"/>
        </w:rPr>
      </w:pPr>
      <w:r>
        <w:rPr>
          <w:rFonts w:hint="eastAsia" w:cs="仿宋"/>
          <w:color w:val="auto"/>
          <w:sz w:val="24"/>
        </w:rPr>
        <w:t>系统可自动弹框显示体检者所处的接害因素及对应的“职业病疾病名称”、“职业禁忌证”及“影响健康状况”等信息。</w:t>
      </w:r>
    </w:p>
    <w:p w14:paraId="543A29FA">
      <w:pPr>
        <w:pStyle w:val="94"/>
        <w:numPr>
          <w:ilvl w:val="0"/>
          <w:numId w:val="112"/>
        </w:numPr>
        <w:ind w:left="0" w:firstLine="200" w:firstLineChars="0"/>
        <w:rPr>
          <w:rFonts w:cs="仿宋"/>
          <w:color w:val="auto"/>
          <w:sz w:val="24"/>
        </w:rPr>
      </w:pPr>
      <w:r>
        <w:rPr>
          <w:rFonts w:hint="eastAsia" w:cs="仿宋"/>
          <w:color w:val="auto"/>
          <w:sz w:val="24"/>
        </w:rPr>
        <w:t>系统可根据类型，自动生成国家要求格式的职业病体检报告。</w:t>
      </w:r>
    </w:p>
    <w:p w14:paraId="75C575D5">
      <w:pPr>
        <w:pStyle w:val="94"/>
        <w:numPr>
          <w:ilvl w:val="0"/>
          <w:numId w:val="112"/>
        </w:numPr>
        <w:ind w:left="0" w:firstLine="200" w:firstLineChars="0"/>
        <w:rPr>
          <w:rFonts w:cs="仿宋"/>
          <w:color w:val="auto"/>
          <w:sz w:val="24"/>
        </w:rPr>
      </w:pPr>
      <w:r>
        <w:rPr>
          <w:rFonts w:hint="eastAsia" w:cs="仿宋"/>
          <w:color w:val="auto"/>
          <w:sz w:val="24"/>
        </w:rPr>
        <w:t>具有完整的单位职业病团报【根据体检类别（上岗前、在岗期间、离岗时、应急时）统计出不同体检类别的职业病团报】。</w:t>
      </w:r>
    </w:p>
    <w:p w14:paraId="7A6ED7B0">
      <w:pPr>
        <w:pStyle w:val="94"/>
        <w:numPr>
          <w:ilvl w:val="0"/>
          <w:numId w:val="112"/>
        </w:numPr>
        <w:ind w:left="0" w:firstLine="200" w:firstLineChars="0"/>
        <w:rPr>
          <w:rFonts w:cs="仿宋"/>
          <w:color w:val="auto"/>
          <w:sz w:val="24"/>
        </w:rPr>
      </w:pPr>
      <w:r>
        <w:rPr>
          <w:rFonts w:hint="eastAsia" w:cs="仿宋"/>
          <w:color w:val="auto"/>
          <w:sz w:val="24"/>
        </w:rPr>
        <w:t>系统支持单位人员excel格式备单导入，职业病体检类型、接害因素、接害工龄均可导入。</w:t>
      </w:r>
    </w:p>
    <w:p w14:paraId="606512F5">
      <w:pPr>
        <w:pStyle w:val="94"/>
        <w:numPr>
          <w:ilvl w:val="0"/>
          <w:numId w:val="112"/>
        </w:numPr>
        <w:ind w:left="0" w:firstLine="200" w:firstLineChars="0"/>
        <w:rPr>
          <w:rFonts w:cs="仿宋"/>
          <w:color w:val="auto"/>
          <w:sz w:val="24"/>
        </w:rPr>
      </w:pPr>
      <w:r>
        <w:rPr>
          <w:rFonts w:hint="eastAsia" w:cs="仿宋"/>
          <w:color w:val="auto"/>
          <w:sz w:val="24"/>
        </w:rPr>
        <w:t>系统支持可定制化职业报告格式</w:t>
      </w:r>
    </w:p>
    <w:p w14:paraId="077702C3">
      <w:pPr>
        <w:pStyle w:val="94"/>
        <w:numPr>
          <w:ilvl w:val="0"/>
          <w:numId w:val="112"/>
        </w:numPr>
        <w:ind w:left="0" w:firstLine="200" w:firstLineChars="0"/>
        <w:rPr>
          <w:rFonts w:cs="仿宋"/>
          <w:color w:val="auto"/>
          <w:sz w:val="24"/>
        </w:rPr>
      </w:pPr>
      <w:r>
        <w:rPr>
          <w:rFonts w:hint="eastAsia" w:cs="仿宋"/>
          <w:color w:val="auto"/>
          <w:sz w:val="24"/>
        </w:rPr>
        <w:t>与国家、省、市职业健康监护信息平台数据对接，实现数据自动上报。</w:t>
      </w:r>
    </w:p>
    <w:p w14:paraId="0FE39BB0">
      <w:pPr>
        <w:pStyle w:val="94"/>
        <w:numPr>
          <w:ilvl w:val="0"/>
          <w:numId w:val="112"/>
        </w:numPr>
        <w:ind w:left="0" w:firstLine="200" w:firstLineChars="0"/>
        <w:rPr>
          <w:rFonts w:cs="仿宋"/>
          <w:color w:val="auto"/>
          <w:sz w:val="24"/>
        </w:rPr>
      </w:pPr>
      <w:r>
        <w:rPr>
          <w:rFonts w:hint="eastAsia" w:cs="仿宋"/>
          <w:color w:val="auto"/>
          <w:sz w:val="24"/>
        </w:rPr>
        <w:t>能够根据在岗状态及危害因素自动生成符合规范的体检项目，并自动生成复核项目。</w:t>
      </w:r>
    </w:p>
    <w:p w14:paraId="2A906E9E">
      <w:pPr>
        <w:pStyle w:val="94"/>
        <w:numPr>
          <w:ilvl w:val="0"/>
          <w:numId w:val="112"/>
        </w:numPr>
        <w:ind w:left="0" w:firstLine="200" w:firstLineChars="0"/>
        <w:rPr>
          <w:rFonts w:cs="仿宋"/>
          <w:color w:val="auto"/>
          <w:sz w:val="24"/>
        </w:rPr>
      </w:pPr>
      <w:r>
        <w:rPr>
          <w:rFonts w:hint="eastAsia" w:cs="仿宋"/>
          <w:color w:val="auto"/>
          <w:sz w:val="24"/>
        </w:rPr>
        <w:t>智能主检，数据上报自动化。</w:t>
      </w:r>
    </w:p>
    <w:p w14:paraId="023218C6">
      <w:pPr>
        <w:ind w:firstLine="480"/>
        <w:rPr>
          <w:rFonts w:cs="仿宋"/>
          <w:color w:val="auto"/>
        </w:rPr>
      </w:pPr>
      <w:r>
        <w:rPr>
          <w:rFonts w:hint="eastAsia" w:cs="仿宋"/>
          <w:color w:val="auto"/>
        </w:rPr>
        <w:t>健康体检系统支持各类仪器对接，实现检查数据自动采集；检前支持自助问诊，健康自测；检中支持智能导检；检后支持健康风险评估，健康干预，健康管理等。</w:t>
      </w:r>
    </w:p>
    <w:p w14:paraId="46F8049D">
      <w:pPr>
        <w:pStyle w:val="14"/>
        <w:bidi w:val="0"/>
        <w:rPr>
          <w:color w:val="auto"/>
        </w:rPr>
      </w:pPr>
      <w:r>
        <w:rPr>
          <w:rFonts w:hint="eastAsia"/>
          <w:color w:val="auto"/>
          <w:lang w:val="en-US" w:eastAsia="zh-CN"/>
        </w:rPr>
        <w:t xml:space="preserve"> </w:t>
      </w:r>
      <w:r>
        <w:rPr>
          <w:rFonts w:hint="eastAsia"/>
          <w:color w:val="auto"/>
        </w:rPr>
        <w:t>临床决策支持系统CDSS（检验、检查规则库）</w:t>
      </w:r>
    </w:p>
    <w:p w14:paraId="6E15EA57">
      <w:pPr>
        <w:pStyle w:val="90"/>
        <w:widowControl w:val="0"/>
        <w:ind w:firstLine="480"/>
        <w:jc w:val="both"/>
        <w:rPr>
          <w:rFonts w:ascii="宋体" w:hAnsi="宋体" w:eastAsia="宋体" w:cs="宋体"/>
          <w:color w:val="auto"/>
          <w:sz w:val="24"/>
          <w:szCs w:val="24"/>
        </w:rPr>
      </w:pPr>
      <w:r>
        <w:rPr>
          <w:rFonts w:hint="eastAsia" w:ascii="宋体" w:hAnsi="宋体" w:eastAsia="宋体" w:cs="宋体"/>
          <w:color w:val="auto"/>
          <w:sz w:val="24"/>
          <w:szCs w:val="24"/>
        </w:rPr>
        <w:t>临床决策支持系统(CDSS)基于权威医学知识库，无缝嵌入医院信息生态，智能分析患者完整数据，为临床诊疗提供符合循证医学证据的决策支持，在门急诊、住院环节实时辅助医护人员优化诊疗方案。</w:t>
      </w:r>
    </w:p>
    <w:p w14:paraId="0A9CC33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rPr>
      </w:pPr>
      <w:r>
        <w:rPr>
          <w:rFonts w:hint="eastAsia" w:ascii="宋体" w:hAnsi="宋体" w:eastAsia="宋体" w:cs="宋体"/>
          <w:color w:val="auto"/>
          <w:kern w:val="2"/>
          <w:sz w:val="24"/>
          <w:szCs w:val="24"/>
          <w:highlight w:val="none"/>
          <w:lang w:val="en-US" w:eastAsia="zh-CN" w:bidi="ar"/>
        </w:rPr>
        <w:t>具体功能包括但不限于以下：</w:t>
      </w:r>
    </w:p>
    <w:p w14:paraId="6CC304E5">
      <w:pPr>
        <w:bidi w:val="0"/>
        <w:rPr>
          <w:rFonts w:hint="eastAsia"/>
          <w:b/>
          <w:bCs/>
          <w:color w:val="auto"/>
        </w:rPr>
      </w:pPr>
      <w:r>
        <w:rPr>
          <w:rFonts w:hint="eastAsia"/>
          <w:b/>
          <w:bCs/>
          <w:color w:val="auto"/>
        </w:rPr>
        <w:t>疑似常见诊断</w:t>
      </w:r>
    </w:p>
    <w:p w14:paraId="58D73C6A">
      <w:pPr>
        <w:bidi w:val="0"/>
        <w:rPr>
          <w:rFonts w:hint="eastAsia"/>
          <w:color w:val="auto"/>
        </w:rPr>
      </w:pPr>
      <w:r>
        <w:rPr>
          <w:rFonts w:hint="eastAsia"/>
          <w:color w:val="auto"/>
        </w:rPr>
        <w:t>能够处理和识别原始格式的电子病历文书内容，自动进行后结构化处理和运算，根据患者的临床表现（症状诱因、持续时间、部位、性质、程度、加重缓解）、检查（体格检查、检查结果）、检验结果计算推荐疑似常见诊断。</w:t>
      </w:r>
    </w:p>
    <w:p w14:paraId="36500DDC">
      <w:pPr>
        <w:bidi w:val="0"/>
        <w:rPr>
          <w:rFonts w:hint="eastAsia"/>
          <w:color w:val="auto"/>
        </w:rPr>
      </w:pPr>
      <w:r>
        <w:rPr>
          <w:rFonts w:hint="eastAsia"/>
          <w:color w:val="auto"/>
        </w:rPr>
        <w:t>支持显示诊断可能性，并按可能性从高到低排列。</w:t>
      </w:r>
    </w:p>
    <w:p w14:paraId="088CFF9D">
      <w:pPr>
        <w:bidi w:val="0"/>
        <w:rPr>
          <w:rFonts w:hint="eastAsia"/>
          <w:color w:val="auto"/>
        </w:rPr>
      </w:pPr>
      <w:r>
        <w:rPr>
          <w:rFonts w:hint="eastAsia"/>
          <w:color w:val="auto"/>
        </w:rPr>
        <w:t>支持按类别显示诊断依据，并将命中诊断依据的内容高亮显示。</w:t>
      </w:r>
    </w:p>
    <w:p w14:paraId="5AD4E36E">
      <w:pPr>
        <w:bidi w:val="0"/>
        <w:rPr>
          <w:rFonts w:hint="eastAsia"/>
          <w:color w:val="auto"/>
        </w:rPr>
      </w:pPr>
      <w:r>
        <w:rPr>
          <w:rFonts w:hint="eastAsia"/>
          <w:color w:val="auto"/>
        </w:rPr>
        <w:t>支持将推荐诊断结果自动写入初步诊断。</w:t>
      </w:r>
    </w:p>
    <w:p w14:paraId="08F7318A">
      <w:pPr>
        <w:bidi w:val="0"/>
        <w:rPr>
          <w:rFonts w:hint="eastAsia"/>
          <w:color w:val="auto"/>
          <w:lang w:eastAsia="zh-CN"/>
        </w:rPr>
      </w:pPr>
      <w:r>
        <w:rPr>
          <w:rFonts w:hint="eastAsia"/>
          <w:b/>
          <w:bCs/>
          <w:color w:val="auto"/>
        </w:rPr>
        <w:t>常见症状体征</w:t>
      </w:r>
      <w:r>
        <w:rPr>
          <w:rFonts w:hint="eastAsia"/>
          <w:b/>
          <w:bCs/>
          <w:color w:val="auto"/>
          <w:lang w:eastAsia="zh-CN"/>
        </w:rPr>
        <w:t>：</w:t>
      </w:r>
      <w:r>
        <w:rPr>
          <w:rFonts w:hint="eastAsia"/>
          <w:color w:val="auto"/>
        </w:rPr>
        <w:t>根据疾病与症状体征的相关性，推荐该疾病的常见症状和体征</w:t>
      </w:r>
      <w:r>
        <w:rPr>
          <w:rFonts w:hint="eastAsia"/>
          <w:color w:val="auto"/>
          <w:lang w:eastAsia="zh-CN"/>
        </w:rPr>
        <w:t>。</w:t>
      </w:r>
    </w:p>
    <w:p w14:paraId="0FD2F833">
      <w:pPr>
        <w:bidi w:val="0"/>
        <w:rPr>
          <w:rFonts w:hint="eastAsia"/>
          <w:color w:val="auto"/>
          <w:lang w:eastAsia="zh-CN"/>
        </w:rPr>
      </w:pPr>
      <w:r>
        <w:rPr>
          <w:rFonts w:hint="eastAsia"/>
          <w:b/>
          <w:bCs/>
          <w:color w:val="auto"/>
        </w:rPr>
        <w:t>鉴别诊断</w:t>
      </w:r>
      <w:r>
        <w:rPr>
          <w:rFonts w:hint="eastAsia"/>
          <w:b/>
          <w:bCs/>
          <w:color w:val="auto"/>
          <w:lang w:eastAsia="zh-CN"/>
        </w:rPr>
        <w:t>：</w:t>
      </w:r>
      <w:r>
        <w:rPr>
          <w:rFonts w:hint="eastAsia"/>
          <w:color w:val="auto"/>
        </w:rPr>
        <w:t>根据主诉，现病史中提到的症状（包括症状的诱因、持续时间、部位、性质、程度、加重缓解因素）推荐出相关疾病，并对相似疾病进行鉴别，帮助排除其他疾病的可能</w:t>
      </w:r>
      <w:r>
        <w:rPr>
          <w:rFonts w:hint="eastAsia"/>
          <w:color w:val="auto"/>
          <w:lang w:eastAsia="zh-CN"/>
        </w:rPr>
        <w:t>。</w:t>
      </w:r>
    </w:p>
    <w:p w14:paraId="430375C7">
      <w:pPr>
        <w:bidi w:val="0"/>
        <w:rPr>
          <w:rFonts w:hint="eastAsia"/>
          <w:color w:val="auto"/>
        </w:rPr>
      </w:pPr>
      <w:r>
        <w:rPr>
          <w:rFonts w:hint="eastAsia"/>
          <w:b/>
          <w:bCs/>
          <w:color w:val="auto"/>
        </w:rPr>
        <w:t>诊断疾病详情</w:t>
      </w:r>
      <w:r>
        <w:rPr>
          <w:rFonts w:hint="eastAsia"/>
          <w:b/>
          <w:bCs/>
          <w:color w:val="auto"/>
          <w:lang w:eastAsia="zh-CN"/>
        </w:rPr>
        <w:t>：</w:t>
      </w:r>
      <w:r>
        <w:rPr>
          <w:rFonts w:hint="eastAsia"/>
          <w:color w:val="auto"/>
        </w:rPr>
        <w:t>如果医生需要对于推荐的疾病进一步了解，可查看该疾病的详细信息，如：疾病详情、疾病概述、临床表现、治疗方法等信息，进而提升巩固自己的专业技能。</w:t>
      </w:r>
    </w:p>
    <w:p w14:paraId="281E227C">
      <w:pPr>
        <w:bidi w:val="0"/>
        <w:rPr>
          <w:rFonts w:hint="eastAsia"/>
          <w:color w:val="auto"/>
          <w:lang w:eastAsia="zh-CN"/>
        </w:rPr>
      </w:pPr>
      <w:r>
        <w:rPr>
          <w:rFonts w:hint="eastAsia"/>
          <w:b/>
          <w:bCs/>
          <w:color w:val="auto"/>
        </w:rPr>
        <w:t>疾病知识库</w:t>
      </w:r>
      <w:r>
        <w:rPr>
          <w:rFonts w:hint="eastAsia"/>
          <w:b/>
          <w:bCs/>
          <w:color w:val="auto"/>
          <w:lang w:eastAsia="zh-CN"/>
        </w:rPr>
        <w:t>：</w:t>
      </w:r>
      <w:r>
        <w:rPr>
          <w:rFonts w:hint="eastAsia"/>
          <w:color w:val="auto"/>
        </w:rPr>
        <w:t>包含疾病概述、临床表现、病理详情、何时就医、预后、预防介绍、自我护理、护理方法(病房)、注意事项、处置建议、用药建议、检查建议、患者指导等详细内容</w:t>
      </w:r>
      <w:r>
        <w:rPr>
          <w:rFonts w:hint="eastAsia"/>
          <w:color w:val="auto"/>
          <w:lang w:eastAsia="zh-CN"/>
        </w:rPr>
        <w:t>。</w:t>
      </w:r>
    </w:p>
    <w:p w14:paraId="2C97E03C">
      <w:pPr>
        <w:bidi w:val="0"/>
        <w:rPr>
          <w:rFonts w:hint="eastAsia"/>
          <w:color w:val="auto"/>
          <w:lang w:eastAsia="zh-CN"/>
        </w:rPr>
      </w:pPr>
      <w:r>
        <w:rPr>
          <w:rFonts w:hint="eastAsia"/>
          <w:b/>
          <w:bCs/>
          <w:color w:val="auto"/>
        </w:rPr>
        <w:t>药品知识库</w:t>
      </w:r>
      <w:r>
        <w:rPr>
          <w:rFonts w:hint="eastAsia"/>
          <w:color w:val="auto"/>
          <w:lang w:eastAsia="zh-CN"/>
        </w:rPr>
        <w:t>：</w:t>
      </w:r>
      <w:r>
        <w:rPr>
          <w:rFonts w:hint="eastAsia"/>
          <w:color w:val="auto"/>
        </w:rPr>
        <w:t>包含通用名、剂型、功效分类、成份分类、主要成份、药品性状、溶媒分类、给药方式、ATC编码、主要成份、规格、儿童日最高量、成人日最高量、儿童日建议给药次数、儿童每次建议剂量、成人日建议给药次数、成人每次建议剂量、特殊给药条件（饭前..）、儿童注意事项、孕妇注意事项、老人注意事项、药理机制、毒理机制、生成厂商</w:t>
      </w:r>
      <w:r>
        <w:rPr>
          <w:rFonts w:hint="eastAsia"/>
          <w:color w:val="auto"/>
          <w:lang w:eastAsia="zh-CN"/>
        </w:rPr>
        <w:t>。</w:t>
      </w:r>
    </w:p>
    <w:p w14:paraId="724183D0">
      <w:pPr>
        <w:bidi w:val="0"/>
        <w:rPr>
          <w:rFonts w:hint="eastAsia"/>
          <w:color w:val="auto"/>
          <w:lang w:eastAsia="zh-CN"/>
        </w:rPr>
      </w:pPr>
      <w:r>
        <w:rPr>
          <w:rFonts w:hint="eastAsia"/>
          <w:b/>
          <w:bCs/>
          <w:color w:val="auto"/>
        </w:rPr>
        <w:t>检验知识库</w:t>
      </w:r>
      <w:r>
        <w:rPr>
          <w:rFonts w:hint="eastAsia"/>
          <w:b/>
          <w:bCs/>
          <w:color w:val="auto"/>
          <w:lang w:eastAsia="zh-CN"/>
        </w:rPr>
        <w:t>：</w:t>
      </w:r>
      <w:r>
        <w:rPr>
          <w:rFonts w:hint="eastAsia"/>
          <w:color w:val="auto"/>
        </w:rPr>
        <w:t>包含通用名、项目介绍、检验样本、注意事项</w:t>
      </w:r>
      <w:r>
        <w:rPr>
          <w:rFonts w:hint="eastAsia"/>
          <w:color w:val="auto"/>
          <w:lang w:eastAsia="zh-CN"/>
        </w:rPr>
        <w:t>。</w:t>
      </w:r>
    </w:p>
    <w:p w14:paraId="2F2A6885">
      <w:pPr>
        <w:bidi w:val="0"/>
        <w:rPr>
          <w:rFonts w:hint="eastAsia"/>
          <w:color w:val="auto"/>
          <w:lang w:eastAsia="zh-CN"/>
        </w:rPr>
      </w:pPr>
      <w:r>
        <w:rPr>
          <w:rFonts w:hint="eastAsia"/>
          <w:b/>
          <w:bCs/>
          <w:color w:val="auto"/>
        </w:rPr>
        <w:t>手术知识库</w:t>
      </w:r>
      <w:r>
        <w:rPr>
          <w:rFonts w:hint="eastAsia"/>
          <w:b/>
          <w:bCs/>
          <w:color w:val="auto"/>
          <w:lang w:eastAsia="zh-CN"/>
        </w:rPr>
        <w:t>：</w:t>
      </w:r>
      <w:r>
        <w:rPr>
          <w:rFonts w:hint="eastAsia"/>
          <w:color w:val="auto"/>
        </w:rPr>
        <w:t>包含手术概述、适应症、术前准备、麻醉、手术步骤、术中注意事项等</w:t>
      </w:r>
      <w:r>
        <w:rPr>
          <w:rFonts w:hint="eastAsia"/>
          <w:color w:val="auto"/>
          <w:lang w:eastAsia="zh-CN"/>
        </w:rPr>
        <w:t>。</w:t>
      </w:r>
    </w:p>
    <w:p w14:paraId="19B5BD7B">
      <w:pPr>
        <w:bidi w:val="0"/>
        <w:rPr>
          <w:rFonts w:hint="eastAsia"/>
          <w:color w:val="auto"/>
          <w:lang w:eastAsia="zh-CN"/>
        </w:rPr>
      </w:pPr>
      <w:r>
        <w:rPr>
          <w:rFonts w:hint="eastAsia"/>
          <w:b/>
          <w:bCs/>
          <w:color w:val="auto"/>
        </w:rPr>
        <w:t>经典病例知识库</w:t>
      </w:r>
      <w:r>
        <w:rPr>
          <w:rFonts w:hint="eastAsia"/>
          <w:b/>
          <w:bCs/>
          <w:color w:val="auto"/>
          <w:lang w:eastAsia="zh-CN"/>
        </w:rPr>
        <w:t>：</w:t>
      </w:r>
      <w:r>
        <w:rPr>
          <w:rFonts w:hint="eastAsia"/>
          <w:color w:val="auto"/>
        </w:rPr>
        <w:t>提供不少于2000份的各科室经典病例，且病例有正规版权来源，可合法用于学习</w:t>
      </w:r>
      <w:r>
        <w:rPr>
          <w:rFonts w:hint="eastAsia"/>
          <w:color w:val="auto"/>
          <w:lang w:eastAsia="zh-CN"/>
        </w:rPr>
        <w:t>。</w:t>
      </w:r>
    </w:p>
    <w:p w14:paraId="49685ED0">
      <w:pPr>
        <w:bidi w:val="0"/>
        <w:rPr>
          <w:rFonts w:hint="eastAsia"/>
          <w:color w:val="auto"/>
          <w:lang w:eastAsia="zh-CN"/>
        </w:rPr>
      </w:pPr>
      <w:r>
        <w:rPr>
          <w:rFonts w:hint="eastAsia"/>
          <w:b/>
          <w:bCs/>
          <w:color w:val="auto"/>
        </w:rPr>
        <w:t>临床路径知识库</w:t>
      </w:r>
      <w:r>
        <w:rPr>
          <w:rFonts w:hint="eastAsia"/>
          <w:b/>
          <w:bCs/>
          <w:color w:val="auto"/>
          <w:lang w:eastAsia="zh-CN"/>
        </w:rPr>
        <w:t>：</w:t>
      </w:r>
      <w:r>
        <w:rPr>
          <w:rFonts w:hint="eastAsia"/>
          <w:color w:val="auto"/>
        </w:rPr>
        <w:t>提供国家发布的1200+份临床路径知识库</w:t>
      </w:r>
      <w:r>
        <w:rPr>
          <w:rFonts w:hint="eastAsia"/>
          <w:color w:val="auto"/>
          <w:lang w:eastAsia="zh-CN"/>
        </w:rPr>
        <w:t>。</w:t>
      </w:r>
    </w:p>
    <w:p w14:paraId="4BF6A623">
      <w:pPr>
        <w:bidi w:val="0"/>
        <w:rPr>
          <w:rFonts w:hint="eastAsia"/>
          <w:color w:val="auto"/>
          <w:lang w:eastAsia="zh-CN"/>
        </w:rPr>
      </w:pPr>
      <w:r>
        <w:rPr>
          <w:rFonts w:hint="eastAsia"/>
          <w:b/>
          <w:bCs/>
          <w:color w:val="auto"/>
        </w:rPr>
        <w:t>法律法规知识库</w:t>
      </w:r>
      <w:r>
        <w:rPr>
          <w:rFonts w:hint="eastAsia"/>
          <w:b/>
          <w:bCs/>
          <w:color w:val="auto"/>
          <w:lang w:eastAsia="zh-CN"/>
        </w:rPr>
        <w:t>：</w:t>
      </w:r>
      <w:r>
        <w:rPr>
          <w:rFonts w:hint="eastAsia"/>
          <w:color w:val="auto"/>
        </w:rPr>
        <w:t>提供常见法律法规知识库</w:t>
      </w:r>
      <w:r>
        <w:rPr>
          <w:rFonts w:hint="eastAsia"/>
          <w:color w:val="auto"/>
          <w:lang w:eastAsia="zh-CN"/>
        </w:rPr>
        <w:t>。</w:t>
      </w:r>
    </w:p>
    <w:p w14:paraId="61344141">
      <w:pPr>
        <w:bidi w:val="0"/>
        <w:rPr>
          <w:rFonts w:hint="eastAsia"/>
          <w:color w:val="auto"/>
          <w:lang w:eastAsia="zh-CN"/>
        </w:rPr>
      </w:pPr>
      <w:r>
        <w:rPr>
          <w:rFonts w:hint="eastAsia" w:ascii="宋体" w:hAnsi="宋体" w:eastAsia="宋体" w:cs="Times New Roman"/>
          <w:b/>
          <w:bCs/>
          <w:color w:val="auto"/>
        </w:rPr>
        <w:t>医学计算公式</w:t>
      </w:r>
      <w:r>
        <w:rPr>
          <w:rFonts w:hint="eastAsia" w:ascii="宋体" w:hAnsi="宋体" w:eastAsia="宋体" w:cs="Times New Roman"/>
          <w:b/>
          <w:bCs/>
          <w:color w:val="auto"/>
          <w:lang w:eastAsia="zh-CN"/>
        </w:rPr>
        <w:t>：</w:t>
      </w:r>
      <w:r>
        <w:rPr>
          <w:rFonts w:hint="eastAsia"/>
          <w:color w:val="auto"/>
          <w:lang w:val="en-US" w:eastAsia="zh-CN"/>
        </w:rPr>
        <w:t>支</w:t>
      </w:r>
      <w:r>
        <w:rPr>
          <w:rFonts w:hint="eastAsia"/>
          <w:color w:val="auto"/>
        </w:rPr>
        <w:t>持医学常用公式查询</w:t>
      </w:r>
      <w:r>
        <w:rPr>
          <w:rFonts w:hint="eastAsia"/>
          <w:color w:val="auto"/>
          <w:lang w:eastAsia="zh-CN"/>
        </w:rPr>
        <w:t>。</w:t>
      </w:r>
    </w:p>
    <w:p w14:paraId="4E629513">
      <w:pPr>
        <w:bidi w:val="0"/>
        <w:rPr>
          <w:rFonts w:hint="eastAsia"/>
          <w:color w:val="auto"/>
          <w:lang w:eastAsia="zh-CN"/>
        </w:rPr>
      </w:pPr>
      <w:r>
        <w:rPr>
          <w:rFonts w:hint="eastAsia" w:ascii="宋体" w:hAnsi="宋体" w:eastAsia="宋体" w:cs="Times New Roman"/>
          <w:b/>
          <w:bCs/>
          <w:color w:val="auto"/>
        </w:rPr>
        <w:t>高级搜索</w:t>
      </w:r>
      <w:r>
        <w:rPr>
          <w:rFonts w:hint="eastAsia" w:ascii="宋体" w:hAnsi="宋体" w:eastAsia="宋体" w:cs="Times New Roman"/>
          <w:b/>
          <w:bCs/>
          <w:color w:val="auto"/>
          <w:lang w:eastAsia="zh-CN"/>
        </w:rPr>
        <w:t>：</w:t>
      </w:r>
      <w:r>
        <w:rPr>
          <w:rFonts w:hint="eastAsia"/>
          <w:color w:val="auto"/>
        </w:rPr>
        <w:t>支持高级搜索，支持通过多种方式（关键字、标题首字母）检索知识库内容，涉及疾病知识、检验检查知识、评估表、药品说明书等知识内容</w:t>
      </w:r>
      <w:r>
        <w:rPr>
          <w:rFonts w:hint="eastAsia"/>
          <w:color w:val="auto"/>
          <w:lang w:eastAsia="zh-CN"/>
        </w:rPr>
        <w:t>。</w:t>
      </w:r>
    </w:p>
    <w:p w14:paraId="495CAF8E">
      <w:pPr>
        <w:bidi w:val="0"/>
        <w:rPr>
          <w:rFonts w:hint="eastAsia"/>
          <w:color w:val="auto"/>
        </w:rPr>
      </w:pPr>
      <w:r>
        <w:rPr>
          <w:rFonts w:hint="eastAsia" w:ascii="宋体" w:hAnsi="宋体" w:eastAsia="宋体" w:cs="Times New Roman"/>
          <w:b/>
          <w:bCs/>
          <w:color w:val="auto"/>
        </w:rPr>
        <w:t>知识库对接</w:t>
      </w:r>
      <w:r>
        <w:rPr>
          <w:rFonts w:hint="eastAsia" w:ascii="宋体" w:hAnsi="宋体" w:eastAsia="宋体" w:cs="Times New Roman"/>
          <w:b/>
          <w:bCs/>
          <w:color w:val="auto"/>
          <w:lang w:eastAsia="zh-CN"/>
        </w:rPr>
        <w:t>：</w:t>
      </w:r>
      <w:r>
        <w:rPr>
          <w:rFonts w:hint="eastAsia"/>
          <w:color w:val="auto"/>
        </w:rPr>
        <w:t>支持通过CS、BS、API方式进行对接，知识库部分可与CDSS用不同对接方式，独立对接到各个系统。</w:t>
      </w:r>
    </w:p>
    <w:p w14:paraId="6A360F08">
      <w:pPr>
        <w:bidi w:val="0"/>
        <w:rPr>
          <w:rFonts w:hint="eastAsia"/>
          <w:color w:val="auto"/>
          <w:lang w:val="en-US" w:eastAsia="zh-CN"/>
        </w:rPr>
      </w:pPr>
      <w:r>
        <w:rPr>
          <w:rFonts w:hint="eastAsia" w:ascii="宋体" w:hAnsi="宋体" w:eastAsia="宋体" w:cs="Times New Roman"/>
          <w:b/>
          <w:bCs/>
          <w:color w:val="auto"/>
        </w:rPr>
        <w:t>知识库应用</w:t>
      </w:r>
      <w:r>
        <w:rPr>
          <w:rFonts w:hint="eastAsia" w:ascii="宋体" w:hAnsi="宋体" w:eastAsia="宋体" w:cs="Times New Roman"/>
          <w:b/>
          <w:bCs/>
          <w:color w:val="auto"/>
          <w:lang w:eastAsia="zh-CN"/>
        </w:rPr>
        <w:t>：</w:t>
      </w:r>
      <w:r>
        <w:rPr>
          <w:rFonts w:hint="eastAsia"/>
          <w:color w:val="auto"/>
        </w:rPr>
        <w:t>可以自由搜索，也可以在不同应用场景自动调用，如：在新开医嘱时，可实现右键打开新开项目知识库；在患者查看处方时，将处方注意事项推送给患</w:t>
      </w:r>
      <w:r>
        <w:rPr>
          <w:rFonts w:hint="eastAsia"/>
          <w:color w:val="auto"/>
          <w:lang w:val="en-US" w:eastAsia="zh-CN"/>
        </w:rPr>
        <w:t>者。</w:t>
      </w:r>
    </w:p>
    <w:p w14:paraId="2237A0B2">
      <w:pPr>
        <w:bidi w:val="0"/>
        <w:rPr>
          <w:rFonts w:hint="eastAsia"/>
          <w:color w:val="auto"/>
          <w:lang w:eastAsia="zh-CN"/>
        </w:rPr>
      </w:pPr>
      <w:r>
        <w:rPr>
          <w:rFonts w:hint="eastAsia" w:ascii="宋体" w:hAnsi="宋体" w:eastAsia="宋体" w:cs="Times New Roman"/>
          <w:b/>
          <w:bCs/>
          <w:color w:val="auto"/>
        </w:rPr>
        <w:t>检验合理性审核</w:t>
      </w:r>
      <w:r>
        <w:rPr>
          <w:rFonts w:hint="eastAsia" w:ascii="宋体" w:hAnsi="宋体" w:eastAsia="宋体" w:cs="Times New Roman"/>
          <w:b/>
          <w:bCs/>
          <w:color w:val="auto"/>
          <w:lang w:eastAsia="zh-CN"/>
        </w:rPr>
        <w:t>：</w:t>
      </w:r>
      <w:r>
        <w:rPr>
          <w:rFonts w:hint="eastAsia"/>
          <w:color w:val="auto"/>
        </w:rPr>
        <w:t>下达检验申请医嘱时，能够针对患者性别、年龄、妊娠状态、诊断、生理周期、以往用药、以往检验申请项目、以往检验结果等至少8个维度进行申请合理性自动审核并针对问题申请给出提示</w:t>
      </w:r>
      <w:r>
        <w:rPr>
          <w:rFonts w:hint="eastAsia"/>
          <w:color w:val="auto"/>
          <w:lang w:eastAsia="zh-CN"/>
        </w:rPr>
        <w:t>。</w:t>
      </w:r>
    </w:p>
    <w:p w14:paraId="277950BA">
      <w:pPr>
        <w:bidi w:val="0"/>
        <w:rPr>
          <w:rFonts w:hint="eastAsia"/>
          <w:color w:val="auto"/>
          <w:lang w:val="en-US" w:eastAsia="zh-CN"/>
        </w:rPr>
      </w:pPr>
      <w:r>
        <w:rPr>
          <w:rFonts w:hint="eastAsia" w:ascii="宋体" w:hAnsi="宋体" w:eastAsia="宋体" w:cs="Times New Roman"/>
          <w:b/>
          <w:bCs/>
          <w:color w:val="auto"/>
        </w:rPr>
        <w:t>检查合理性审核</w:t>
      </w:r>
      <w:r>
        <w:rPr>
          <w:rFonts w:hint="eastAsia" w:ascii="宋体" w:hAnsi="宋体" w:eastAsia="宋体" w:cs="Times New Roman"/>
          <w:b/>
          <w:bCs/>
          <w:color w:val="auto"/>
          <w:lang w:eastAsia="zh-CN"/>
        </w:rPr>
        <w:t>：</w:t>
      </w:r>
      <w:r>
        <w:rPr>
          <w:rFonts w:hint="eastAsia"/>
          <w:color w:val="auto"/>
        </w:rPr>
        <w:t>下达检查申请医嘱时，能够针对患者性别、年龄、妊娠状态、诊断、过敏史、以往用药、以往检查项目、以往检查结果等至少8个维度对申请合理性进行自动检查并提示</w:t>
      </w:r>
      <w:r>
        <w:rPr>
          <w:rFonts w:hint="eastAsia"/>
          <w:color w:val="auto"/>
          <w:lang w:eastAsia="zh-CN"/>
        </w:rPr>
        <w:t>。</w:t>
      </w:r>
    </w:p>
    <w:p w14:paraId="3685236B">
      <w:pPr>
        <w:pStyle w:val="14"/>
        <w:bidi w:val="0"/>
        <w:rPr>
          <w:color w:val="auto"/>
        </w:rPr>
      </w:pPr>
      <w:r>
        <w:rPr>
          <w:rFonts w:hint="eastAsia"/>
          <w:color w:val="auto"/>
          <w:lang w:val="en-US" w:eastAsia="zh-CN"/>
        </w:rPr>
        <w:t xml:space="preserve"> </w:t>
      </w:r>
      <w:r>
        <w:rPr>
          <w:rFonts w:hint="eastAsia"/>
          <w:color w:val="auto"/>
        </w:rPr>
        <w:t>VTE管理系统</w:t>
      </w:r>
    </w:p>
    <w:p w14:paraId="78EC0962">
      <w:pPr>
        <w:rPr>
          <w:color w:val="auto"/>
        </w:rPr>
      </w:pPr>
      <w:r>
        <w:rPr>
          <w:color w:val="auto"/>
        </w:rPr>
        <w:t>用于管理和预防静脉血栓栓塞症（VTE）的智能化系统，它通过集成多种技术和功能，实现对VTE风险的智能评估和预防措施的推荐，从而保障患者的安全。</w:t>
      </w:r>
    </w:p>
    <w:p w14:paraId="105254F9">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4C3B93D">
      <w:pPr>
        <w:ind w:firstLine="482"/>
        <w:rPr>
          <w:rFonts w:cs="仿宋"/>
          <w:b/>
          <w:bCs/>
          <w:color w:val="auto"/>
        </w:rPr>
      </w:pPr>
      <w:r>
        <w:rPr>
          <w:rFonts w:hint="eastAsia" w:cs="仿宋"/>
          <w:b/>
          <w:bCs/>
          <w:color w:val="auto"/>
        </w:rPr>
        <w:t>VTE风险评估功能</w:t>
      </w:r>
    </w:p>
    <w:p w14:paraId="6CFD6212">
      <w:pPr>
        <w:ind w:firstLine="480"/>
        <w:rPr>
          <w:rFonts w:cs="仿宋"/>
          <w:color w:val="auto"/>
        </w:rPr>
      </w:pPr>
      <w:r>
        <w:rPr>
          <w:rFonts w:hint="eastAsia" w:cs="仿宋"/>
          <w:color w:val="auto"/>
        </w:rPr>
        <w:t>1、医生、护士等使用统一的VTE风险评估量表进行评估，护士与医生可进行协同VTE风险评估，医生在护士评估的基础上可进行二次修改确认，最终由医生把关，结果由护士与医生共享。</w:t>
      </w:r>
    </w:p>
    <w:p w14:paraId="1FFD4AA2">
      <w:pPr>
        <w:ind w:firstLine="480"/>
        <w:rPr>
          <w:rFonts w:cs="仿宋"/>
          <w:color w:val="auto"/>
        </w:rPr>
      </w:pPr>
      <w:r>
        <w:rPr>
          <w:rFonts w:hint="eastAsia" w:cs="仿宋"/>
          <w:color w:val="auto"/>
        </w:rPr>
        <w:t>2、评分至少包含Caprini模型、Padua模型、产科评分表、肿瘤评分表、外科出血风险评估、内科出血风险评估、机械预防禁忌症评估、DVT-wells和PE-geneva评估等项目，具体评分体系可按照医院情况实际选择，可根据医院要求调整。</w:t>
      </w:r>
    </w:p>
    <w:p w14:paraId="1760C489">
      <w:pPr>
        <w:ind w:firstLine="480"/>
        <w:rPr>
          <w:rFonts w:cs="仿宋"/>
          <w:color w:val="auto"/>
        </w:rPr>
      </w:pPr>
      <w:r>
        <w:rPr>
          <w:rFonts w:hint="eastAsia" w:cs="仿宋"/>
          <w:color w:val="auto"/>
        </w:rPr>
        <w:t>3、对患者进行多个时间点的多次VTE风险评估，自动提醒未评估和未处理的医生前往评估处理。</w:t>
      </w:r>
    </w:p>
    <w:p w14:paraId="6EADBC16">
      <w:pPr>
        <w:ind w:firstLine="480"/>
        <w:rPr>
          <w:rFonts w:cs="仿宋"/>
          <w:color w:val="auto"/>
        </w:rPr>
      </w:pPr>
      <w:r>
        <w:rPr>
          <w:rFonts w:hint="eastAsia" w:cs="仿宋"/>
          <w:color w:val="auto"/>
        </w:rPr>
        <w:t>4、与HIS系统进行卡控对接，当有评分未确认的时候，在相关的时间段进行卡控提醒，避免出现评分未确认及未评分的情况。</w:t>
      </w:r>
    </w:p>
    <w:p w14:paraId="473A49F0">
      <w:pPr>
        <w:ind w:firstLine="480"/>
        <w:rPr>
          <w:rFonts w:cs="仿宋"/>
          <w:color w:val="auto"/>
        </w:rPr>
      </w:pPr>
      <w:r>
        <w:rPr>
          <w:rFonts w:hint="eastAsia" w:cs="仿宋"/>
          <w:color w:val="auto"/>
        </w:rPr>
        <w:t>5、具有院内VTE管理医生端、护理端、质控端。</w:t>
      </w:r>
    </w:p>
    <w:p w14:paraId="666522A4">
      <w:pPr>
        <w:ind w:firstLine="482"/>
        <w:rPr>
          <w:rFonts w:cs="仿宋"/>
          <w:b/>
          <w:bCs/>
          <w:color w:val="auto"/>
        </w:rPr>
      </w:pPr>
      <w:r>
        <w:rPr>
          <w:rFonts w:hint="eastAsia" w:cs="仿宋"/>
          <w:b/>
          <w:bCs/>
          <w:color w:val="auto"/>
        </w:rPr>
        <w:t>全院监控</w:t>
      </w:r>
    </w:p>
    <w:p w14:paraId="6A5CEEB7">
      <w:pPr>
        <w:ind w:firstLine="480"/>
        <w:rPr>
          <w:rFonts w:cs="仿宋"/>
          <w:color w:val="auto"/>
        </w:rPr>
      </w:pPr>
      <w:r>
        <w:rPr>
          <w:rFonts w:hint="eastAsia" w:cs="仿宋"/>
          <w:color w:val="auto"/>
        </w:rPr>
        <w:t>1、可实现对全院数据进行实时监控功能，查看全院总评分率、出血评估率、预防措施率、预防准确率。</w:t>
      </w:r>
    </w:p>
    <w:p w14:paraId="672F051D">
      <w:pPr>
        <w:ind w:firstLine="480"/>
        <w:rPr>
          <w:rFonts w:cs="仿宋"/>
          <w:color w:val="auto"/>
        </w:rPr>
      </w:pPr>
      <w:r>
        <w:rPr>
          <w:rFonts w:hint="eastAsia" w:cs="仿宋"/>
          <w:color w:val="auto"/>
        </w:rPr>
        <w:t>2、可以查看全院高危、中危、低危、VTE未评分、出血未评分、VTE已发生患者人数及相关比例，点击可以进入对应的患者列表。</w:t>
      </w:r>
    </w:p>
    <w:p w14:paraId="5261603A">
      <w:pPr>
        <w:ind w:firstLine="480"/>
        <w:rPr>
          <w:rFonts w:cs="仿宋"/>
          <w:color w:val="auto"/>
        </w:rPr>
      </w:pPr>
      <w:r>
        <w:rPr>
          <w:rFonts w:hint="eastAsia" w:cs="仿宋"/>
          <w:color w:val="auto"/>
        </w:rPr>
        <w:t>3、列表数据可以按照院区、科室进行筛选并导出,支持全国VTE数据上报。</w:t>
      </w:r>
    </w:p>
    <w:p w14:paraId="26905F07">
      <w:pPr>
        <w:ind w:firstLine="480"/>
        <w:rPr>
          <w:rFonts w:cs="仿宋"/>
          <w:color w:val="auto"/>
        </w:rPr>
      </w:pPr>
      <w:r>
        <w:rPr>
          <w:rFonts w:hint="eastAsia" w:cs="仿宋"/>
          <w:color w:val="auto"/>
        </w:rPr>
        <w:t>4、查看全院VTE患者列表时，包括VTE患者诊断结果的抓取分析显示。</w:t>
      </w:r>
    </w:p>
    <w:p w14:paraId="6D8F4232">
      <w:pPr>
        <w:ind w:firstLine="480"/>
        <w:rPr>
          <w:rFonts w:cs="仿宋"/>
          <w:color w:val="auto"/>
        </w:rPr>
      </w:pPr>
      <w:r>
        <w:rPr>
          <w:rFonts w:hint="eastAsia" w:cs="仿宋"/>
          <w:color w:val="auto"/>
        </w:rPr>
        <w:t>5、科室数据显示包括风险评估率、出血评估率、预防措施率、预防准确率、中高危并以柱状图形式展示，可以按照倒序、正序切换排序。</w:t>
      </w:r>
    </w:p>
    <w:p w14:paraId="79C051F7">
      <w:pPr>
        <w:ind w:firstLine="480"/>
        <w:rPr>
          <w:rFonts w:cs="仿宋"/>
          <w:color w:val="auto"/>
        </w:rPr>
      </w:pPr>
      <w:r>
        <w:rPr>
          <w:rFonts w:hint="eastAsia" w:cs="仿宋"/>
          <w:color w:val="auto"/>
        </w:rPr>
        <w:t>6、质控部门可以通过全院监控查看各科室评估情况。</w:t>
      </w:r>
    </w:p>
    <w:p w14:paraId="26BFB640">
      <w:pPr>
        <w:ind w:firstLine="482"/>
        <w:rPr>
          <w:rFonts w:cs="仿宋"/>
          <w:b/>
          <w:bCs/>
          <w:color w:val="auto"/>
        </w:rPr>
      </w:pPr>
      <w:r>
        <w:rPr>
          <w:rFonts w:hint="eastAsia" w:cs="仿宋"/>
          <w:b/>
          <w:bCs/>
          <w:color w:val="auto"/>
        </w:rPr>
        <w:t>科室监控</w:t>
      </w:r>
      <w:r>
        <w:rPr>
          <w:rFonts w:hint="eastAsia" w:cs="仿宋"/>
          <w:b/>
          <w:bCs/>
          <w:color w:val="auto"/>
        </w:rPr>
        <w:tab/>
      </w:r>
    </w:p>
    <w:p w14:paraId="759CD95C">
      <w:pPr>
        <w:ind w:firstLine="480"/>
        <w:rPr>
          <w:rFonts w:cs="仿宋"/>
          <w:color w:val="auto"/>
        </w:rPr>
      </w:pPr>
      <w:r>
        <w:rPr>
          <w:rFonts w:hint="eastAsia" w:cs="仿宋"/>
          <w:color w:val="auto"/>
        </w:rPr>
        <w:t>1、可实现对科室进行实时监控功能，实现对每个住院患者VTE风险评估状态对实时监控。</w:t>
      </w:r>
    </w:p>
    <w:p w14:paraId="6F89275D">
      <w:pPr>
        <w:ind w:firstLine="480"/>
        <w:rPr>
          <w:rFonts w:cs="仿宋"/>
          <w:color w:val="auto"/>
        </w:rPr>
      </w:pPr>
      <w:r>
        <w:rPr>
          <w:rFonts w:hint="eastAsia" w:cs="仿宋"/>
          <w:color w:val="auto"/>
        </w:rPr>
        <w:t>2、各科室有单独的监控页面。展示出血评估率、预防措施率、预防准确率。</w:t>
      </w:r>
    </w:p>
    <w:p w14:paraId="741C5BDA">
      <w:pPr>
        <w:ind w:firstLine="480"/>
        <w:rPr>
          <w:rFonts w:cs="仿宋"/>
          <w:color w:val="auto"/>
        </w:rPr>
      </w:pPr>
      <w:r>
        <w:rPr>
          <w:rFonts w:hint="eastAsia" w:cs="仿宋"/>
          <w:color w:val="auto"/>
        </w:rPr>
        <w:t>3、可以显示当前在院患者、高危患者、中危患者、低危患者、VTE未评分、出血未评分、VTE已发生的人数。点击可以进入对应的患者列表。</w:t>
      </w:r>
    </w:p>
    <w:p w14:paraId="1BE6CA46">
      <w:pPr>
        <w:ind w:firstLine="480"/>
        <w:rPr>
          <w:rFonts w:cs="仿宋"/>
          <w:color w:val="auto"/>
        </w:rPr>
      </w:pPr>
      <w:r>
        <w:rPr>
          <w:rFonts w:hint="eastAsia" w:cs="仿宋"/>
          <w:color w:val="auto"/>
        </w:rPr>
        <w:t>4、患者显示的信息包含住院号、患者姓名、床号、科室、病区、主管医生、评分类型、评分分数、评分等级。</w:t>
      </w:r>
    </w:p>
    <w:p w14:paraId="45D8236F">
      <w:pPr>
        <w:ind w:firstLine="480"/>
        <w:rPr>
          <w:rFonts w:cs="仿宋"/>
          <w:color w:val="auto"/>
        </w:rPr>
      </w:pPr>
      <w:r>
        <w:rPr>
          <w:rFonts w:hint="eastAsia" w:cs="仿宋"/>
          <w:color w:val="auto"/>
        </w:rPr>
        <w:t>5、显示本科室VTE患者列表，包括VTE患者诊断结果的抓取分析显示。</w:t>
      </w:r>
    </w:p>
    <w:p w14:paraId="352EDB5B">
      <w:pPr>
        <w:ind w:firstLine="480"/>
        <w:rPr>
          <w:rFonts w:cs="仿宋"/>
          <w:color w:val="auto"/>
        </w:rPr>
      </w:pPr>
      <w:r>
        <w:rPr>
          <w:rFonts w:hint="eastAsia" w:cs="仿宋"/>
          <w:color w:val="auto"/>
        </w:rPr>
        <w:t>6、科室负责人可查看本科室的VTE质控情况。</w:t>
      </w:r>
    </w:p>
    <w:p w14:paraId="53D3760F">
      <w:pPr>
        <w:ind w:firstLine="482"/>
        <w:rPr>
          <w:rFonts w:cs="仿宋"/>
          <w:b/>
          <w:bCs/>
          <w:color w:val="auto"/>
        </w:rPr>
      </w:pPr>
      <w:r>
        <w:rPr>
          <w:rFonts w:hint="eastAsia" w:cs="仿宋"/>
          <w:b/>
          <w:bCs/>
          <w:color w:val="auto"/>
        </w:rPr>
        <w:t>出院监控</w:t>
      </w:r>
      <w:r>
        <w:rPr>
          <w:rFonts w:hint="eastAsia" w:cs="仿宋"/>
          <w:b/>
          <w:bCs/>
          <w:color w:val="auto"/>
        </w:rPr>
        <w:tab/>
      </w:r>
    </w:p>
    <w:p w14:paraId="7D352EB3">
      <w:pPr>
        <w:ind w:firstLine="480"/>
        <w:rPr>
          <w:rFonts w:cs="仿宋"/>
          <w:color w:val="auto"/>
        </w:rPr>
      </w:pPr>
      <w:r>
        <w:rPr>
          <w:rFonts w:hint="eastAsia" w:cs="仿宋"/>
          <w:color w:val="auto"/>
        </w:rPr>
        <w:t>1、统计并展示医院所有出院患者的各项关键指标。</w:t>
      </w:r>
    </w:p>
    <w:p w14:paraId="28248389">
      <w:pPr>
        <w:ind w:firstLine="480"/>
        <w:rPr>
          <w:rFonts w:cs="仿宋"/>
          <w:color w:val="auto"/>
        </w:rPr>
      </w:pPr>
      <w:r>
        <w:rPr>
          <w:rFonts w:hint="eastAsia" w:cs="仿宋"/>
          <w:color w:val="auto"/>
        </w:rPr>
        <w:t>2、系统将对所有历史出院患者进行数据挖掘与分析，以图形的方式展示各项关键指标数据</w:t>
      </w:r>
    </w:p>
    <w:p w14:paraId="69681B9E">
      <w:pPr>
        <w:ind w:firstLine="480"/>
        <w:rPr>
          <w:rFonts w:cs="仿宋"/>
          <w:color w:val="auto"/>
        </w:rPr>
      </w:pPr>
      <w:r>
        <w:rPr>
          <w:rFonts w:hint="eastAsia" w:cs="仿宋"/>
          <w:color w:val="auto"/>
        </w:rPr>
        <w:t>3、各项指标数据动态刷新展示。</w:t>
      </w:r>
    </w:p>
    <w:p w14:paraId="5C2D7F11">
      <w:pPr>
        <w:ind w:firstLine="480"/>
        <w:rPr>
          <w:rFonts w:cs="仿宋"/>
          <w:color w:val="auto"/>
        </w:rPr>
      </w:pPr>
      <w:r>
        <w:rPr>
          <w:rFonts w:hint="eastAsia" w:cs="仿宋"/>
          <w:color w:val="auto"/>
        </w:rPr>
        <w:t>4、大屏数据可以按照院区、科室进行展示。</w:t>
      </w:r>
    </w:p>
    <w:p w14:paraId="4A686F4F">
      <w:pPr>
        <w:ind w:firstLine="480"/>
        <w:rPr>
          <w:rFonts w:cs="仿宋"/>
          <w:color w:val="auto"/>
        </w:rPr>
      </w:pPr>
      <w:r>
        <w:rPr>
          <w:rFonts w:hint="eastAsia" w:cs="仿宋"/>
          <w:color w:val="auto"/>
        </w:rPr>
        <w:t>5、医院管理者能够从数据大屏了解同期出院患者总人数以及VTE综合评估率、VTE预防率等。</w:t>
      </w:r>
    </w:p>
    <w:p w14:paraId="0F3A49C5">
      <w:pPr>
        <w:ind w:firstLine="480"/>
        <w:rPr>
          <w:rFonts w:cs="仿宋"/>
          <w:color w:val="auto"/>
        </w:rPr>
      </w:pPr>
      <w:r>
        <w:rPr>
          <w:rFonts w:hint="eastAsia" w:cs="仿宋"/>
          <w:color w:val="auto"/>
        </w:rPr>
        <w:t>6、大屏数据可以切换全屏展示。</w:t>
      </w:r>
    </w:p>
    <w:p w14:paraId="6AFF9B5D">
      <w:pPr>
        <w:ind w:firstLine="482"/>
        <w:rPr>
          <w:rFonts w:cs="仿宋"/>
          <w:b/>
          <w:bCs/>
          <w:color w:val="auto"/>
        </w:rPr>
      </w:pPr>
      <w:r>
        <w:rPr>
          <w:rFonts w:hint="eastAsia" w:cs="仿宋"/>
          <w:b/>
          <w:bCs/>
          <w:color w:val="auto"/>
        </w:rPr>
        <w:t>评分管理</w:t>
      </w:r>
      <w:r>
        <w:rPr>
          <w:rFonts w:hint="eastAsia" w:cs="仿宋"/>
          <w:b/>
          <w:bCs/>
          <w:color w:val="auto"/>
        </w:rPr>
        <w:tab/>
      </w:r>
    </w:p>
    <w:p w14:paraId="4A74AED1">
      <w:pPr>
        <w:ind w:firstLine="480"/>
        <w:rPr>
          <w:rFonts w:cs="仿宋"/>
          <w:color w:val="auto"/>
        </w:rPr>
      </w:pPr>
      <w:r>
        <w:rPr>
          <w:rFonts w:hint="eastAsia" w:cs="仿宋"/>
          <w:color w:val="auto"/>
        </w:rPr>
        <w:t>1、展示全院患者列表。可以按照在院、最近在院、历史出院分类展示。可以按照姓名、科室、病区、住院号进行检索。</w:t>
      </w:r>
    </w:p>
    <w:p w14:paraId="7570DD1D">
      <w:pPr>
        <w:ind w:firstLine="480"/>
        <w:rPr>
          <w:rFonts w:cs="仿宋"/>
          <w:color w:val="auto"/>
        </w:rPr>
      </w:pPr>
      <w:r>
        <w:rPr>
          <w:rFonts w:hint="eastAsia" w:cs="仿宋"/>
          <w:color w:val="auto"/>
        </w:rPr>
        <w:t>2、患者列表中包括评分等级、评分节点、评分时间、住院号</w:t>
      </w:r>
    </w:p>
    <w:p w14:paraId="531FB8A3">
      <w:pPr>
        <w:ind w:firstLine="480"/>
        <w:rPr>
          <w:rFonts w:cs="仿宋"/>
          <w:color w:val="auto"/>
        </w:rPr>
      </w:pPr>
      <w:r>
        <w:rPr>
          <w:rFonts w:hint="eastAsia" w:cs="仿宋"/>
          <w:color w:val="auto"/>
        </w:rPr>
        <w:t>床号、姓名、性别、入院时间。</w:t>
      </w:r>
    </w:p>
    <w:p w14:paraId="4C1F278A">
      <w:pPr>
        <w:ind w:firstLine="480"/>
        <w:rPr>
          <w:rFonts w:cs="仿宋"/>
          <w:color w:val="auto"/>
        </w:rPr>
      </w:pPr>
      <w:r>
        <w:rPr>
          <w:rFonts w:hint="eastAsia" w:cs="仿宋"/>
          <w:color w:val="auto"/>
        </w:rPr>
        <w:t>3、患者的风险等级，可以按照颜色显示、按照类别进行筛选。</w:t>
      </w:r>
    </w:p>
    <w:p w14:paraId="64627E28">
      <w:pPr>
        <w:ind w:firstLine="480"/>
        <w:rPr>
          <w:rFonts w:cs="仿宋"/>
          <w:color w:val="auto"/>
        </w:rPr>
      </w:pPr>
      <w:r>
        <w:rPr>
          <w:rFonts w:hint="eastAsia" w:cs="仿宋"/>
          <w:color w:val="auto"/>
        </w:rPr>
        <w:t>4、点击患者可以查看患者的评分列表。评分数据可以导出。</w:t>
      </w:r>
    </w:p>
    <w:p w14:paraId="19B32C57">
      <w:pPr>
        <w:ind w:firstLine="480"/>
        <w:rPr>
          <w:rFonts w:cs="仿宋"/>
          <w:color w:val="auto"/>
        </w:rPr>
      </w:pPr>
      <w:r>
        <w:rPr>
          <w:rFonts w:hint="eastAsia" w:cs="仿宋"/>
          <w:color w:val="auto"/>
        </w:rPr>
        <w:t>5、评分数据可以进行病历归档打印。</w:t>
      </w:r>
    </w:p>
    <w:p w14:paraId="0BC6143C">
      <w:pPr>
        <w:ind w:firstLine="482"/>
        <w:rPr>
          <w:rFonts w:cs="仿宋"/>
          <w:b/>
          <w:bCs/>
          <w:color w:val="auto"/>
        </w:rPr>
      </w:pPr>
      <w:r>
        <w:rPr>
          <w:rFonts w:hint="eastAsia" w:cs="仿宋"/>
          <w:b/>
          <w:bCs/>
          <w:color w:val="auto"/>
        </w:rPr>
        <w:t>质控功能</w:t>
      </w:r>
      <w:r>
        <w:rPr>
          <w:rFonts w:hint="eastAsia" w:cs="仿宋"/>
          <w:b/>
          <w:bCs/>
          <w:color w:val="auto"/>
        </w:rPr>
        <w:tab/>
      </w:r>
    </w:p>
    <w:p w14:paraId="36914C73">
      <w:pPr>
        <w:ind w:firstLine="480"/>
        <w:rPr>
          <w:rFonts w:cs="仿宋"/>
          <w:color w:val="auto"/>
        </w:rPr>
      </w:pPr>
      <w:r>
        <w:rPr>
          <w:rFonts w:hint="eastAsia" w:cs="仿宋"/>
          <w:color w:val="auto"/>
        </w:rPr>
        <w:t>1、可对相关评估数据可进行自动分析和统计，并可以进行动态监测和评估。</w:t>
      </w:r>
    </w:p>
    <w:p w14:paraId="5329E64E">
      <w:pPr>
        <w:ind w:firstLine="480"/>
        <w:rPr>
          <w:rFonts w:cs="仿宋"/>
          <w:color w:val="auto"/>
        </w:rPr>
      </w:pPr>
      <w:r>
        <w:rPr>
          <w:rFonts w:hint="eastAsia" w:cs="仿宋"/>
          <w:color w:val="auto"/>
        </w:rPr>
        <w:t>2、监控指标数据可以按照按年度、季度、月度、同期、科室、病区等分类统计，不同维度对应的报表数据不同；科室及病区统计图标可以按照倒序、正序排列；可按照时间段进行分段查询；可以查看统计比率、具体数据。可以查看原始数据统计，统计数据及图表可以下载导出。</w:t>
      </w:r>
    </w:p>
    <w:p w14:paraId="71E010F9">
      <w:pPr>
        <w:ind w:firstLine="480"/>
        <w:rPr>
          <w:rFonts w:cs="仿宋"/>
          <w:color w:val="auto"/>
        </w:rPr>
      </w:pPr>
      <w:r>
        <w:rPr>
          <w:rFonts w:hint="eastAsia" w:cs="仿宋"/>
          <w:color w:val="auto"/>
        </w:rPr>
        <w:t>3、每个统计页面中显示各指标统计的计算公式。</w:t>
      </w:r>
    </w:p>
    <w:p w14:paraId="2898CD4E">
      <w:pPr>
        <w:ind w:firstLine="480"/>
        <w:rPr>
          <w:rFonts w:cs="仿宋"/>
          <w:color w:val="auto"/>
        </w:rPr>
      </w:pPr>
      <w:r>
        <w:rPr>
          <w:rFonts w:hint="eastAsia" w:cs="仿宋"/>
          <w:color w:val="auto"/>
        </w:rPr>
        <w:t>4、各指标统计图标可按照医院要求设置警戒线，柱状图根据警戒线以不同颜色进行区分。</w:t>
      </w:r>
    </w:p>
    <w:p w14:paraId="06CE9C0C">
      <w:pPr>
        <w:pStyle w:val="14"/>
        <w:bidi w:val="0"/>
        <w:rPr>
          <w:color w:val="auto"/>
        </w:rPr>
      </w:pPr>
      <w:r>
        <w:rPr>
          <w:rFonts w:hint="eastAsia"/>
          <w:color w:val="auto"/>
          <w:lang w:val="en-US" w:eastAsia="zh-CN"/>
        </w:rPr>
        <w:t xml:space="preserve"> </w:t>
      </w:r>
      <w:r>
        <w:rPr>
          <w:rFonts w:hint="eastAsia"/>
          <w:color w:val="auto"/>
        </w:rPr>
        <w:t>随访管理系统</w:t>
      </w:r>
    </w:p>
    <w:p w14:paraId="354EC457">
      <w:pPr>
        <w:rPr>
          <w:color w:val="auto"/>
        </w:rPr>
      </w:pPr>
      <w:r>
        <w:rPr>
          <w:color w:val="auto"/>
        </w:rPr>
        <w:t>以患者为中心的医疗管理工具，旨在通过定期随访，建立医生和患者之间的持续沟通渠道，提供更全面、更有效的医疗服务</w:t>
      </w:r>
      <w:r>
        <w:rPr>
          <w:rFonts w:hint="default"/>
          <w:color w:val="auto"/>
        </w:rPr>
        <w:t>‌‌。随访系统通过多种沟通方式（如电话、短信、邮件、在线咨询等）来跟踪患者的病情变化和康复情况，确保医生能够及时了解患者的需求和反馈，从而提供个性化的医疗建议和指导</w:t>
      </w:r>
      <w:r>
        <w:rPr>
          <w:rFonts w:hint="eastAsia"/>
          <w:color w:val="auto"/>
          <w:lang w:eastAsia="zh-CN"/>
        </w:rPr>
        <w:t>。</w:t>
      </w:r>
      <w:r>
        <w:rPr>
          <w:rFonts w:hint="default" w:ascii="Arial" w:hAnsi="Arial" w:eastAsia="Arial" w:cs="Arial"/>
          <w:i w:val="0"/>
          <w:iCs w:val="0"/>
          <w:caps w:val="0"/>
          <w:color w:val="auto"/>
          <w:spacing w:val="0"/>
          <w:sz w:val="19"/>
          <w:szCs w:val="19"/>
          <w:shd w:val="clear" w:fill="FFFFFF"/>
        </w:rPr>
        <w:t>‌</w:t>
      </w:r>
    </w:p>
    <w:p w14:paraId="23E19C3A">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B738D32">
      <w:pPr>
        <w:bidi w:val="0"/>
        <w:rPr>
          <w:rFonts w:hint="eastAsia" w:ascii="宋体" w:hAnsi="宋体" w:eastAsia="宋体" w:cs="Times New Roman"/>
          <w:b/>
          <w:bCs/>
          <w:color w:val="auto"/>
        </w:rPr>
      </w:pPr>
      <w:bookmarkStart w:id="265" w:name="_Toc153618250"/>
      <w:r>
        <w:rPr>
          <w:rFonts w:hint="eastAsia" w:ascii="宋体" w:hAnsi="宋体" w:eastAsia="宋体" w:cs="Times New Roman"/>
          <w:b/>
          <w:bCs/>
          <w:color w:val="auto"/>
        </w:rPr>
        <w:t>待访患者列表主界面</w:t>
      </w:r>
      <w:bookmarkEnd w:id="265"/>
    </w:p>
    <w:p w14:paraId="36DCB7DF">
      <w:pPr>
        <w:ind w:firstLine="480"/>
        <w:rPr>
          <w:color w:val="auto"/>
        </w:rPr>
      </w:pPr>
      <w:r>
        <w:rPr>
          <w:rFonts w:hint="eastAsia"/>
          <w:color w:val="auto"/>
        </w:rPr>
        <w:t>每天随访员进入此模块，选择计划日期：当日/近二天/近三天/全部。系统提取本人管辖科室的所有未结束的患者。再通过科室、病人分类、来源过滤显示列表。列表中根据计划执行表记录，显示最近操作时间、状态、拨号次数。附表为某患者的计划与执行情况列表。</w:t>
      </w:r>
    </w:p>
    <w:p w14:paraId="3FC5A50A">
      <w:pPr>
        <w:ind w:firstLine="480"/>
        <w:rPr>
          <w:color w:val="auto"/>
        </w:rPr>
      </w:pPr>
      <w:r>
        <w:rPr>
          <w:rFonts w:hint="eastAsia"/>
          <w:color w:val="auto"/>
        </w:rPr>
        <w:t>群发随访前短信：为了减少拒接，在随访前发送短信提醒患者接听电话。按选择列后，按群发随访短信按钮，系统进入群发短信模块。</w:t>
      </w:r>
    </w:p>
    <w:p w14:paraId="72B895B1">
      <w:pPr>
        <w:ind w:firstLine="480"/>
        <w:rPr>
          <w:color w:val="auto"/>
        </w:rPr>
      </w:pPr>
      <w:r>
        <w:rPr>
          <w:rFonts w:hint="eastAsia"/>
          <w:color w:val="auto"/>
        </w:rPr>
        <w:t>新增：系统进入新增回访模块，筛选患者。</w:t>
      </w:r>
    </w:p>
    <w:p w14:paraId="6585320D">
      <w:pPr>
        <w:ind w:firstLine="480"/>
        <w:rPr>
          <w:color w:val="auto"/>
        </w:rPr>
      </w:pPr>
      <w:r>
        <w:rPr>
          <w:rFonts w:hint="eastAsia"/>
          <w:color w:val="auto"/>
        </w:rPr>
        <w:t>删除：对未做过回访的患者可以删除。</w:t>
      </w:r>
    </w:p>
    <w:p w14:paraId="47ED24A8">
      <w:pPr>
        <w:ind w:firstLine="480"/>
        <w:rPr>
          <w:color w:val="auto"/>
        </w:rPr>
      </w:pPr>
      <w:r>
        <w:rPr>
          <w:rFonts w:hint="eastAsia"/>
          <w:color w:val="auto"/>
        </w:rPr>
        <w:t>修改计划：进入修改回访计划与执行模块。</w:t>
      </w:r>
    </w:p>
    <w:p w14:paraId="25EF70D0">
      <w:pPr>
        <w:ind w:firstLine="480"/>
        <w:rPr>
          <w:color w:val="auto"/>
        </w:rPr>
      </w:pPr>
      <w:r>
        <w:rPr>
          <w:rFonts w:hint="eastAsia"/>
          <w:color w:val="auto"/>
        </w:rPr>
        <w:t>病历资料：进入当前患者的病历综合浏览界面。</w:t>
      </w:r>
    </w:p>
    <w:p w14:paraId="324E688F">
      <w:pPr>
        <w:ind w:firstLine="480"/>
        <w:rPr>
          <w:color w:val="auto"/>
        </w:rPr>
      </w:pPr>
      <w:r>
        <w:rPr>
          <w:rFonts w:hint="eastAsia"/>
          <w:color w:val="auto"/>
        </w:rPr>
        <w:t>拨号：选中某患者，按拨号进入拨号界面。</w:t>
      </w:r>
    </w:p>
    <w:p w14:paraId="3CFB304D">
      <w:pPr>
        <w:ind w:firstLine="480"/>
        <w:rPr>
          <w:color w:val="auto"/>
        </w:rPr>
      </w:pPr>
      <w:r>
        <w:rPr>
          <w:rFonts w:hint="eastAsia"/>
          <w:color w:val="auto"/>
        </w:rPr>
        <w:t>结案：对于无号、空号、错号，多次拒绝回访的患者，可以使用结案结束对此人的跟踪回访。</w:t>
      </w:r>
    </w:p>
    <w:p w14:paraId="609F4F4C">
      <w:pPr>
        <w:bidi w:val="0"/>
        <w:rPr>
          <w:rFonts w:hint="eastAsia" w:ascii="宋体" w:hAnsi="宋体" w:eastAsia="宋体" w:cs="Times New Roman"/>
          <w:b/>
          <w:bCs/>
          <w:color w:val="auto"/>
        </w:rPr>
      </w:pPr>
      <w:bookmarkStart w:id="266" w:name="_Toc153618251"/>
      <w:r>
        <w:rPr>
          <w:rFonts w:hint="eastAsia" w:ascii="宋体" w:hAnsi="宋体" w:eastAsia="宋体" w:cs="Times New Roman"/>
          <w:b/>
          <w:bCs/>
          <w:color w:val="auto"/>
        </w:rPr>
        <w:t>新增回访患者</w:t>
      </w:r>
      <w:bookmarkEnd w:id="266"/>
    </w:p>
    <w:p w14:paraId="1C8C8AB7">
      <w:pPr>
        <w:ind w:firstLine="480"/>
        <w:rPr>
          <w:color w:val="auto"/>
        </w:rPr>
      </w:pPr>
      <w:r>
        <w:rPr>
          <w:rFonts w:hint="eastAsia"/>
          <w:color w:val="auto"/>
        </w:rPr>
        <w:t>（一）统一查询模式</w:t>
      </w:r>
    </w:p>
    <w:p w14:paraId="344FD883">
      <w:pPr>
        <w:ind w:firstLine="480"/>
        <w:rPr>
          <w:color w:val="auto"/>
        </w:rPr>
      </w:pPr>
      <w:r>
        <w:rPr>
          <w:rFonts w:hint="eastAsia"/>
          <w:color w:val="auto"/>
        </w:rPr>
        <w:t>设计病人查询与新增模块，方便科室，门诊统一选择回访病人。</w:t>
      </w:r>
    </w:p>
    <w:p w14:paraId="11A4E983">
      <w:pPr>
        <w:ind w:firstLine="480"/>
        <w:rPr>
          <w:color w:val="auto"/>
        </w:rPr>
      </w:pPr>
      <w:r>
        <w:rPr>
          <w:rFonts w:hint="eastAsia"/>
          <w:color w:val="auto"/>
        </w:rPr>
        <w:t>选择回访病人：选择病人分类、操作员管辖科室（可以是本人全部科室）、来源、就诊或出院日期类型（昨日、三日内、一星期内、半月内）、就诊号或姓名。系统根据病人分类中设置的SQL查询相应患者主表（住院、门诊、体检主表），提取无随访计划的患者记录。</w:t>
      </w:r>
    </w:p>
    <w:p w14:paraId="0B7C1D37">
      <w:pPr>
        <w:ind w:firstLine="480"/>
        <w:rPr>
          <w:color w:val="auto"/>
        </w:rPr>
      </w:pPr>
      <w:r>
        <w:rPr>
          <w:rFonts w:hint="eastAsia"/>
          <w:color w:val="auto"/>
        </w:rPr>
        <w:t>操作员可以通过按钮进行病历浏览、计划复制、删除、确认退出、退出等操作。</w:t>
      </w:r>
    </w:p>
    <w:p w14:paraId="40AF4ADB">
      <w:pPr>
        <w:ind w:firstLine="480"/>
        <w:rPr>
          <w:color w:val="auto"/>
        </w:rPr>
      </w:pPr>
      <w:r>
        <w:rPr>
          <w:rFonts w:hint="eastAsia"/>
          <w:color w:val="auto"/>
        </w:rPr>
        <w:t>随访计划：</w:t>
      </w:r>
    </w:p>
    <w:p w14:paraId="5E9D2A5C">
      <w:pPr>
        <w:pStyle w:val="94"/>
        <w:numPr>
          <w:ilvl w:val="0"/>
          <w:numId w:val="113"/>
        </w:numPr>
        <w:ind w:left="0" w:firstLine="480"/>
        <w:rPr>
          <w:color w:val="auto"/>
          <w:sz w:val="24"/>
        </w:rPr>
      </w:pPr>
      <w:r>
        <w:rPr>
          <w:rFonts w:hint="eastAsia"/>
          <w:color w:val="auto"/>
          <w:sz w:val="24"/>
        </w:rPr>
        <w:t>单记录增加：选择开始随访日：隔日/三日后/一周后/一个月后/半年后/一年后，或直接录入天数。按单记录增加按钮，系统计算计划日期，增加回访计划记录。</w:t>
      </w:r>
    </w:p>
    <w:p w14:paraId="6E334B95">
      <w:pPr>
        <w:pStyle w:val="94"/>
        <w:numPr>
          <w:ilvl w:val="0"/>
          <w:numId w:val="113"/>
        </w:numPr>
        <w:ind w:left="0" w:firstLine="480"/>
        <w:rPr>
          <w:color w:val="auto"/>
          <w:sz w:val="24"/>
        </w:rPr>
      </w:pPr>
      <w:r>
        <w:rPr>
          <w:rFonts w:hint="eastAsia"/>
          <w:color w:val="auto"/>
          <w:sz w:val="24"/>
        </w:rPr>
        <w:t>多记录回访增加：选择开始随访日，再选择间隔与终止多少天结束，按多记录增加按钮，系统根据开始日、间隔与结束天生成多条记录。</w:t>
      </w:r>
    </w:p>
    <w:p w14:paraId="1D2DCB60">
      <w:pPr>
        <w:pStyle w:val="94"/>
        <w:numPr>
          <w:ilvl w:val="0"/>
          <w:numId w:val="113"/>
        </w:numPr>
        <w:ind w:left="0" w:firstLine="480"/>
        <w:rPr>
          <w:color w:val="auto"/>
          <w:sz w:val="24"/>
        </w:rPr>
      </w:pPr>
      <w:r>
        <w:rPr>
          <w:color w:val="auto"/>
          <w:sz w:val="24"/>
        </w:rPr>
        <w:t>回访问卷：在计划列表中用户可以根据病人分类、来源与使用科室过滤选择不同的回访问卷。</w:t>
      </w:r>
    </w:p>
    <w:p w14:paraId="4259EA8A">
      <w:pPr>
        <w:pStyle w:val="94"/>
        <w:numPr>
          <w:ilvl w:val="0"/>
          <w:numId w:val="113"/>
        </w:numPr>
        <w:ind w:left="0" w:firstLine="480"/>
        <w:rPr>
          <w:color w:val="auto"/>
          <w:sz w:val="24"/>
        </w:rPr>
      </w:pPr>
      <w:r>
        <w:rPr>
          <w:rFonts w:hint="eastAsia"/>
          <w:color w:val="auto"/>
          <w:sz w:val="24"/>
        </w:rPr>
        <w:t>增加问卷记录：若一次回访有多个问卷时，使用此按钮。</w:t>
      </w:r>
    </w:p>
    <w:p w14:paraId="40357292">
      <w:pPr>
        <w:pStyle w:val="94"/>
        <w:numPr>
          <w:ilvl w:val="0"/>
          <w:numId w:val="113"/>
        </w:numPr>
        <w:ind w:left="0" w:firstLine="480"/>
        <w:rPr>
          <w:color w:val="auto"/>
          <w:sz w:val="24"/>
        </w:rPr>
      </w:pPr>
      <w:r>
        <w:rPr>
          <w:rFonts w:hint="eastAsia"/>
          <w:color w:val="auto"/>
          <w:sz w:val="24"/>
        </w:rPr>
        <w:t>随访员科室：为随访员所有科室分配任务。</w:t>
      </w:r>
    </w:p>
    <w:p w14:paraId="30EF1E45">
      <w:pPr>
        <w:pStyle w:val="94"/>
        <w:numPr>
          <w:ilvl w:val="0"/>
          <w:numId w:val="113"/>
        </w:numPr>
        <w:ind w:left="0" w:firstLine="480"/>
        <w:rPr>
          <w:color w:val="auto"/>
          <w:sz w:val="24"/>
        </w:rPr>
      </w:pPr>
      <w:r>
        <w:rPr>
          <w:rFonts w:hint="eastAsia"/>
          <w:color w:val="auto"/>
          <w:sz w:val="24"/>
        </w:rPr>
        <w:t>随访员：可以将回访任务推送给某一随访员。</w:t>
      </w:r>
    </w:p>
    <w:p w14:paraId="48FF2B91">
      <w:pPr>
        <w:pStyle w:val="94"/>
        <w:numPr>
          <w:ilvl w:val="0"/>
          <w:numId w:val="113"/>
        </w:numPr>
        <w:ind w:left="0" w:firstLine="480"/>
        <w:rPr>
          <w:color w:val="auto"/>
          <w:sz w:val="24"/>
        </w:rPr>
      </w:pPr>
      <w:r>
        <w:rPr>
          <w:rFonts w:hint="eastAsia"/>
          <w:color w:val="auto"/>
          <w:sz w:val="24"/>
        </w:rPr>
        <w:t>避开节假日：单记录或多记录增加回访计划记录时，系统根据当年节假日字典表，计算需要避开节假日。</w:t>
      </w:r>
    </w:p>
    <w:p w14:paraId="315F67F8">
      <w:pPr>
        <w:ind w:firstLine="480"/>
        <w:rPr>
          <w:color w:val="auto"/>
        </w:rPr>
      </w:pPr>
      <w:r>
        <w:rPr>
          <w:rFonts w:hint="eastAsia"/>
          <w:color w:val="auto"/>
        </w:rPr>
        <w:t>确认退出：必须有回访计划记录、必须有回访问卷与随访员科室。</w:t>
      </w:r>
    </w:p>
    <w:p w14:paraId="22BED253">
      <w:pPr>
        <w:pStyle w:val="413"/>
        <w:spacing w:line="360" w:lineRule="auto"/>
        <w:ind w:left="0" w:right="0" w:firstLine="480" w:firstLineChars="200"/>
        <w:rPr>
          <w:rFonts w:hint="eastAsia" w:ascii="宋体" w:hAnsi="宋体" w:eastAsia="宋体"/>
          <w:color w:val="auto"/>
          <w:szCs w:val="24"/>
        </w:rPr>
      </w:pPr>
      <w:r>
        <w:rPr>
          <w:rFonts w:hint="eastAsia" w:ascii="宋体" w:hAnsi="宋体" w:eastAsia="宋体"/>
          <w:color w:val="auto"/>
          <w:szCs w:val="24"/>
        </w:rPr>
        <w:t>（二）医生新增模式</w:t>
      </w:r>
    </w:p>
    <w:p w14:paraId="47F3787D">
      <w:pPr>
        <w:ind w:firstLine="480"/>
        <w:rPr>
          <w:color w:val="auto"/>
        </w:rPr>
      </w:pPr>
      <w:r>
        <w:rPr>
          <w:rFonts w:hint="eastAsia"/>
          <w:color w:val="auto"/>
        </w:rPr>
        <w:t>设计新增单一病人模块，在住院病人首页、门诊、体检相应模块加入调用按钮。在医生认为此患者需要随访时，点击随访计划按钮，生成随访计划，在保存时在数据写入随访系统相应数据表中。</w:t>
      </w:r>
    </w:p>
    <w:p w14:paraId="7770C481">
      <w:pPr>
        <w:ind w:firstLine="480"/>
        <w:rPr>
          <w:color w:val="auto"/>
        </w:rPr>
      </w:pPr>
      <w:r>
        <w:rPr>
          <w:rFonts w:hint="eastAsia"/>
          <w:color w:val="auto"/>
        </w:rPr>
        <w:t>撤销出院时，若此人已有执行的随访记录时，提示医生，医生确认后，随访计划做结案处理。</w:t>
      </w:r>
    </w:p>
    <w:p w14:paraId="22F298E4">
      <w:pPr>
        <w:bidi w:val="0"/>
        <w:rPr>
          <w:rFonts w:hint="eastAsia" w:ascii="宋体" w:hAnsi="宋体" w:eastAsia="宋体" w:cs="Times New Roman"/>
          <w:b/>
          <w:bCs/>
          <w:color w:val="auto"/>
        </w:rPr>
      </w:pPr>
      <w:bookmarkStart w:id="267" w:name="_Toc153618252"/>
      <w:r>
        <w:rPr>
          <w:rFonts w:hint="eastAsia" w:ascii="宋体" w:hAnsi="宋体" w:eastAsia="宋体" w:cs="Times New Roman"/>
          <w:b/>
          <w:bCs/>
          <w:color w:val="auto"/>
        </w:rPr>
        <w:t>电话拨号</w:t>
      </w:r>
      <w:bookmarkEnd w:id="267"/>
    </w:p>
    <w:p w14:paraId="083F5026">
      <w:pPr>
        <w:ind w:firstLine="480"/>
        <w:rPr>
          <w:color w:val="auto"/>
        </w:rPr>
      </w:pPr>
      <w:r>
        <w:rPr>
          <w:rFonts w:hint="eastAsia"/>
          <w:color w:val="auto"/>
        </w:rPr>
        <w:t>随访员人在待回访列表中选中某一患者，点击拨号按钮，进入此模块。系统调用网络电话接口，通过互联网拨叫患者电话，系统将在相应回访计划记录拨号字段加一。若拨通，并确认可以回访时，点击选择随访按钮。</w:t>
      </w:r>
    </w:p>
    <w:p w14:paraId="4760A105">
      <w:pPr>
        <w:ind w:firstLine="480"/>
        <w:rPr>
          <w:color w:val="auto"/>
        </w:rPr>
      </w:pPr>
      <w:r>
        <w:rPr>
          <w:rFonts w:hint="eastAsia"/>
          <w:color w:val="auto"/>
        </w:rPr>
        <w:t>选择状态选项，若无号、错号、空号或多次拒绝回访可以选择终止本次计划回访。也可以选择退出，等一下再访。</w:t>
      </w:r>
    </w:p>
    <w:p w14:paraId="1C34CF36">
      <w:pPr>
        <w:bidi w:val="0"/>
        <w:rPr>
          <w:rFonts w:hint="eastAsia" w:ascii="宋体" w:hAnsi="宋体" w:eastAsia="宋体" w:cs="Times New Roman"/>
          <w:b/>
          <w:bCs/>
          <w:color w:val="auto"/>
        </w:rPr>
      </w:pPr>
      <w:bookmarkStart w:id="268" w:name="_Toc153618253"/>
      <w:r>
        <w:rPr>
          <w:rFonts w:hint="eastAsia" w:ascii="宋体" w:hAnsi="宋体" w:eastAsia="宋体" w:cs="Times New Roman"/>
          <w:b/>
          <w:bCs/>
          <w:color w:val="auto"/>
        </w:rPr>
        <w:t>回访主界面</w:t>
      </w:r>
      <w:bookmarkEnd w:id="268"/>
    </w:p>
    <w:p w14:paraId="78C3C116">
      <w:pPr>
        <w:ind w:firstLine="480"/>
        <w:rPr>
          <w:color w:val="auto"/>
        </w:rPr>
      </w:pPr>
      <w:r>
        <w:rPr>
          <w:rFonts w:hint="eastAsia"/>
          <w:color w:val="auto"/>
        </w:rPr>
        <w:t>为了方便随访员使用，此模块设计为左右二个版面，左边为问卷，右边为患者各种就诊记录(住院、门诊、体检)的病历资料。左右版面大小可以左右调整。</w:t>
      </w:r>
    </w:p>
    <w:p w14:paraId="1B104D45">
      <w:pPr>
        <w:ind w:firstLine="482"/>
        <w:rPr>
          <w:b/>
          <w:color w:val="auto"/>
        </w:rPr>
      </w:pPr>
      <w:r>
        <w:rPr>
          <w:rFonts w:hint="eastAsia"/>
          <w:b/>
          <w:color w:val="auto"/>
        </w:rPr>
        <w:t>一、</w:t>
      </w:r>
      <w:r>
        <w:rPr>
          <w:b/>
          <w:color w:val="auto"/>
        </w:rPr>
        <w:t>网络电话问卷</w:t>
      </w:r>
    </w:p>
    <w:p w14:paraId="5C4E7D44">
      <w:pPr>
        <w:ind w:firstLine="480"/>
        <w:rPr>
          <w:color w:val="auto"/>
        </w:rPr>
      </w:pPr>
      <w:r>
        <w:rPr>
          <w:rFonts w:hint="eastAsia"/>
          <w:color w:val="auto"/>
        </w:rPr>
        <w:t>问卷操作流程：</w:t>
      </w:r>
    </w:p>
    <w:p w14:paraId="6D017682">
      <w:pPr>
        <w:ind w:firstLine="480"/>
        <w:rPr>
          <w:color w:val="auto"/>
        </w:rPr>
      </w:pPr>
      <w:r>
        <w:rPr>
          <w:rFonts w:hint="eastAsia"/>
          <w:color w:val="auto"/>
        </w:rPr>
        <w:t>（1）在患者回访列表界面中选中列表记录，点击回访按钮，系统进入回访主界面。显示问卷内容与患者病历。</w:t>
      </w:r>
    </w:p>
    <w:p w14:paraId="1FFD3C8E">
      <w:pPr>
        <w:ind w:firstLine="480"/>
        <w:rPr>
          <w:color w:val="auto"/>
        </w:rPr>
      </w:pPr>
      <w:r>
        <w:rPr>
          <w:rFonts w:hint="eastAsia"/>
          <w:color w:val="auto"/>
        </w:rPr>
        <w:t>（2）按拨号，系统弹出拨号界面，并自动拨号。</w:t>
      </w:r>
    </w:p>
    <w:p w14:paraId="05B10436">
      <w:pPr>
        <w:ind w:firstLine="480"/>
        <w:rPr>
          <w:color w:val="auto"/>
        </w:rPr>
      </w:pPr>
      <w:r>
        <w:rPr>
          <w:rFonts w:hint="eastAsia"/>
          <w:color w:val="auto"/>
        </w:rPr>
        <w:t>（3）若确认联通，按拨号界面的回访按钮，系统退出拨号界面。</w:t>
      </w:r>
    </w:p>
    <w:p w14:paraId="53899AA5">
      <w:pPr>
        <w:ind w:firstLine="480"/>
        <w:rPr>
          <w:color w:val="auto"/>
        </w:rPr>
      </w:pPr>
      <w:r>
        <w:rPr>
          <w:rFonts w:hint="eastAsia"/>
          <w:color w:val="auto"/>
        </w:rPr>
        <w:t>（4）若未联通，可以选择退出，系统返回患者回访主界面</w:t>
      </w:r>
    </w:p>
    <w:p w14:paraId="5B86580B">
      <w:pPr>
        <w:ind w:firstLine="480"/>
        <w:rPr>
          <w:color w:val="auto"/>
        </w:rPr>
      </w:pPr>
      <w:r>
        <w:rPr>
          <w:rFonts w:hint="eastAsia"/>
          <w:color w:val="auto"/>
        </w:rPr>
        <w:t>（5）也可以选择状态，按终止本次回访，代表取消此次回访，系统退到患者回访列表界面。</w:t>
      </w:r>
    </w:p>
    <w:p w14:paraId="38591DE6">
      <w:pPr>
        <w:ind w:firstLine="480"/>
        <w:rPr>
          <w:color w:val="auto"/>
        </w:rPr>
      </w:pPr>
      <w:r>
        <w:rPr>
          <w:rFonts w:hint="eastAsia"/>
          <w:color w:val="auto"/>
        </w:rPr>
        <w:t>（6）回访员点击</w:t>
      </w:r>
      <w:r>
        <w:rPr>
          <w:color w:val="auto"/>
        </w:rPr>
        <w:t>可以点击标题下的小喇叭，系统播出事前录制的语音，代替回访员语音交流。</w:t>
      </w:r>
    </w:p>
    <w:p w14:paraId="180465E4">
      <w:pPr>
        <w:ind w:firstLine="480"/>
        <w:rPr>
          <w:color w:val="auto"/>
        </w:rPr>
      </w:pPr>
      <w:r>
        <w:rPr>
          <w:rFonts w:hint="eastAsia"/>
          <w:color w:val="auto"/>
        </w:rPr>
        <w:t>（7）系统启动录音，录制患者答复语音，并保存在问卷项目标题表中。</w:t>
      </w:r>
    </w:p>
    <w:p w14:paraId="062C8DF9">
      <w:pPr>
        <w:ind w:firstLine="480"/>
        <w:rPr>
          <w:color w:val="auto"/>
        </w:rPr>
      </w:pPr>
      <w:r>
        <w:rPr>
          <w:rFonts w:hint="eastAsia"/>
          <w:color w:val="auto"/>
        </w:rPr>
        <w:t>（8）回访员根据患者答复，点击问卷选项，或输入患者的答复</w:t>
      </w:r>
    </w:p>
    <w:p w14:paraId="6231C78F">
      <w:pPr>
        <w:ind w:firstLine="480"/>
        <w:rPr>
          <w:color w:val="auto"/>
        </w:rPr>
      </w:pPr>
      <w:r>
        <w:rPr>
          <w:rFonts w:hint="eastAsia"/>
          <w:color w:val="auto"/>
        </w:rPr>
        <w:t>（9）问卷完毕后，回访员将无法解答的问题写入备注中方便医生了解回访情况。</w:t>
      </w:r>
    </w:p>
    <w:p w14:paraId="04254C0C">
      <w:pPr>
        <w:ind w:firstLine="480"/>
        <w:rPr>
          <w:color w:val="auto"/>
        </w:rPr>
      </w:pPr>
      <w:r>
        <w:rPr>
          <w:rFonts w:hint="eastAsia"/>
          <w:color w:val="auto"/>
        </w:rPr>
        <w:t>（10）若需要患者复诊时，回访员可以点击预约挂号按钮，帮助患者挂号，并通知患者。</w:t>
      </w:r>
    </w:p>
    <w:p w14:paraId="6643278A">
      <w:pPr>
        <w:ind w:firstLine="480"/>
        <w:rPr>
          <w:color w:val="auto"/>
        </w:rPr>
      </w:pPr>
      <w:r>
        <w:rPr>
          <w:rFonts w:hint="eastAsia"/>
          <w:color w:val="auto"/>
        </w:rPr>
        <w:t>（11）按正常退出，系统记录本次回访时长，在计划执行记录表中置正常完成标志。</w:t>
      </w:r>
    </w:p>
    <w:p w14:paraId="4DA5BF19">
      <w:pPr>
        <w:ind w:firstLine="480"/>
        <w:rPr>
          <w:color w:val="auto"/>
        </w:rPr>
      </w:pPr>
      <w:r>
        <w:rPr>
          <w:rFonts w:hint="eastAsia"/>
          <w:color w:val="auto"/>
        </w:rPr>
        <w:t>（12）若回访过程中断，又多次重新拨号无法联通时，按中断退出按钮，系统返回到患者回访列表界面，问卷数据保存，在计划执行记录表置中断标志。中断的计划执行记录隔天还可以继续回访。</w:t>
      </w:r>
    </w:p>
    <w:p w14:paraId="49401882">
      <w:pPr>
        <w:ind w:firstLine="482"/>
        <w:rPr>
          <w:b/>
          <w:color w:val="auto"/>
        </w:rPr>
      </w:pPr>
      <w:r>
        <w:rPr>
          <w:rFonts w:hint="eastAsia"/>
          <w:b/>
          <w:color w:val="auto"/>
        </w:rPr>
        <w:t>二、坐机问卷</w:t>
      </w:r>
    </w:p>
    <w:p w14:paraId="6AC2FDE6">
      <w:pPr>
        <w:ind w:firstLine="480"/>
        <w:rPr>
          <w:color w:val="auto"/>
        </w:rPr>
      </w:pPr>
      <w:r>
        <w:rPr>
          <w:rFonts w:hint="eastAsia"/>
          <w:color w:val="auto"/>
        </w:rPr>
        <w:t>（1）在患者回访列表界面中选中列表记录，点击回访按钮，系统进入回访主界面。显示问卷内容与患者病历。</w:t>
      </w:r>
    </w:p>
    <w:p w14:paraId="2E5CE391">
      <w:pPr>
        <w:ind w:firstLine="480"/>
        <w:rPr>
          <w:color w:val="auto"/>
        </w:rPr>
      </w:pPr>
      <w:r>
        <w:rPr>
          <w:rFonts w:hint="eastAsia"/>
          <w:color w:val="auto"/>
        </w:rPr>
        <w:t>（2）回访主界面的拨号按钮变灰，回访员坐机拨号。</w:t>
      </w:r>
    </w:p>
    <w:p w14:paraId="0A7C428A">
      <w:pPr>
        <w:ind w:firstLine="480"/>
        <w:rPr>
          <w:color w:val="auto"/>
        </w:rPr>
      </w:pPr>
      <w:r>
        <w:rPr>
          <w:rFonts w:hint="eastAsia"/>
          <w:color w:val="auto"/>
        </w:rPr>
        <w:t>（3）回访员根据问卷内容进行提问。</w:t>
      </w:r>
    </w:p>
    <w:p w14:paraId="7948EB90">
      <w:pPr>
        <w:ind w:firstLine="480"/>
        <w:rPr>
          <w:color w:val="auto"/>
        </w:rPr>
      </w:pPr>
      <w:r>
        <w:rPr>
          <w:rFonts w:hint="eastAsia"/>
          <w:color w:val="auto"/>
        </w:rPr>
        <w:t>（4）回访员根据患者答复，点选问卷或输入答复内容。</w:t>
      </w:r>
    </w:p>
    <w:p w14:paraId="1615CC9A">
      <w:pPr>
        <w:ind w:firstLine="480"/>
        <w:rPr>
          <w:color w:val="auto"/>
        </w:rPr>
      </w:pPr>
      <w:r>
        <w:rPr>
          <w:rFonts w:hint="eastAsia"/>
          <w:color w:val="auto"/>
        </w:rPr>
        <w:t>（5）其他操作同上。</w:t>
      </w:r>
    </w:p>
    <w:p w14:paraId="1FB0D47C">
      <w:pPr>
        <w:ind w:firstLine="480"/>
        <w:rPr>
          <w:color w:val="auto"/>
        </w:rPr>
      </w:pPr>
      <w:r>
        <w:rPr>
          <w:color w:val="auto"/>
        </w:rPr>
        <w:t>随访计划：系统调取随访计划与执行模块。</w:t>
      </w:r>
    </w:p>
    <w:p w14:paraId="39C574B2">
      <w:pPr>
        <w:ind w:firstLine="480"/>
        <w:rPr>
          <w:color w:val="auto"/>
        </w:rPr>
      </w:pPr>
      <w:r>
        <w:rPr>
          <w:rFonts w:hint="eastAsia"/>
          <w:color w:val="auto"/>
        </w:rPr>
        <w:t>预约挂号：为患者预约挂号。</w:t>
      </w:r>
    </w:p>
    <w:p w14:paraId="38B776A5">
      <w:pPr>
        <w:ind w:firstLine="480"/>
        <w:rPr>
          <w:color w:val="auto"/>
        </w:rPr>
      </w:pPr>
      <w:r>
        <w:rPr>
          <w:rFonts w:hint="eastAsia"/>
          <w:color w:val="auto"/>
        </w:rPr>
        <w:t>正常结束退出：问卷完成后退出。</w:t>
      </w:r>
    </w:p>
    <w:p w14:paraId="3F25BBE0">
      <w:pPr>
        <w:ind w:firstLine="480"/>
        <w:rPr>
          <w:color w:val="auto"/>
        </w:rPr>
      </w:pPr>
      <w:r>
        <w:rPr>
          <w:rFonts w:hint="eastAsia"/>
          <w:color w:val="auto"/>
        </w:rPr>
        <w:t>中断退出：问卷没有完成退出，问卷数据保存。</w:t>
      </w:r>
    </w:p>
    <w:p w14:paraId="7BE70910">
      <w:pPr>
        <w:ind w:firstLine="482"/>
        <w:rPr>
          <w:b/>
          <w:color w:val="auto"/>
        </w:rPr>
      </w:pPr>
      <w:r>
        <w:rPr>
          <w:rFonts w:hint="eastAsia"/>
          <w:b/>
          <w:color w:val="auto"/>
        </w:rPr>
        <w:t>三、病历浏览</w:t>
      </w:r>
    </w:p>
    <w:p w14:paraId="7A92AA9D">
      <w:pPr>
        <w:ind w:firstLine="480"/>
        <w:rPr>
          <w:color w:val="auto"/>
        </w:rPr>
      </w:pPr>
      <w:r>
        <w:rPr>
          <w:color w:val="auto"/>
        </w:rPr>
        <w:t>日期：回访员选择日期范围，系统整合患者的住院、门诊、体检的看诊记录。</w:t>
      </w:r>
    </w:p>
    <w:p w14:paraId="510D450D">
      <w:pPr>
        <w:ind w:firstLine="480"/>
        <w:rPr>
          <w:color w:val="auto"/>
        </w:rPr>
      </w:pPr>
      <w:r>
        <w:rPr>
          <w:rFonts w:hint="eastAsia"/>
          <w:color w:val="auto"/>
        </w:rPr>
        <w:t>看诊记录：回访员选择看诊记录，系统根据来源与日期显示相应的病历资料。</w:t>
      </w:r>
    </w:p>
    <w:p w14:paraId="771A4039">
      <w:pPr>
        <w:bidi w:val="0"/>
        <w:rPr>
          <w:rFonts w:hint="eastAsia" w:ascii="宋体" w:hAnsi="宋体" w:eastAsia="宋体" w:cs="Times New Roman"/>
          <w:b/>
          <w:bCs/>
          <w:color w:val="auto"/>
        </w:rPr>
      </w:pPr>
      <w:bookmarkStart w:id="269" w:name="_Toc153618254"/>
      <w:r>
        <w:rPr>
          <w:rFonts w:hint="eastAsia" w:ascii="宋体" w:hAnsi="宋体" w:eastAsia="宋体" w:cs="Times New Roman"/>
          <w:b/>
          <w:bCs/>
          <w:color w:val="auto"/>
        </w:rPr>
        <w:t>计划与执行记录</w:t>
      </w:r>
      <w:bookmarkEnd w:id="269"/>
    </w:p>
    <w:p w14:paraId="6DFE4975">
      <w:pPr>
        <w:ind w:firstLine="480"/>
        <w:rPr>
          <w:color w:val="auto"/>
        </w:rPr>
      </w:pPr>
      <w:r>
        <w:rPr>
          <w:rFonts w:hint="eastAsia"/>
          <w:color w:val="auto"/>
        </w:rPr>
        <w:t>支持查看随访计划与执行情况，可以增加计划、删除未执行的随访计划记录。</w:t>
      </w:r>
    </w:p>
    <w:p w14:paraId="2CE89872">
      <w:pPr>
        <w:bidi w:val="0"/>
        <w:rPr>
          <w:rFonts w:hint="eastAsia" w:ascii="宋体" w:hAnsi="宋体" w:eastAsia="宋体" w:cs="Times New Roman"/>
          <w:b/>
          <w:bCs/>
          <w:color w:val="auto"/>
        </w:rPr>
      </w:pPr>
      <w:bookmarkStart w:id="270" w:name="_Toc153618255"/>
      <w:r>
        <w:rPr>
          <w:rFonts w:hint="eastAsia" w:ascii="宋体" w:hAnsi="宋体" w:eastAsia="宋体" w:cs="Times New Roman"/>
          <w:b/>
          <w:bCs/>
          <w:color w:val="auto"/>
        </w:rPr>
        <w:t>随访病人分类</w:t>
      </w:r>
      <w:bookmarkEnd w:id="270"/>
    </w:p>
    <w:p w14:paraId="15AF8811">
      <w:pPr>
        <w:ind w:firstLine="480"/>
        <w:rPr>
          <w:color w:val="auto"/>
        </w:rPr>
      </w:pPr>
      <w:r>
        <w:rPr>
          <w:rFonts w:hint="eastAsia"/>
          <w:color w:val="auto"/>
        </w:rPr>
        <w:t>根据医院需求，建立病人分类与数据提取SQL。</w:t>
      </w:r>
    </w:p>
    <w:p w14:paraId="25687CED">
      <w:pPr>
        <w:bidi w:val="0"/>
        <w:rPr>
          <w:rFonts w:hint="eastAsia" w:ascii="宋体" w:hAnsi="宋体" w:eastAsia="宋体" w:cs="Times New Roman"/>
          <w:b/>
          <w:bCs/>
          <w:color w:val="auto"/>
        </w:rPr>
      </w:pPr>
      <w:bookmarkStart w:id="271" w:name="_Toc153618256"/>
      <w:r>
        <w:rPr>
          <w:rFonts w:hint="eastAsia" w:ascii="宋体" w:hAnsi="宋体" w:eastAsia="宋体" w:cs="Times New Roman"/>
          <w:b/>
          <w:bCs/>
          <w:color w:val="auto"/>
        </w:rPr>
        <w:t>问卷设计</w:t>
      </w:r>
      <w:bookmarkEnd w:id="271"/>
    </w:p>
    <w:p w14:paraId="2A662C6F">
      <w:pPr>
        <w:ind w:firstLine="480"/>
        <w:rPr>
          <w:color w:val="auto"/>
        </w:rPr>
      </w:pPr>
      <w:r>
        <w:rPr>
          <w:rFonts w:hint="eastAsia"/>
          <w:color w:val="auto"/>
        </w:rPr>
        <w:t>支持设计问卷模板名称、项目标题与项目标题选项与语音。</w:t>
      </w:r>
    </w:p>
    <w:p w14:paraId="26AABF81">
      <w:pPr>
        <w:bidi w:val="0"/>
        <w:rPr>
          <w:b/>
          <w:bCs/>
          <w:color w:val="auto"/>
        </w:rPr>
      </w:pPr>
      <w:bookmarkStart w:id="272" w:name="_Toc153618257"/>
      <w:r>
        <w:rPr>
          <w:rFonts w:hint="eastAsia"/>
          <w:b/>
          <w:bCs/>
          <w:color w:val="auto"/>
        </w:rPr>
        <w:t>统计模块</w:t>
      </w:r>
      <w:bookmarkEnd w:id="272"/>
    </w:p>
    <w:p w14:paraId="0EBA4CC0">
      <w:pPr>
        <w:ind w:firstLine="480"/>
        <w:rPr>
          <w:color w:val="auto"/>
        </w:rPr>
      </w:pPr>
      <w:r>
        <w:rPr>
          <w:rFonts w:hint="eastAsia"/>
          <w:color w:val="auto"/>
        </w:rPr>
        <w:t>随访内容统计：设计通用分析模块，按模板（表单）中的单选、多选进行随访信息的统计。实现病人分类、模板、指标的动态统计分析。</w:t>
      </w:r>
    </w:p>
    <w:p w14:paraId="71E0AB6D">
      <w:pPr>
        <w:ind w:firstLine="480"/>
        <w:rPr>
          <w:color w:val="auto"/>
        </w:rPr>
      </w:pPr>
      <w:r>
        <w:rPr>
          <w:rFonts w:hint="eastAsia"/>
          <w:color w:val="auto"/>
        </w:rPr>
        <w:t>随访员工作量统计：按执行人统计完成随访问卷数量、随访人次数、随访时长指标分析。执行人执行状态、拨号次数指标分析。</w:t>
      </w:r>
    </w:p>
    <w:p w14:paraId="4456E22E">
      <w:pPr>
        <w:pStyle w:val="14"/>
        <w:bidi w:val="0"/>
        <w:rPr>
          <w:color w:val="auto"/>
        </w:rPr>
      </w:pPr>
      <w:r>
        <w:rPr>
          <w:rFonts w:hint="eastAsia"/>
          <w:color w:val="auto"/>
          <w:lang w:val="en-US" w:eastAsia="zh-CN"/>
        </w:rPr>
        <w:t xml:space="preserve"> </w:t>
      </w:r>
      <w:r>
        <w:rPr>
          <w:rFonts w:hint="eastAsia"/>
          <w:color w:val="auto"/>
        </w:rPr>
        <w:t>医院门户系统</w:t>
      </w:r>
    </w:p>
    <w:p w14:paraId="0BB2924D">
      <w:pPr>
        <w:bidi w:val="0"/>
        <w:rPr>
          <w:color w:val="auto"/>
        </w:rPr>
      </w:pPr>
      <w:r>
        <w:rPr>
          <w:color w:val="auto"/>
        </w:rPr>
        <w:t>系统提供个人与科室日程管理、消息任务推送、公告发布及模块化自定义布局，支持动态调整与子系统联动，实现医院信息统一入口和高效协同办公。</w:t>
      </w:r>
    </w:p>
    <w:p w14:paraId="474917AA">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3156F14">
      <w:pPr>
        <w:ind w:firstLine="482"/>
        <w:rPr>
          <w:rFonts w:cs="仿宋"/>
          <w:b/>
          <w:color w:val="auto"/>
        </w:rPr>
      </w:pPr>
      <w:r>
        <w:rPr>
          <w:rFonts w:hint="eastAsia" w:cs="仿宋"/>
          <w:b/>
          <w:color w:val="auto"/>
        </w:rPr>
        <w:t>日程安排</w:t>
      </w:r>
    </w:p>
    <w:p w14:paraId="65A4917E">
      <w:pPr>
        <w:ind w:firstLine="480"/>
        <w:rPr>
          <w:rFonts w:hint="eastAsia" w:eastAsia="宋体" w:cs="仿宋"/>
          <w:color w:val="auto"/>
          <w:lang w:eastAsia="zh-CN"/>
        </w:rPr>
      </w:pPr>
      <w:r>
        <w:rPr>
          <w:rFonts w:hint="eastAsia" w:cs="仿宋"/>
          <w:color w:val="auto"/>
        </w:rPr>
        <w:t>包括个人日程和科室日程，根据权限可编辑</w:t>
      </w:r>
      <w:r>
        <w:rPr>
          <w:rFonts w:hint="eastAsia" w:cs="仿宋"/>
          <w:color w:val="auto"/>
          <w:lang w:eastAsia="zh-CN"/>
        </w:rPr>
        <w:t>。</w:t>
      </w:r>
    </w:p>
    <w:p w14:paraId="0FBB4092">
      <w:pPr>
        <w:ind w:firstLine="482"/>
        <w:rPr>
          <w:rFonts w:cs="仿宋"/>
          <w:b/>
          <w:color w:val="auto"/>
        </w:rPr>
      </w:pPr>
      <w:r>
        <w:rPr>
          <w:rFonts w:hint="eastAsia" w:cs="仿宋"/>
          <w:b/>
          <w:color w:val="auto"/>
        </w:rPr>
        <w:t>我的消息</w:t>
      </w:r>
    </w:p>
    <w:p w14:paraId="6DA96D19">
      <w:pPr>
        <w:ind w:firstLine="480"/>
        <w:rPr>
          <w:rFonts w:hint="eastAsia" w:eastAsia="宋体" w:cs="仿宋"/>
          <w:color w:val="auto"/>
          <w:lang w:eastAsia="zh-CN"/>
        </w:rPr>
      </w:pPr>
      <w:r>
        <w:rPr>
          <w:rFonts w:hint="eastAsia" w:cs="仿宋"/>
          <w:color w:val="auto"/>
        </w:rPr>
        <w:t>包括即时消息和业务推送消息，即时消息支持查询和回复，业务消息支持模块跳转</w:t>
      </w:r>
      <w:r>
        <w:rPr>
          <w:rFonts w:hint="eastAsia" w:cs="仿宋"/>
          <w:color w:val="auto"/>
          <w:lang w:eastAsia="zh-CN"/>
        </w:rPr>
        <w:t>。</w:t>
      </w:r>
    </w:p>
    <w:p w14:paraId="747D122A">
      <w:pPr>
        <w:ind w:firstLine="482"/>
        <w:rPr>
          <w:rFonts w:cs="仿宋"/>
          <w:b/>
          <w:color w:val="auto"/>
        </w:rPr>
      </w:pPr>
      <w:r>
        <w:rPr>
          <w:rFonts w:hint="eastAsia" w:cs="仿宋"/>
          <w:b/>
          <w:color w:val="auto"/>
        </w:rPr>
        <w:t>我的任务</w:t>
      </w:r>
    </w:p>
    <w:p w14:paraId="52C39653">
      <w:pPr>
        <w:ind w:firstLine="480"/>
        <w:rPr>
          <w:rFonts w:hint="eastAsia" w:eastAsia="宋体" w:cs="仿宋"/>
          <w:color w:val="auto"/>
          <w:lang w:eastAsia="zh-CN"/>
        </w:rPr>
      </w:pPr>
      <w:r>
        <w:rPr>
          <w:rFonts w:hint="eastAsia" w:cs="仿宋"/>
          <w:color w:val="auto"/>
        </w:rPr>
        <w:t>支持按类别自定义，如：待审核任务、病历书写任务、护理任务等</w:t>
      </w:r>
      <w:r>
        <w:rPr>
          <w:rFonts w:hint="eastAsia" w:cs="仿宋"/>
          <w:color w:val="auto"/>
          <w:lang w:eastAsia="zh-CN"/>
        </w:rPr>
        <w:t>。</w:t>
      </w:r>
    </w:p>
    <w:p w14:paraId="41A65157">
      <w:pPr>
        <w:ind w:firstLine="482"/>
        <w:rPr>
          <w:rFonts w:cs="仿宋"/>
          <w:b/>
          <w:color w:val="auto"/>
        </w:rPr>
      </w:pPr>
      <w:r>
        <w:rPr>
          <w:rFonts w:hint="eastAsia" w:cs="仿宋"/>
          <w:b/>
          <w:color w:val="auto"/>
        </w:rPr>
        <w:t>公告</w:t>
      </w:r>
    </w:p>
    <w:p w14:paraId="7C3910C1">
      <w:pPr>
        <w:ind w:firstLine="480"/>
        <w:rPr>
          <w:rFonts w:hint="eastAsia" w:eastAsia="宋体" w:cs="仿宋"/>
          <w:color w:val="auto"/>
          <w:lang w:eastAsia="zh-CN"/>
        </w:rPr>
      </w:pPr>
      <w:r>
        <w:rPr>
          <w:rFonts w:hint="eastAsia" w:cs="仿宋"/>
          <w:color w:val="auto"/>
        </w:rPr>
        <w:t>支持医院级和科室级公告，支持公告统一维护，定时刷新。支持公告置顶</w:t>
      </w:r>
      <w:r>
        <w:rPr>
          <w:rFonts w:hint="eastAsia" w:cs="仿宋"/>
          <w:color w:val="auto"/>
          <w:lang w:eastAsia="zh-CN"/>
        </w:rPr>
        <w:t>。</w:t>
      </w:r>
    </w:p>
    <w:p w14:paraId="2A0E7636">
      <w:pPr>
        <w:ind w:firstLine="480"/>
        <w:rPr>
          <w:rFonts w:cs="仿宋"/>
          <w:b/>
          <w:color w:val="auto"/>
        </w:rPr>
      </w:pPr>
      <w:r>
        <w:rPr>
          <w:rFonts w:hint="eastAsia" w:cs="仿宋"/>
          <w:b/>
          <w:color w:val="auto"/>
        </w:rPr>
        <w:t>版块设置</w:t>
      </w:r>
    </w:p>
    <w:p w14:paraId="480D2907">
      <w:pPr>
        <w:pStyle w:val="94"/>
        <w:numPr>
          <w:ilvl w:val="0"/>
          <w:numId w:val="114"/>
        </w:numPr>
        <w:ind w:left="0" w:firstLine="480"/>
        <w:rPr>
          <w:color w:val="auto"/>
          <w:sz w:val="24"/>
        </w:rPr>
      </w:pPr>
      <w:r>
        <w:rPr>
          <w:rFonts w:hint="eastAsia"/>
          <w:color w:val="auto"/>
          <w:sz w:val="24"/>
        </w:rPr>
        <w:t>支持自定义布局（个人、工作站、科室）</w:t>
      </w:r>
    </w:p>
    <w:p w14:paraId="23D52F5B">
      <w:pPr>
        <w:pStyle w:val="94"/>
        <w:numPr>
          <w:ilvl w:val="0"/>
          <w:numId w:val="114"/>
        </w:numPr>
        <w:ind w:left="0" w:firstLine="480"/>
        <w:rPr>
          <w:color w:val="auto"/>
          <w:sz w:val="24"/>
        </w:rPr>
      </w:pPr>
      <w:r>
        <w:rPr>
          <w:rFonts w:hint="eastAsia"/>
          <w:color w:val="auto"/>
          <w:sz w:val="24"/>
        </w:rPr>
        <w:t>可拖动改变位置和大小</w:t>
      </w:r>
    </w:p>
    <w:p w14:paraId="7A70C7CE">
      <w:pPr>
        <w:pStyle w:val="94"/>
        <w:numPr>
          <w:ilvl w:val="0"/>
          <w:numId w:val="114"/>
        </w:numPr>
        <w:ind w:left="0" w:firstLine="480"/>
        <w:rPr>
          <w:color w:val="auto"/>
          <w:sz w:val="24"/>
        </w:rPr>
      </w:pPr>
      <w:r>
        <w:rPr>
          <w:rFonts w:hint="eastAsia"/>
          <w:color w:val="auto"/>
          <w:sz w:val="24"/>
        </w:rPr>
        <w:t>可设置隐藏显示</w:t>
      </w:r>
    </w:p>
    <w:p w14:paraId="2933DC26">
      <w:pPr>
        <w:ind w:firstLine="482"/>
        <w:rPr>
          <w:rFonts w:cs="仿宋"/>
          <w:b/>
          <w:color w:val="auto"/>
        </w:rPr>
      </w:pPr>
      <w:r>
        <w:rPr>
          <w:rFonts w:hint="eastAsia" w:cs="仿宋"/>
          <w:b/>
          <w:color w:val="auto"/>
        </w:rPr>
        <w:t>嵌入固定模块</w:t>
      </w:r>
    </w:p>
    <w:p w14:paraId="6D502899">
      <w:pPr>
        <w:pStyle w:val="94"/>
        <w:numPr>
          <w:ilvl w:val="0"/>
          <w:numId w:val="115"/>
        </w:numPr>
        <w:ind w:left="0" w:firstLine="480"/>
        <w:rPr>
          <w:color w:val="auto"/>
          <w:sz w:val="24"/>
        </w:rPr>
      </w:pPr>
      <w:r>
        <w:rPr>
          <w:rFonts w:hint="eastAsia"/>
          <w:color w:val="auto"/>
          <w:sz w:val="24"/>
        </w:rPr>
        <w:t>嵌入模块可根据子系统关联（切换子系统时联动）</w:t>
      </w:r>
    </w:p>
    <w:p w14:paraId="600BCF86">
      <w:pPr>
        <w:pStyle w:val="94"/>
        <w:numPr>
          <w:ilvl w:val="0"/>
          <w:numId w:val="115"/>
        </w:numPr>
        <w:ind w:left="0" w:firstLine="480"/>
        <w:rPr>
          <w:color w:val="auto"/>
          <w:sz w:val="24"/>
        </w:rPr>
      </w:pPr>
      <w:r>
        <w:rPr>
          <w:rFonts w:hint="eastAsia"/>
          <w:color w:val="auto"/>
          <w:sz w:val="24"/>
        </w:rPr>
        <w:t>首页版块模板设置</w:t>
      </w:r>
    </w:p>
    <w:p w14:paraId="7E731F10">
      <w:pPr>
        <w:pStyle w:val="94"/>
        <w:numPr>
          <w:ilvl w:val="0"/>
          <w:numId w:val="115"/>
        </w:numPr>
        <w:ind w:left="0" w:firstLine="480"/>
        <w:rPr>
          <w:color w:val="auto"/>
          <w:sz w:val="24"/>
        </w:rPr>
      </w:pPr>
      <w:r>
        <w:rPr>
          <w:rFonts w:hint="eastAsia"/>
          <w:color w:val="auto"/>
          <w:sz w:val="24"/>
        </w:rPr>
        <w:t>日程查询</w:t>
      </w:r>
    </w:p>
    <w:p w14:paraId="48FB5D4C">
      <w:pPr>
        <w:pStyle w:val="94"/>
        <w:numPr>
          <w:ilvl w:val="0"/>
          <w:numId w:val="115"/>
        </w:numPr>
        <w:ind w:left="0" w:firstLine="480"/>
        <w:rPr>
          <w:color w:val="auto"/>
          <w:sz w:val="24"/>
        </w:rPr>
      </w:pPr>
      <w:r>
        <w:rPr>
          <w:rFonts w:hint="eastAsia"/>
          <w:color w:val="auto"/>
          <w:sz w:val="24"/>
        </w:rPr>
        <w:t>消息版块定义</w:t>
      </w:r>
    </w:p>
    <w:p w14:paraId="253476BA">
      <w:pPr>
        <w:pStyle w:val="94"/>
        <w:numPr>
          <w:ilvl w:val="0"/>
          <w:numId w:val="115"/>
        </w:numPr>
        <w:ind w:left="0" w:firstLine="480"/>
        <w:rPr>
          <w:color w:val="auto"/>
          <w:sz w:val="24"/>
        </w:rPr>
      </w:pPr>
      <w:r>
        <w:rPr>
          <w:rFonts w:hint="eastAsia"/>
          <w:color w:val="auto"/>
          <w:sz w:val="24"/>
        </w:rPr>
        <w:t>任务版块定义</w:t>
      </w:r>
    </w:p>
    <w:p w14:paraId="77099335">
      <w:pPr>
        <w:pStyle w:val="94"/>
        <w:numPr>
          <w:ilvl w:val="0"/>
          <w:numId w:val="115"/>
        </w:numPr>
        <w:ind w:left="0" w:firstLine="480"/>
        <w:rPr>
          <w:color w:val="auto"/>
          <w:sz w:val="24"/>
        </w:rPr>
      </w:pPr>
      <w:r>
        <w:rPr>
          <w:rFonts w:hint="eastAsia"/>
          <w:color w:val="auto"/>
          <w:sz w:val="24"/>
        </w:rPr>
        <w:t>公告及新闻发布</w:t>
      </w:r>
    </w:p>
    <w:p w14:paraId="0DF1C1E4">
      <w:pPr>
        <w:pStyle w:val="94"/>
        <w:numPr>
          <w:ilvl w:val="0"/>
          <w:numId w:val="115"/>
        </w:numPr>
        <w:ind w:left="0" w:firstLine="480"/>
        <w:rPr>
          <w:color w:val="auto"/>
        </w:rPr>
      </w:pPr>
      <w:r>
        <w:rPr>
          <w:rFonts w:hint="eastAsia"/>
          <w:color w:val="auto"/>
          <w:sz w:val="24"/>
        </w:rPr>
        <w:t>统计指标版块设置</w:t>
      </w:r>
    </w:p>
    <w:p w14:paraId="5402F360">
      <w:pPr>
        <w:pStyle w:val="13"/>
        <w:bidi w:val="0"/>
        <w:ind w:left="1008" w:leftChars="0" w:hanging="1008" w:firstLineChars="0"/>
        <w:rPr>
          <w:rFonts w:hint="default"/>
          <w:b/>
          <w:bCs w:val="0"/>
          <w:color w:val="auto"/>
          <w:lang w:val="en-US" w:eastAsia="zh-CN"/>
        </w:rPr>
      </w:pPr>
      <w:r>
        <w:rPr>
          <w:rFonts w:hint="eastAsia"/>
          <w:b/>
          <w:bCs w:val="0"/>
          <w:color w:val="auto"/>
          <w:lang w:val="en-US" w:eastAsia="zh-CN"/>
        </w:rPr>
        <w:t xml:space="preserve"> 医技管理</w:t>
      </w:r>
    </w:p>
    <w:p w14:paraId="17E6392C">
      <w:pPr>
        <w:pStyle w:val="14"/>
        <w:bidi w:val="0"/>
        <w:rPr>
          <w:color w:val="auto"/>
        </w:rPr>
      </w:pPr>
      <w:r>
        <w:rPr>
          <w:rFonts w:hint="eastAsia"/>
          <w:color w:val="auto"/>
          <w:lang w:val="en-US" w:eastAsia="zh-CN"/>
        </w:rPr>
        <w:t xml:space="preserve"> 临床检验系统</w:t>
      </w:r>
    </w:p>
    <w:p w14:paraId="50D0B50D">
      <w:pPr>
        <w:bidi w:val="0"/>
        <w:rPr>
          <w:color w:val="auto"/>
        </w:rPr>
      </w:pPr>
      <w:r>
        <w:rPr>
          <w:color w:val="auto"/>
        </w:rPr>
        <w:t>系统覆盖样本采集、送检核收、常规/微生物检验、报告审定与发布全流程，支持自动化仪器通讯、智能质控及设备维保管理，确保检验数据精准、高效且符合临床规范，助力实验室智能化运营。</w:t>
      </w:r>
    </w:p>
    <w:p w14:paraId="56D31CDD">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77D23DF">
      <w:pPr>
        <w:pStyle w:val="341"/>
        <w:spacing w:beforeLines="0"/>
        <w:ind w:firstLine="482"/>
        <w:rPr>
          <w:rFonts w:hint="eastAsia" w:ascii="宋体" w:hAnsi="宋体" w:cs="仿宋"/>
          <w:b/>
          <w:bCs/>
          <w:color w:val="auto"/>
          <w:sz w:val="24"/>
          <w:szCs w:val="24"/>
        </w:rPr>
      </w:pPr>
      <w:bookmarkStart w:id="273" w:name="_Toc106373105"/>
      <w:r>
        <w:rPr>
          <w:rFonts w:hint="eastAsia" w:ascii="宋体" w:hAnsi="宋体" w:cs="仿宋"/>
          <w:b/>
          <w:bCs/>
          <w:color w:val="auto"/>
          <w:sz w:val="24"/>
          <w:szCs w:val="24"/>
        </w:rPr>
        <w:t>样本采集</w:t>
      </w:r>
      <w:bookmarkEnd w:id="273"/>
    </w:p>
    <w:p w14:paraId="29C640F9">
      <w:pPr>
        <w:pStyle w:val="94"/>
        <w:numPr>
          <w:ilvl w:val="0"/>
          <w:numId w:val="116"/>
        </w:numPr>
        <w:ind w:left="0" w:firstLine="480"/>
        <w:rPr>
          <w:color w:val="auto"/>
          <w:sz w:val="24"/>
        </w:rPr>
      </w:pPr>
      <w:bookmarkStart w:id="274" w:name="_Toc106373106"/>
      <w:r>
        <w:rPr>
          <w:color w:val="auto"/>
          <w:sz w:val="24"/>
        </w:rPr>
        <w:t>支持打印条码工作模式。</w:t>
      </w:r>
    </w:p>
    <w:p w14:paraId="139538AD">
      <w:pPr>
        <w:pStyle w:val="94"/>
        <w:numPr>
          <w:ilvl w:val="0"/>
          <w:numId w:val="116"/>
        </w:numPr>
        <w:ind w:left="0" w:firstLine="480"/>
        <w:rPr>
          <w:color w:val="auto"/>
          <w:sz w:val="24"/>
        </w:rPr>
      </w:pPr>
      <w:r>
        <w:rPr>
          <w:color w:val="auto"/>
          <w:sz w:val="24"/>
        </w:rPr>
        <w:t>支持按不同标本类型分类批量打印条码。</w:t>
      </w:r>
    </w:p>
    <w:p w14:paraId="088B6077">
      <w:pPr>
        <w:pStyle w:val="94"/>
        <w:numPr>
          <w:ilvl w:val="0"/>
          <w:numId w:val="116"/>
        </w:numPr>
        <w:ind w:left="0" w:firstLine="480"/>
        <w:rPr>
          <w:color w:val="auto"/>
          <w:sz w:val="24"/>
        </w:rPr>
      </w:pPr>
      <w:r>
        <w:rPr>
          <w:color w:val="auto"/>
          <w:sz w:val="24"/>
        </w:rPr>
        <w:t>支持标本条码作废、重打。</w:t>
      </w:r>
    </w:p>
    <w:p w14:paraId="547B67C0">
      <w:pPr>
        <w:pStyle w:val="94"/>
        <w:numPr>
          <w:ilvl w:val="0"/>
          <w:numId w:val="116"/>
        </w:numPr>
        <w:ind w:left="0" w:firstLine="480"/>
        <w:rPr>
          <w:color w:val="auto"/>
          <w:sz w:val="24"/>
        </w:rPr>
      </w:pPr>
      <w:r>
        <w:rPr>
          <w:color w:val="auto"/>
          <w:sz w:val="24"/>
        </w:rPr>
        <w:t>支持自动提示本次采样需用的采样管类型、颜色等。</w:t>
      </w:r>
    </w:p>
    <w:p w14:paraId="16587D0C">
      <w:pPr>
        <w:pStyle w:val="94"/>
        <w:numPr>
          <w:ilvl w:val="0"/>
          <w:numId w:val="116"/>
        </w:numPr>
        <w:ind w:left="0" w:firstLine="480"/>
        <w:rPr>
          <w:color w:val="auto"/>
          <w:sz w:val="24"/>
        </w:rPr>
      </w:pPr>
      <w:r>
        <w:rPr>
          <w:color w:val="auto"/>
          <w:sz w:val="24"/>
        </w:rPr>
        <w:t xml:space="preserve">支持打印的样本标签应有明确的标识，区分各个不同的小组。 </w:t>
      </w:r>
    </w:p>
    <w:p w14:paraId="7CBB2B03">
      <w:pPr>
        <w:pStyle w:val="94"/>
        <w:numPr>
          <w:ilvl w:val="0"/>
          <w:numId w:val="116"/>
        </w:numPr>
        <w:ind w:left="0" w:firstLine="480"/>
        <w:rPr>
          <w:color w:val="auto"/>
          <w:sz w:val="24"/>
        </w:rPr>
      </w:pPr>
      <w:r>
        <w:rPr>
          <w:color w:val="auto"/>
          <w:sz w:val="24"/>
        </w:rPr>
        <w:t>支持样本采集模块有相应的样本采集信息的记录：包括样本采集时间、样本量、体温、其他采样说明等信息。</w:t>
      </w:r>
    </w:p>
    <w:p w14:paraId="4E71BAEF">
      <w:pPr>
        <w:pStyle w:val="94"/>
        <w:numPr>
          <w:ilvl w:val="0"/>
          <w:numId w:val="116"/>
        </w:numPr>
        <w:ind w:left="0" w:firstLine="480"/>
        <w:rPr>
          <w:color w:val="auto"/>
          <w:sz w:val="24"/>
        </w:rPr>
      </w:pPr>
      <w:r>
        <w:rPr>
          <w:color w:val="auto"/>
          <w:sz w:val="24"/>
        </w:rPr>
        <w:t>支持标本采集后，系统根据检验组套相关规则自动生成回执单打印。</w:t>
      </w:r>
    </w:p>
    <w:p w14:paraId="1F3B914A">
      <w:pPr>
        <w:pStyle w:val="94"/>
        <w:numPr>
          <w:ilvl w:val="0"/>
          <w:numId w:val="116"/>
        </w:numPr>
        <w:ind w:left="0" w:firstLine="480"/>
        <w:rPr>
          <w:color w:val="auto"/>
          <w:sz w:val="24"/>
        </w:rPr>
      </w:pPr>
      <w:r>
        <w:rPr>
          <w:color w:val="auto"/>
          <w:sz w:val="24"/>
        </w:rPr>
        <w:t>支持指定标本类型、组套项目等在特定的工作站进行标本采集。</w:t>
      </w:r>
    </w:p>
    <w:p w14:paraId="0E3CD0E0">
      <w:pPr>
        <w:pStyle w:val="94"/>
        <w:numPr>
          <w:ilvl w:val="0"/>
          <w:numId w:val="116"/>
        </w:numPr>
        <w:ind w:left="0" w:firstLine="480"/>
        <w:rPr>
          <w:color w:val="auto"/>
          <w:sz w:val="24"/>
        </w:rPr>
      </w:pPr>
      <w:r>
        <w:rPr>
          <w:color w:val="auto"/>
          <w:sz w:val="24"/>
        </w:rPr>
        <w:t>支持拒收标本重新生成条码。</w:t>
      </w:r>
    </w:p>
    <w:p w14:paraId="64550FDE">
      <w:pPr>
        <w:pStyle w:val="94"/>
        <w:numPr>
          <w:ilvl w:val="0"/>
          <w:numId w:val="116"/>
        </w:numPr>
        <w:ind w:left="0" w:firstLine="480"/>
        <w:rPr>
          <w:color w:val="auto"/>
          <w:sz w:val="24"/>
        </w:rPr>
      </w:pPr>
      <w:r>
        <w:rPr>
          <w:color w:val="auto"/>
          <w:sz w:val="24"/>
        </w:rPr>
        <w:t>支持通过导入EXCEL生成采集条码。</w:t>
      </w:r>
    </w:p>
    <w:p w14:paraId="1A34041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样本送检、核收</w:t>
      </w:r>
      <w:bookmarkEnd w:id="274"/>
    </w:p>
    <w:p w14:paraId="331D03F4">
      <w:pPr>
        <w:pStyle w:val="94"/>
        <w:numPr>
          <w:ilvl w:val="0"/>
          <w:numId w:val="117"/>
        </w:numPr>
        <w:ind w:left="0" w:firstLine="480"/>
        <w:rPr>
          <w:color w:val="auto"/>
          <w:sz w:val="24"/>
        </w:rPr>
      </w:pPr>
      <w:bookmarkStart w:id="275" w:name="_Toc106373108"/>
      <w:r>
        <w:rPr>
          <w:color w:val="auto"/>
          <w:sz w:val="24"/>
        </w:rPr>
        <w:t>支持自动生成送检单。</w:t>
      </w:r>
    </w:p>
    <w:p w14:paraId="6A7D4557">
      <w:pPr>
        <w:pStyle w:val="94"/>
        <w:numPr>
          <w:ilvl w:val="0"/>
          <w:numId w:val="117"/>
        </w:numPr>
        <w:ind w:left="0" w:firstLine="480"/>
        <w:rPr>
          <w:color w:val="auto"/>
          <w:sz w:val="24"/>
        </w:rPr>
      </w:pPr>
      <w:r>
        <w:rPr>
          <w:color w:val="auto"/>
          <w:sz w:val="24"/>
        </w:rPr>
        <w:t>支持按照不同标本类型、组套类型进行设置送检规则。</w:t>
      </w:r>
    </w:p>
    <w:p w14:paraId="21E46490">
      <w:pPr>
        <w:pStyle w:val="94"/>
        <w:numPr>
          <w:ilvl w:val="0"/>
          <w:numId w:val="117"/>
        </w:numPr>
        <w:ind w:left="0" w:firstLine="480"/>
        <w:rPr>
          <w:color w:val="auto"/>
          <w:sz w:val="24"/>
        </w:rPr>
      </w:pPr>
      <w:r>
        <w:rPr>
          <w:color w:val="auto"/>
          <w:sz w:val="24"/>
        </w:rPr>
        <w:t>支持条形码读入进行核收。</w:t>
      </w:r>
    </w:p>
    <w:p w14:paraId="0CC94CA9">
      <w:pPr>
        <w:pStyle w:val="94"/>
        <w:numPr>
          <w:ilvl w:val="0"/>
          <w:numId w:val="117"/>
        </w:numPr>
        <w:ind w:left="0" w:firstLine="480"/>
        <w:rPr>
          <w:color w:val="auto"/>
          <w:sz w:val="24"/>
        </w:rPr>
      </w:pPr>
      <w:r>
        <w:rPr>
          <w:color w:val="auto"/>
          <w:sz w:val="24"/>
        </w:rPr>
        <w:t>支持进行样本取消核收操作，并留有日志记录。</w:t>
      </w:r>
    </w:p>
    <w:p w14:paraId="4B1A360B">
      <w:pPr>
        <w:pStyle w:val="94"/>
        <w:numPr>
          <w:ilvl w:val="0"/>
          <w:numId w:val="117"/>
        </w:numPr>
        <w:ind w:left="0" w:firstLine="480"/>
        <w:rPr>
          <w:color w:val="auto"/>
          <w:sz w:val="24"/>
        </w:rPr>
      </w:pPr>
      <w:r>
        <w:rPr>
          <w:color w:val="auto"/>
          <w:sz w:val="24"/>
        </w:rPr>
        <w:t>支持对不合格的样本拒收，提示录入或选择拒收原因、拒收人和拒收时间备查，并自动将拒收消息提醒到采集工作站。</w:t>
      </w:r>
    </w:p>
    <w:p w14:paraId="4D7B959C">
      <w:pPr>
        <w:pStyle w:val="94"/>
        <w:numPr>
          <w:ilvl w:val="0"/>
          <w:numId w:val="117"/>
        </w:numPr>
        <w:ind w:left="0" w:firstLine="480"/>
        <w:rPr>
          <w:color w:val="auto"/>
          <w:sz w:val="24"/>
        </w:rPr>
      </w:pPr>
      <w:r>
        <w:rPr>
          <w:color w:val="auto"/>
          <w:sz w:val="24"/>
        </w:rPr>
        <w:t>支持</w:t>
      </w:r>
      <w:r>
        <w:rPr>
          <w:rFonts w:hint="eastAsia"/>
          <w:color w:val="auto"/>
          <w:sz w:val="24"/>
        </w:rPr>
        <w:t>医疗集体内部条码转检、审核。</w:t>
      </w:r>
    </w:p>
    <w:p w14:paraId="6482CB4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常规检验</w:t>
      </w:r>
      <w:bookmarkEnd w:id="275"/>
    </w:p>
    <w:p w14:paraId="76D59ABF">
      <w:pPr>
        <w:pStyle w:val="94"/>
        <w:numPr>
          <w:ilvl w:val="0"/>
          <w:numId w:val="118"/>
        </w:numPr>
        <w:ind w:left="0" w:firstLine="480"/>
        <w:rPr>
          <w:color w:val="auto"/>
          <w:sz w:val="24"/>
        </w:rPr>
      </w:pPr>
      <w:bookmarkStart w:id="276" w:name="_Toc106373109"/>
      <w:r>
        <w:rPr>
          <w:color w:val="auto"/>
          <w:sz w:val="24"/>
        </w:rPr>
        <w:t>支持自动接收仪器检验结果，自动生成计算项目的结果值,将不同的单项检测结果，自动归并到组合项目中。</w:t>
      </w:r>
    </w:p>
    <w:p w14:paraId="7C8FA15B">
      <w:pPr>
        <w:pStyle w:val="94"/>
        <w:numPr>
          <w:ilvl w:val="0"/>
          <w:numId w:val="118"/>
        </w:numPr>
        <w:ind w:left="0" w:firstLine="480"/>
        <w:rPr>
          <w:color w:val="auto"/>
          <w:sz w:val="24"/>
        </w:rPr>
      </w:pPr>
      <w:r>
        <w:rPr>
          <w:color w:val="auto"/>
          <w:sz w:val="24"/>
        </w:rPr>
        <w:t>支持多种形式的报告模板和常用术语字典录入工具，辅助书写检验报告。</w:t>
      </w:r>
    </w:p>
    <w:p w14:paraId="11F0DAED">
      <w:pPr>
        <w:pStyle w:val="94"/>
        <w:numPr>
          <w:ilvl w:val="0"/>
          <w:numId w:val="118"/>
        </w:numPr>
        <w:ind w:left="0" w:firstLine="480"/>
        <w:rPr>
          <w:color w:val="auto"/>
          <w:sz w:val="24"/>
        </w:rPr>
      </w:pPr>
      <w:r>
        <w:rPr>
          <w:color w:val="auto"/>
          <w:sz w:val="24"/>
        </w:rPr>
        <w:t>支持检验项目批量录入、批量删除和修改结果。</w:t>
      </w:r>
    </w:p>
    <w:p w14:paraId="3D39F246">
      <w:pPr>
        <w:pStyle w:val="94"/>
        <w:numPr>
          <w:ilvl w:val="0"/>
          <w:numId w:val="118"/>
        </w:numPr>
        <w:ind w:left="0" w:firstLine="480"/>
        <w:rPr>
          <w:color w:val="auto"/>
          <w:sz w:val="24"/>
        </w:rPr>
      </w:pPr>
      <w:r>
        <w:rPr>
          <w:color w:val="auto"/>
          <w:sz w:val="24"/>
        </w:rPr>
        <w:t>支持文字、数据和图形（如血常规直方图、散点图、折线图）和图像（如尿沉渣图片）显示检验结果。</w:t>
      </w:r>
    </w:p>
    <w:p w14:paraId="394C60EA">
      <w:pPr>
        <w:pStyle w:val="94"/>
        <w:numPr>
          <w:ilvl w:val="0"/>
          <w:numId w:val="118"/>
        </w:numPr>
        <w:ind w:left="0" w:firstLine="480"/>
        <w:rPr>
          <w:color w:val="auto"/>
          <w:sz w:val="24"/>
        </w:rPr>
      </w:pPr>
      <w:r>
        <w:rPr>
          <w:color w:val="auto"/>
          <w:sz w:val="24"/>
        </w:rPr>
        <w:t>支持检验结果自动进行参考值范围检查，对正常结果和超限结果用不同颜色醒目提示。</w:t>
      </w:r>
    </w:p>
    <w:p w14:paraId="0D81349B">
      <w:pPr>
        <w:pStyle w:val="94"/>
        <w:numPr>
          <w:ilvl w:val="0"/>
          <w:numId w:val="118"/>
        </w:numPr>
        <w:ind w:left="0" w:firstLine="480"/>
        <w:rPr>
          <w:color w:val="auto"/>
          <w:sz w:val="24"/>
        </w:rPr>
      </w:pPr>
      <w:r>
        <w:rPr>
          <w:color w:val="auto"/>
          <w:sz w:val="24"/>
        </w:rPr>
        <w:t>支持对同一病人的检验，如同一仪器不同时间的检验、在组内不同仪器上的检验，或在不同小组的检验时，可进行报告合并，如糖耐量、胰岛素结果合并等。</w:t>
      </w:r>
    </w:p>
    <w:p w14:paraId="64879910">
      <w:pPr>
        <w:pStyle w:val="94"/>
        <w:numPr>
          <w:ilvl w:val="0"/>
          <w:numId w:val="118"/>
        </w:numPr>
        <w:ind w:left="0" w:firstLine="480"/>
        <w:rPr>
          <w:color w:val="auto"/>
          <w:sz w:val="24"/>
        </w:rPr>
      </w:pPr>
      <w:r>
        <w:rPr>
          <w:color w:val="auto"/>
          <w:sz w:val="24"/>
        </w:rPr>
        <w:t>支持患者的历次检验结果进行对比，生成趋势变化图。</w:t>
      </w:r>
    </w:p>
    <w:p w14:paraId="734CE438">
      <w:pPr>
        <w:pStyle w:val="94"/>
        <w:numPr>
          <w:ilvl w:val="0"/>
          <w:numId w:val="118"/>
        </w:numPr>
        <w:ind w:left="0" w:firstLine="480"/>
        <w:rPr>
          <w:color w:val="auto"/>
          <w:sz w:val="24"/>
        </w:rPr>
      </w:pPr>
      <w:r>
        <w:rPr>
          <w:color w:val="auto"/>
          <w:sz w:val="24"/>
        </w:rPr>
        <w:t>支持对显示窗口进行选择性设置，自定义显示或屏蔽的内容，包括项目的简称、中英文、结果的高低状态等信息。</w:t>
      </w:r>
    </w:p>
    <w:p w14:paraId="457E967C">
      <w:pPr>
        <w:pStyle w:val="94"/>
        <w:numPr>
          <w:ilvl w:val="0"/>
          <w:numId w:val="118"/>
        </w:numPr>
        <w:ind w:left="0" w:firstLine="480"/>
        <w:rPr>
          <w:color w:val="auto"/>
          <w:sz w:val="24"/>
        </w:rPr>
      </w:pPr>
      <w:r>
        <w:rPr>
          <w:color w:val="auto"/>
          <w:sz w:val="24"/>
        </w:rPr>
        <w:t>支持查看对应项目的检验仪器及其提示的异常信息等。</w:t>
      </w:r>
    </w:p>
    <w:p w14:paraId="44314E80">
      <w:pPr>
        <w:pStyle w:val="94"/>
        <w:numPr>
          <w:ilvl w:val="0"/>
          <w:numId w:val="118"/>
        </w:numPr>
        <w:ind w:left="0" w:firstLine="480"/>
        <w:rPr>
          <w:color w:val="auto"/>
          <w:sz w:val="24"/>
        </w:rPr>
      </w:pPr>
      <w:r>
        <w:rPr>
          <w:color w:val="auto"/>
          <w:sz w:val="24"/>
        </w:rPr>
        <w:t>支持除显示检验项目的正常值之外，还可根据输入患者的性别年龄，自动显示对应的性别年龄段的正常值。</w:t>
      </w:r>
    </w:p>
    <w:p w14:paraId="3194F5D1">
      <w:pPr>
        <w:pStyle w:val="94"/>
        <w:numPr>
          <w:ilvl w:val="0"/>
          <w:numId w:val="118"/>
        </w:numPr>
        <w:ind w:left="0" w:firstLine="480"/>
        <w:rPr>
          <w:color w:val="auto"/>
          <w:sz w:val="24"/>
        </w:rPr>
      </w:pPr>
      <w:r>
        <w:rPr>
          <w:color w:val="auto"/>
          <w:sz w:val="24"/>
        </w:rPr>
        <w:t>支持查看检验醒目的临床意义，包括项目的高低值代表的不同意义，新开展的项目信息等情况，能随时提供给临床，便于查询。</w:t>
      </w:r>
    </w:p>
    <w:p w14:paraId="04637822">
      <w:pPr>
        <w:pStyle w:val="94"/>
        <w:numPr>
          <w:ilvl w:val="0"/>
          <w:numId w:val="118"/>
        </w:numPr>
        <w:ind w:left="0" w:firstLine="480"/>
        <w:rPr>
          <w:color w:val="auto"/>
          <w:sz w:val="24"/>
        </w:rPr>
      </w:pPr>
      <w:r>
        <w:rPr>
          <w:color w:val="auto"/>
          <w:sz w:val="24"/>
        </w:rPr>
        <w:t>支持计算一段时期内某个项目的平均值、最大值、最小值，标准值，变异系数等并自动生成分析图表。</w:t>
      </w:r>
    </w:p>
    <w:p w14:paraId="5855DC09">
      <w:pPr>
        <w:pStyle w:val="94"/>
        <w:numPr>
          <w:ilvl w:val="0"/>
          <w:numId w:val="118"/>
        </w:numPr>
        <w:ind w:left="0" w:firstLine="480"/>
        <w:rPr>
          <w:color w:val="auto"/>
          <w:sz w:val="24"/>
        </w:rPr>
      </w:pPr>
      <w:r>
        <w:rPr>
          <w:rFonts w:hint="eastAsia"/>
          <w:color w:val="auto"/>
          <w:sz w:val="24"/>
        </w:rPr>
        <w:t>支持检验项目复查。</w:t>
      </w:r>
    </w:p>
    <w:p w14:paraId="760AA130">
      <w:pPr>
        <w:pStyle w:val="94"/>
        <w:numPr>
          <w:ilvl w:val="0"/>
          <w:numId w:val="118"/>
        </w:numPr>
        <w:ind w:left="0" w:firstLine="480"/>
        <w:rPr>
          <w:color w:val="auto"/>
          <w:sz w:val="24"/>
        </w:rPr>
      </w:pPr>
      <w:r>
        <w:rPr>
          <w:color w:val="auto"/>
          <w:sz w:val="24"/>
        </w:rPr>
        <w:t>支持条码自动拆分，达到一个标本在多个检验仪器上进行检验。</w:t>
      </w:r>
    </w:p>
    <w:p w14:paraId="7243A5D1">
      <w:pPr>
        <w:pStyle w:val="94"/>
        <w:numPr>
          <w:ilvl w:val="0"/>
          <w:numId w:val="118"/>
        </w:numPr>
        <w:ind w:left="0" w:firstLine="480"/>
        <w:rPr>
          <w:color w:val="auto"/>
          <w:sz w:val="24"/>
        </w:rPr>
      </w:pPr>
      <w:r>
        <w:rPr>
          <w:color w:val="auto"/>
          <w:sz w:val="24"/>
        </w:rPr>
        <w:t>支持根据设置的</w:t>
      </w:r>
      <w:r>
        <w:rPr>
          <w:rFonts w:hint="eastAsia"/>
          <w:color w:val="auto"/>
          <w:sz w:val="24"/>
        </w:rPr>
        <w:t>T</w:t>
      </w:r>
      <w:r>
        <w:rPr>
          <w:color w:val="auto"/>
          <w:sz w:val="24"/>
        </w:rPr>
        <w:t>AT规则，进行超时提醒。</w:t>
      </w:r>
    </w:p>
    <w:p w14:paraId="77339711">
      <w:pPr>
        <w:pStyle w:val="94"/>
        <w:numPr>
          <w:ilvl w:val="0"/>
          <w:numId w:val="118"/>
        </w:numPr>
        <w:ind w:left="0" w:firstLine="480"/>
        <w:rPr>
          <w:color w:val="auto"/>
          <w:sz w:val="24"/>
        </w:rPr>
      </w:pPr>
      <w:r>
        <w:rPr>
          <w:color w:val="auto"/>
          <w:sz w:val="24"/>
        </w:rPr>
        <w:t>支持查看</w:t>
      </w:r>
      <w:r>
        <w:rPr>
          <w:rFonts w:hint="eastAsia"/>
          <w:color w:val="auto"/>
          <w:sz w:val="24"/>
        </w:rPr>
        <w:t>样本生命周期内的时间节点、操作人信息等</w:t>
      </w:r>
    </w:p>
    <w:p w14:paraId="170AFED1">
      <w:pPr>
        <w:pStyle w:val="94"/>
        <w:numPr>
          <w:ilvl w:val="0"/>
          <w:numId w:val="118"/>
        </w:numPr>
        <w:ind w:left="0" w:firstLine="480"/>
        <w:rPr>
          <w:color w:val="auto"/>
          <w:sz w:val="24"/>
        </w:rPr>
      </w:pPr>
      <w:r>
        <w:rPr>
          <w:color w:val="auto"/>
          <w:sz w:val="24"/>
        </w:rPr>
        <w:t>支持</w:t>
      </w:r>
      <w:r>
        <w:rPr>
          <w:rFonts w:hint="eastAsia"/>
          <w:color w:val="auto"/>
          <w:sz w:val="24"/>
        </w:rPr>
        <w:t>急诊标识，提供提示信息提醒操作员及时处理。</w:t>
      </w:r>
    </w:p>
    <w:p w14:paraId="553B7A4B">
      <w:pPr>
        <w:pStyle w:val="94"/>
        <w:numPr>
          <w:ilvl w:val="0"/>
          <w:numId w:val="118"/>
        </w:numPr>
        <w:ind w:left="0" w:firstLine="480"/>
        <w:rPr>
          <w:color w:val="auto"/>
          <w:sz w:val="24"/>
        </w:rPr>
      </w:pPr>
      <w:r>
        <w:rPr>
          <w:color w:val="auto"/>
          <w:sz w:val="24"/>
        </w:rPr>
        <w:t>支持绿色通道登记。</w:t>
      </w:r>
    </w:p>
    <w:p w14:paraId="50592467">
      <w:pPr>
        <w:pStyle w:val="94"/>
        <w:numPr>
          <w:ilvl w:val="0"/>
          <w:numId w:val="118"/>
        </w:numPr>
        <w:ind w:left="0" w:firstLine="480"/>
        <w:rPr>
          <w:color w:val="auto"/>
          <w:sz w:val="24"/>
        </w:rPr>
      </w:pPr>
      <w:r>
        <w:rPr>
          <w:color w:val="auto"/>
          <w:sz w:val="24"/>
        </w:rPr>
        <w:t>支持检验过程中，对检验结果的增、删、改、审核等进行日志记录，并提供查询。</w:t>
      </w:r>
    </w:p>
    <w:p w14:paraId="2A96F09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微生物专业检验</w:t>
      </w:r>
      <w:bookmarkEnd w:id="276"/>
    </w:p>
    <w:p w14:paraId="0F46B418">
      <w:pPr>
        <w:pStyle w:val="94"/>
        <w:numPr>
          <w:ilvl w:val="0"/>
          <w:numId w:val="119"/>
        </w:numPr>
        <w:ind w:left="0" w:firstLine="480"/>
        <w:rPr>
          <w:color w:val="auto"/>
          <w:sz w:val="24"/>
        </w:rPr>
      </w:pPr>
      <w:bookmarkStart w:id="277" w:name="_Toc106373110"/>
      <w:r>
        <w:rPr>
          <w:color w:val="auto"/>
          <w:sz w:val="24"/>
        </w:rPr>
        <w:t>支持微生物科、属、革兰氏分类设置，药敏抗生素分类定义。</w:t>
      </w:r>
    </w:p>
    <w:p w14:paraId="701B9C38">
      <w:pPr>
        <w:pStyle w:val="94"/>
        <w:numPr>
          <w:ilvl w:val="0"/>
          <w:numId w:val="119"/>
        </w:numPr>
        <w:ind w:left="0" w:firstLine="480"/>
        <w:rPr>
          <w:color w:val="auto"/>
          <w:sz w:val="24"/>
        </w:rPr>
      </w:pPr>
      <w:r>
        <w:rPr>
          <w:color w:val="auto"/>
          <w:sz w:val="24"/>
        </w:rPr>
        <w:t>支持药敏模板设置，针对不同细菌分类设置不同药敏模板。</w:t>
      </w:r>
    </w:p>
    <w:p w14:paraId="6FEB86CF">
      <w:pPr>
        <w:pStyle w:val="94"/>
        <w:numPr>
          <w:ilvl w:val="0"/>
          <w:numId w:val="119"/>
        </w:numPr>
        <w:ind w:left="0" w:firstLine="480"/>
        <w:rPr>
          <w:color w:val="auto"/>
          <w:sz w:val="24"/>
        </w:rPr>
      </w:pPr>
      <w:r>
        <w:rPr>
          <w:color w:val="auto"/>
          <w:sz w:val="24"/>
        </w:rPr>
        <w:t>支持对微生物、药敏药品设置WHO编码，并支持who导入导出。</w:t>
      </w:r>
    </w:p>
    <w:p w14:paraId="6A5B8848">
      <w:pPr>
        <w:pStyle w:val="94"/>
        <w:numPr>
          <w:ilvl w:val="0"/>
          <w:numId w:val="119"/>
        </w:numPr>
        <w:ind w:left="0" w:firstLine="480"/>
        <w:rPr>
          <w:color w:val="auto"/>
          <w:sz w:val="24"/>
        </w:rPr>
      </w:pPr>
      <w:r>
        <w:rPr>
          <w:color w:val="auto"/>
          <w:sz w:val="24"/>
        </w:rPr>
        <w:t>支持耐药规则设置，系统自动判断耐药、多重耐药、泛耐药。</w:t>
      </w:r>
    </w:p>
    <w:p w14:paraId="74060054">
      <w:pPr>
        <w:pStyle w:val="94"/>
        <w:numPr>
          <w:ilvl w:val="0"/>
          <w:numId w:val="119"/>
        </w:numPr>
        <w:ind w:left="0" w:firstLine="480"/>
        <w:rPr>
          <w:color w:val="auto"/>
          <w:sz w:val="24"/>
        </w:rPr>
      </w:pPr>
      <w:r>
        <w:rPr>
          <w:color w:val="auto"/>
          <w:sz w:val="24"/>
        </w:rPr>
        <w:t>根据微生物检测定性描述内容多的特点，提供专业的检验流程、结果录入模板和检验报告单。</w:t>
      </w:r>
    </w:p>
    <w:p w14:paraId="0BF3E83C">
      <w:pPr>
        <w:pStyle w:val="94"/>
        <w:numPr>
          <w:ilvl w:val="0"/>
          <w:numId w:val="119"/>
        </w:numPr>
        <w:ind w:left="0" w:firstLine="480"/>
        <w:rPr>
          <w:color w:val="auto"/>
          <w:sz w:val="24"/>
        </w:rPr>
      </w:pPr>
      <w:r>
        <w:rPr>
          <w:color w:val="auto"/>
          <w:sz w:val="24"/>
        </w:rPr>
        <w:t>支持微生物三级报告制度。</w:t>
      </w:r>
    </w:p>
    <w:p w14:paraId="07E7DA36">
      <w:pPr>
        <w:pStyle w:val="94"/>
        <w:numPr>
          <w:ilvl w:val="0"/>
          <w:numId w:val="119"/>
        </w:numPr>
        <w:ind w:left="0" w:firstLine="480"/>
        <w:rPr>
          <w:color w:val="auto"/>
          <w:sz w:val="24"/>
        </w:rPr>
      </w:pPr>
      <w:r>
        <w:rPr>
          <w:color w:val="auto"/>
          <w:sz w:val="24"/>
        </w:rPr>
        <w:t>支持设置各种分类短语，可设置细菌分类以及不同分类下的细菌名称与输入快捷码。</w:t>
      </w:r>
    </w:p>
    <w:p w14:paraId="3CB7C3C1">
      <w:pPr>
        <w:pStyle w:val="94"/>
        <w:numPr>
          <w:ilvl w:val="0"/>
          <w:numId w:val="119"/>
        </w:numPr>
        <w:ind w:left="0" w:firstLine="480"/>
        <w:rPr>
          <w:color w:val="auto"/>
          <w:sz w:val="24"/>
        </w:rPr>
      </w:pPr>
      <w:r>
        <w:rPr>
          <w:color w:val="auto"/>
          <w:sz w:val="24"/>
        </w:rPr>
        <w:t>支持设置细菌培养的描述性短语，供技师快速调用。</w:t>
      </w:r>
    </w:p>
    <w:p w14:paraId="049C97CA">
      <w:pPr>
        <w:pStyle w:val="94"/>
        <w:numPr>
          <w:ilvl w:val="0"/>
          <w:numId w:val="119"/>
        </w:numPr>
        <w:ind w:left="0" w:firstLine="480"/>
        <w:rPr>
          <w:color w:val="auto"/>
          <w:sz w:val="24"/>
        </w:rPr>
      </w:pPr>
      <w:r>
        <w:rPr>
          <w:color w:val="auto"/>
          <w:sz w:val="24"/>
        </w:rPr>
        <w:t>支持设置抗生素的分类名称、输入快捷码、默认抗生素、自动判定规则。</w:t>
      </w:r>
    </w:p>
    <w:p w14:paraId="21763BC2">
      <w:pPr>
        <w:pStyle w:val="94"/>
        <w:numPr>
          <w:ilvl w:val="0"/>
          <w:numId w:val="119"/>
        </w:numPr>
        <w:ind w:left="0" w:firstLine="480"/>
        <w:rPr>
          <w:color w:val="auto"/>
          <w:sz w:val="24"/>
        </w:rPr>
      </w:pPr>
      <w:r>
        <w:rPr>
          <w:color w:val="auto"/>
          <w:sz w:val="24"/>
        </w:rPr>
        <w:t>支持设置不同抗生素的单位、高低值、参考值范围等。</w:t>
      </w:r>
    </w:p>
    <w:p w14:paraId="2D14153C">
      <w:pPr>
        <w:pStyle w:val="94"/>
        <w:numPr>
          <w:ilvl w:val="0"/>
          <w:numId w:val="119"/>
        </w:numPr>
        <w:ind w:left="0" w:firstLine="480"/>
        <w:rPr>
          <w:color w:val="auto"/>
          <w:sz w:val="24"/>
        </w:rPr>
      </w:pPr>
      <w:r>
        <w:rPr>
          <w:color w:val="auto"/>
          <w:sz w:val="24"/>
        </w:rPr>
        <w:t>支持设置不同抗生素的使用方法、血药浓度、尿药浓度等。</w:t>
      </w:r>
    </w:p>
    <w:p w14:paraId="0A5D0993">
      <w:pPr>
        <w:pStyle w:val="94"/>
        <w:numPr>
          <w:ilvl w:val="0"/>
          <w:numId w:val="119"/>
        </w:numPr>
        <w:ind w:left="0" w:firstLine="480"/>
        <w:rPr>
          <w:color w:val="auto"/>
          <w:sz w:val="24"/>
        </w:rPr>
      </w:pPr>
      <w:r>
        <w:rPr>
          <w:color w:val="auto"/>
          <w:sz w:val="24"/>
        </w:rPr>
        <w:t>支持对患者历史药敏结果进行对比显示，可自动判断药敏，在审核阳性报告时，能增加简单的专家系统，对常见细菌的少见药敏结果提出警告。</w:t>
      </w:r>
    </w:p>
    <w:p w14:paraId="372E5B3A">
      <w:pPr>
        <w:pStyle w:val="94"/>
        <w:numPr>
          <w:ilvl w:val="0"/>
          <w:numId w:val="119"/>
        </w:numPr>
        <w:ind w:left="0" w:firstLine="480"/>
        <w:rPr>
          <w:color w:val="auto"/>
          <w:sz w:val="24"/>
        </w:rPr>
      </w:pPr>
      <w:r>
        <w:rPr>
          <w:rFonts w:hint="eastAsia"/>
          <w:color w:val="auto"/>
          <w:sz w:val="24"/>
        </w:rPr>
        <w:t>支持</w:t>
      </w:r>
      <w:r>
        <w:rPr>
          <w:color w:val="auto"/>
          <w:sz w:val="24"/>
        </w:rPr>
        <w:t>批量阴性报告：批量报告阴性结果，如“无细菌生长”等。</w:t>
      </w:r>
    </w:p>
    <w:p w14:paraId="2D6311E0">
      <w:pPr>
        <w:pStyle w:val="94"/>
        <w:numPr>
          <w:ilvl w:val="0"/>
          <w:numId w:val="119"/>
        </w:numPr>
        <w:ind w:left="0" w:firstLine="480"/>
        <w:rPr>
          <w:color w:val="auto"/>
          <w:sz w:val="24"/>
        </w:rPr>
      </w:pPr>
      <w:r>
        <w:rPr>
          <w:rFonts w:hint="eastAsia"/>
          <w:color w:val="auto"/>
          <w:sz w:val="24"/>
        </w:rPr>
        <w:t>支持</w:t>
      </w:r>
      <w:r>
        <w:rPr>
          <w:color w:val="auto"/>
          <w:sz w:val="24"/>
        </w:rPr>
        <w:t>专业定制微生物检验报告打印模板。</w:t>
      </w:r>
    </w:p>
    <w:p w14:paraId="745EFA77">
      <w:pPr>
        <w:pStyle w:val="94"/>
        <w:numPr>
          <w:ilvl w:val="0"/>
          <w:numId w:val="119"/>
        </w:numPr>
        <w:ind w:left="0" w:firstLine="480"/>
        <w:rPr>
          <w:color w:val="auto"/>
          <w:sz w:val="24"/>
        </w:rPr>
      </w:pPr>
      <w:r>
        <w:rPr>
          <w:color w:val="auto"/>
          <w:sz w:val="24"/>
        </w:rPr>
        <w:t>提供每天、每月、每年科室送检标本类型、数量、送检目的、阳性率、耐药率的分类统计。</w:t>
      </w:r>
    </w:p>
    <w:p w14:paraId="70C0C869">
      <w:pPr>
        <w:pStyle w:val="341"/>
        <w:spacing w:beforeLines="0"/>
        <w:ind w:firstLine="480"/>
        <w:rPr>
          <w:rFonts w:hint="eastAsia" w:ascii="宋体" w:hAnsi="宋体"/>
          <w:color w:val="auto"/>
          <w:sz w:val="24"/>
          <w:szCs w:val="24"/>
        </w:rPr>
      </w:pPr>
      <w:r>
        <w:rPr>
          <w:rFonts w:ascii="宋体" w:hAnsi="宋体"/>
          <w:color w:val="auto"/>
          <w:sz w:val="24"/>
          <w:szCs w:val="24"/>
        </w:rPr>
        <w:t>支持微生物相关的样本阴阳性统计分析，药敏统计分析和细菌统计分析。</w:t>
      </w:r>
    </w:p>
    <w:p w14:paraId="6EC64613">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细胞形态学及镜检</w:t>
      </w:r>
      <w:bookmarkEnd w:id="277"/>
      <w:r>
        <w:rPr>
          <w:rFonts w:hint="eastAsia" w:ascii="宋体" w:hAnsi="宋体" w:cs="仿宋"/>
          <w:b/>
          <w:bCs/>
          <w:color w:val="auto"/>
          <w:sz w:val="24"/>
          <w:szCs w:val="24"/>
        </w:rPr>
        <w:t xml:space="preserve"> </w:t>
      </w:r>
    </w:p>
    <w:p w14:paraId="07CC8C28">
      <w:pPr>
        <w:pStyle w:val="94"/>
        <w:numPr>
          <w:ilvl w:val="0"/>
          <w:numId w:val="120"/>
        </w:numPr>
        <w:ind w:left="0" w:firstLine="480"/>
        <w:rPr>
          <w:color w:val="auto"/>
          <w:sz w:val="24"/>
        </w:rPr>
      </w:pPr>
      <w:bookmarkStart w:id="278" w:name="_Toc106373111"/>
      <w:r>
        <w:rPr>
          <w:color w:val="auto"/>
          <w:sz w:val="24"/>
        </w:rPr>
        <w:t>支持血片检验信息录入，包括取材、图片、染色及意见等信息的录入，并能够把自定义的临床建议生成结果短语提供参考。</w:t>
      </w:r>
    </w:p>
    <w:p w14:paraId="5EAB4375">
      <w:pPr>
        <w:pStyle w:val="94"/>
        <w:numPr>
          <w:ilvl w:val="0"/>
          <w:numId w:val="120"/>
        </w:numPr>
        <w:ind w:left="0" w:firstLine="480"/>
        <w:rPr>
          <w:color w:val="auto"/>
          <w:sz w:val="24"/>
        </w:rPr>
      </w:pPr>
      <w:r>
        <w:rPr>
          <w:rFonts w:hint="eastAsia"/>
          <w:color w:val="auto"/>
          <w:sz w:val="24"/>
        </w:rPr>
        <w:t>支持</w:t>
      </w:r>
      <w:r>
        <w:rPr>
          <w:color w:val="auto"/>
          <w:sz w:val="24"/>
        </w:rPr>
        <w:t>髓片检验信息录入，包括取材、图片、染色及意见等信息的录入，并能够把自定义的临床建议生成结果短语提供参考。</w:t>
      </w:r>
    </w:p>
    <w:p w14:paraId="46B34B9B">
      <w:pPr>
        <w:pStyle w:val="94"/>
        <w:numPr>
          <w:ilvl w:val="0"/>
          <w:numId w:val="120"/>
        </w:numPr>
        <w:ind w:left="0" w:firstLine="480"/>
        <w:rPr>
          <w:color w:val="auto"/>
          <w:sz w:val="24"/>
        </w:rPr>
      </w:pPr>
      <w:r>
        <w:rPr>
          <w:color w:val="auto"/>
          <w:sz w:val="24"/>
        </w:rPr>
        <w:t>支持外周血细胞形态学检查、组织化学染色检查结果的录入。</w:t>
      </w:r>
    </w:p>
    <w:p w14:paraId="1BE025A5">
      <w:pPr>
        <w:pStyle w:val="94"/>
        <w:numPr>
          <w:ilvl w:val="0"/>
          <w:numId w:val="120"/>
        </w:numPr>
        <w:ind w:left="0" w:firstLine="480"/>
        <w:rPr>
          <w:color w:val="auto"/>
          <w:sz w:val="24"/>
        </w:rPr>
      </w:pPr>
      <w:r>
        <w:rPr>
          <w:color w:val="auto"/>
          <w:sz w:val="24"/>
        </w:rPr>
        <w:t>支持模板方式录入细胞信息，手工录入特殊分形的细胞信息，提供添加异常血细胞说明功能。</w:t>
      </w:r>
    </w:p>
    <w:p w14:paraId="09A50571">
      <w:pPr>
        <w:pStyle w:val="94"/>
        <w:numPr>
          <w:ilvl w:val="0"/>
          <w:numId w:val="120"/>
        </w:numPr>
        <w:ind w:left="0" w:firstLine="480"/>
        <w:rPr>
          <w:color w:val="auto"/>
          <w:sz w:val="24"/>
        </w:rPr>
      </w:pPr>
      <w:r>
        <w:rPr>
          <w:color w:val="auto"/>
          <w:sz w:val="24"/>
        </w:rPr>
        <w:t>支持镜检图片导入与显示，对镜检图像工作站实现及时的数据读取。</w:t>
      </w:r>
    </w:p>
    <w:p w14:paraId="282485A7">
      <w:pPr>
        <w:pStyle w:val="94"/>
        <w:numPr>
          <w:ilvl w:val="0"/>
          <w:numId w:val="120"/>
        </w:numPr>
        <w:ind w:left="0" w:firstLine="480"/>
        <w:rPr>
          <w:color w:val="auto"/>
          <w:sz w:val="24"/>
        </w:rPr>
      </w:pPr>
      <w:r>
        <w:rPr>
          <w:color w:val="auto"/>
          <w:sz w:val="24"/>
        </w:rPr>
        <w:t>支持细胞学检验查询，提供严格精密的统计分析功能，实现对细胞数量求和及相关的百分比计算。</w:t>
      </w:r>
    </w:p>
    <w:p w14:paraId="32302B69">
      <w:pPr>
        <w:pStyle w:val="94"/>
        <w:numPr>
          <w:ilvl w:val="0"/>
          <w:numId w:val="120"/>
        </w:numPr>
        <w:ind w:left="0" w:firstLine="480"/>
        <w:rPr>
          <w:color w:val="auto"/>
          <w:sz w:val="24"/>
        </w:rPr>
      </w:pPr>
      <w:r>
        <w:rPr>
          <w:color w:val="auto"/>
          <w:sz w:val="24"/>
        </w:rPr>
        <w:t>支持专业的细胞学检验</w:t>
      </w:r>
      <w:r>
        <w:rPr>
          <w:rFonts w:hint="eastAsia"/>
          <w:color w:val="auto"/>
          <w:sz w:val="24"/>
        </w:rPr>
        <w:t>图文</w:t>
      </w:r>
      <w:r>
        <w:rPr>
          <w:color w:val="auto"/>
          <w:sz w:val="24"/>
        </w:rPr>
        <w:t>报告，临床意义及结果打印并可打印图片。</w:t>
      </w:r>
    </w:p>
    <w:p w14:paraId="4FAFCB1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报告审定</w:t>
      </w:r>
      <w:bookmarkEnd w:id="278"/>
    </w:p>
    <w:p w14:paraId="69A427C2">
      <w:pPr>
        <w:pStyle w:val="94"/>
        <w:numPr>
          <w:ilvl w:val="0"/>
          <w:numId w:val="121"/>
        </w:numPr>
        <w:ind w:left="0" w:firstLine="480"/>
        <w:rPr>
          <w:color w:val="auto"/>
          <w:sz w:val="24"/>
        </w:rPr>
      </w:pPr>
      <w:bookmarkStart w:id="279" w:name="_Toc106373112"/>
      <w:r>
        <w:rPr>
          <w:color w:val="auto"/>
          <w:sz w:val="24"/>
        </w:rPr>
        <w:t>支持按照设定的规则自动检查检验结果错项、漏项、多项,提示检验结果的异常。</w:t>
      </w:r>
    </w:p>
    <w:p w14:paraId="4E9A96E4">
      <w:pPr>
        <w:pStyle w:val="94"/>
        <w:numPr>
          <w:ilvl w:val="0"/>
          <w:numId w:val="121"/>
        </w:numPr>
        <w:ind w:left="0" w:firstLine="480"/>
        <w:rPr>
          <w:color w:val="auto"/>
          <w:sz w:val="24"/>
        </w:rPr>
      </w:pPr>
      <w:r>
        <w:rPr>
          <w:color w:val="auto"/>
          <w:sz w:val="24"/>
        </w:rPr>
        <w:t>支持单个审定与批量审定样本。</w:t>
      </w:r>
    </w:p>
    <w:p w14:paraId="55CBB69C">
      <w:pPr>
        <w:pStyle w:val="94"/>
        <w:numPr>
          <w:ilvl w:val="0"/>
          <w:numId w:val="121"/>
        </w:numPr>
        <w:ind w:left="0" w:firstLine="480"/>
        <w:rPr>
          <w:color w:val="auto"/>
          <w:sz w:val="24"/>
        </w:rPr>
      </w:pPr>
      <w:r>
        <w:rPr>
          <w:color w:val="auto"/>
          <w:sz w:val="24"/>
        </w:rPr>
        <w:t>支持检验报告支持实行双人审定制度,可以设定不同的审定权限。</w:t>
      </w:r>
    </w:p>
    <w:p w14:paraId="24B9A6F2">
      <w:pPr>
        <w:pStyle w:val="94"/>
        <w:numPr>
          <w:ilvl w:val="0"/>
          <w:numId w:val="121"/>
        </w:numPr>
        <w:ind w:left="0" w:firstLine="480"/>
        <w:rPr>
          <w:color w:val="auto"/>
          <w:sz w:val="24"/>
        </w:rPr>
      </w:pPr>
      <w:r>
        <w:rPr>
          <w:color w:val="auto"/>
          <w:sz w:val="24"/>
        </w:rPr>
        <w:t>支持审定后的检验结果，不允许检验者进行修改。</w:t>
      </w:r>
    </w:p>
    <w:p w14:paraId="35493AEE">
      <w:pPr>
        <w:pStyle w:val="94"/>
        <w:numPr>
          <w:ilvl w:val="0"/>
          <w:numId w:val="121"/>
        </w:numPr>
        <w:ind w:left="0" w:firstLine="480"/>
        <w:rPr>
          <w:color w:val="auto"/>
          <w:sz w:val="24"/>
        </w:rPr>
      </w:pPr>
      <w:r>
        <w:rPr>
          <w:color w:val="auto"/>
          <w:sz w:val="24"/>
        </w:rPr>
        <w:t>支持反审定，对于确需修改的检验报告，经特别授权人撤销审定后，重新修改并二次审定。支持设定只能同一审定者对自己审定过的报告进行反审定。</w:t>
      </w:r>
    </w:p>
    <w:p w14:paraId="5846557A">
      <w:pPr>
        <w:pStyle w:val="94"/>
        <w:numPr>
          <w:ilvl w:val="0"/>
          <w:numId w:val="121"/>
        </w:numPr>
        <w:ind w:left="0" w:firstLine="480"/>
        <w:rPr>
          <w:color w:val="auto"/>
          <w:sz w:val="24"/>
        </w:rPr>
      </w:pPr>
      <w:r>
        <w:rPr>
          <w:color w:val="auto"/>
          <w:sz w:val="24"/>
        </w:rPr>
        <w:t>支持设定具有权限的管理者对所有报告的反审定。</w:t>
      </w:r>
    </w:p>
    <w:p w14:paraId="6E75309A">
      <w:pPr>
        <w:pStyle w:val="94"/>
        <w:numPr>
          <w:ilvl w:val="0"/>
          <w:numId w:val="121"/>
        </w:numPr>
        <w:ind w:left="0" w:firstLine="480"/>
        <w:rPr>
          <w:color w:val="auto"/>
          <w:sz w:val="24"/>
        </w:rPr>
      </w:pPr>
      <w:r>
        <w:rPr>
          <w:color w:val="auto"/>
          <w:sz w:val="24"/>
        </w:rPr>
        <w:t>支持自定义审定的规则，包括审定条件，自动审定，二次审定。</w:t>
      </w:r>
    </w:p>
    <w:p w14:paraId="0162604C">
      <w:pPr>
        <w:pStyle w:val="94"/>
        <w:numPr>
          <w:ilvl w:val="0"/>
          <w:numId w:val="121"/>
        </w:numPr>
        <w:ind w:left="0" w:firstLine="480"/>
        <w:rPr>
          <w:color w:val="auto"/>
          <w:sz w:val="24"/>
        </w:rPr>
      </w:pPr>
      <w:r>
        <w:rPr>
          <w:color w:val="auto"/>
          <w:sz w:val="24"/>
        </w:rPr>
        <w:t>支持根据检验危急值规则自动报告检验危急值，并提醒临床。</w:t>
      </w:r>
    </w:p>
    <w:p w14:paraId="303D085A">
      <w:pPr>
        <w:pStyle w:val="94"/>
        <w:numPr>
          <w:ilvl w:val="0"/>
          <w:numId w:val="121"/>
        </w:numPr>
        <w:ind w:left="0" w:firstLine="480"/>
        <w:rPr>
          <w:color w:val="auto"/>
          <w:sz w:val="24"/>
        </w:rPr>
      </w:pPr>
      <w:r>
        <w:rPr>
          <w:color w:val="auto"/>
          <w:sz w:val="24"/>
        </w:rPr>
        <w:t>支持根据传染病规则自动生成报告，并提醒临床。</w:t>
      </w:r>
    </w:p>
    <w:p w14:paraId="6432BD39">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报告发布、打印</w:t>
      </w:r>
      <w:bookmarkEnd w:id="279"/>
    </w:p>
    <w:p w14:paraId="22D6FE61">
      <w:pPr>
        <w:pStyle w:val="94"/>
        <w:numPr>
          <w:ilvl w:val="0"/>
          <w:numId w:val="122"/>
        </w:numPr>
        <w:ind w:left="0" w:firstLine="480"/>
        <w:rPr>
          <w:color w:val="auto"/>
          <w:sz w:val="24"/>
        </w:rPr>
      </w:pPr>
      <w:bookmarkStart w:id="280" w:name="_Toc106373114"/>
      <w:r>
        <w:rPr>
          <w:color w:val="auto"/>
          <w:sz w:val="24"/>
        </w:rPr>
        <w:t>支持审核后可自动打印检验报告单功能。</w:t>
      </w:r>
    </w:p>
    <w:p w14:paraId="6468354E">
      <w:pPr>
        <w:pStyle w:val="94"/>
        <w:numPr>
          <w:ilvl w:val="0"/>
          <w:numId w:val="122"/>
        </w:numPr>
        <w:ind w:left="0" w:firstLine="480"/>
        <w:rPr>
          <w:color w:val="auto"/>
          <w:sz w:val="24"/>
        </w:rPr>
      </w:pPr>
      <w:r>
        <w:rPr>
          <w:color w:val="auto"/>
          <w:sz w:val="24"/>
        </w:rPr>
        <w:t>支持通过颜色或字体区别常规报告、急诊报告、打印报告、未打印报告等。</w:t>
      </w:r>
    </w:p>
    <w:p w14:paraId="53D47DEE">
      <w:pPr>
        <w:pStyle w:val="94"/>
        <w:numPr>
          <w:ilvl w:val="0"/>
          <w:numId w:val="122"/>
        </w:numPr>
        <w:ind w:left="0" w:firstLine="480"/>
        <w:rPr>
          <w:color w:val="auto"/>
          <w:sz w:val="24"/>
        </w:rPr>
      </w:pPr>
      <w:r>
        <w:rPr>
          <w:color w:val="auto"/>
          <w:sz w:val="24"/>
        </w:rPr>
        <w:t>支持急诊报告自动提示检验操作人员，防止超时报告。</w:t>
      </w:r>
    </w:p>
    <w:p w14:paraId="1820EECB">
      <w:pPr>
        <w:pStyle w:val="94"/>
        <w:numPr>
          <w:ilvl w:val="0"/>
          <w:numId w:val="122"/>
        </w:numPr>
        <w:ind w:left="0" w:firstLine="480"/>
        <w:rPr>
          <w:color w:val="auto"/>
          <w:sz w:val="24"/>
        </w:rPr>
      </w:pPr>
      <w:r>
        <w:rPr>
          <w:color w:val="auto"/>
          <w:sz w:val="24"/>
        </w:rPr>
        <w:t>支持根据用户设置的打印规则，判断是否符合打印条件，自动调整打印输出检验报告单的内容，动态调整检验报告单。</w:t>
      </w:r>
    </w:p>
    <w:p w14:paraId="48864065">
      <w:pPr>
        <w:pStyle w:val="94"/>
        <w:numPr>
          <w:ilvl w:val="0"/>
          <w:numId w:val="122"/>
        </w:numPr>
        <w:ind w:left="0" w:firstLine="480"/>
        <w:rPr>
          <w:color w:val="auto"/>
          <w:sz w:val="24"/>
        </w:rPr>
      </w:pPr>
      <w:r>
        <w:rPr>
          <w:color w:val="auto"/>
          <w:sz w:val="24"/>
        </w:rPr>
        <w:t>支持设置报告单类型，自定义报告单的输出内容，自定义报告单提示信息的方式。</w:t>
      </w:r>
    </w:p>
    <w:p w14:paraId="14BA60C7">
      <w:pPr>
        <w:pStyle w:val="94"/>
        <w:numPr>
          <w:ilvl w:val="0"/>
          <w:numId w:val="122"/>
        </w:numPr>
        <w:ind w:left="0" w:firstLine="480"/>
        <w:rPr>
          <w:color w:val="auto"/>
          <w:sz w:val="24"/>
        </w:rPr>
      </w:pPr>
      <w:r>
        <w:rPr>
          <w:color w:val="auto"/>
          <w:sz w:val="24"/>
        </w:rPr>
        <w:t>支持检验报告转换成PDF、JPG等通用格式文件，保存和发布。</w:t>
      </w:r>
    </w:p>
    <w:p w14:paraId="3F3359E8">
      <w:pPr>
        <w:pStyle w:val="94"/>
        <w:numPr>
          <w:ilvl w:val="0"/>
          <w:numId w:val="122"/>
        </w:numPr>
        <w:ind w:left="0" w:firstLine="480"/>
        <w:rPr>
          <w:color w:val="auto"/>
          <w:sz w:val="24"/>
        </w:rPr>
      </w:pPr>
      <w:r>
        <w:rPr>
          <w:color w:val="auto"/>
          <w:sz w:val="24"/>
        </w:rPr>
        <w:t>支持单个或成批量打印检验报告。</w:t>
      </w:r>
    </w:p>
    <w:p w14:paraId="452DFBF0">
      <w:pPr>
        <w:pStyle w:val="94"/>
        <w:numPr>
          <w:ilvl w:val="0"/>
          <w:numId w:val="122"/>
        </w:numPr>
        <w:ind w:left="0" w:firstLine="480"/>
        <w:rPr>
          <w:color w:val="auto"/>
          <w:sz w:val="24"/>
        </w:rPr>
      </w:pPr>
      <w:r>
        <w:rPr>
          <w:color w:val="auto"/>
          <w:sz w:val="24"/>
        </w:rPr>
        <w:t>支持提供检验报告预览功能。</w:t>
      </w:r>
    </w:p>
    <w:p w14:paraId="687D273C">
      <w:pPr>
        <w:pStyle w:val="94"/>
        <w:numPr>
          <w:ilvl w:val="0"/>
          <w:numId w:val="122"/>
        </w:numPr>
        <w:ind w:left="0" w:firstLine="480"/>
        <w:rPr>
          <w:color w:val="auto"/>
          <w:sz w:val="24"/>
        </w:rPr>
      </w:pPr>
      <w:r>
        <w:rPr>
          <w:color w:val="auto"/>
          <w:sz w:val="24"/>
        </w:rPr>
        <w:t>支持临床科室打印检验报告单。</w:t>
      </w:r>
    </w:p>
    <w:p w14:paraId="58321B7B">
      <w:pPr>
        <w:pStyle w:val="94"/>
        <w:numPr>
          <w:ilvl w:val="0"/>
          <w:numId w:val="122"/>
        </w:numPr>
        <w:ind w:left="0" w:firstLine="480"/>
        <w:rPr>
          <w:color w:val="auto"/>
          <w:sz w:val="24"/>
        </w:rPr>
      </w:pPr>
      <w:r>
        <w:rPr>
          <w:color w:val="auto"/>
          <w:sz w:val="24"/>
        </w:rPr>
        <w:t>支持选择将病人信息打印在报告的指定位置。</w:t>
      </w:r>
    </w:p>
    <w:p w14:paraId="35AE3FD3">
      <w:pPr>
        <w:pStyle w:val="94"/>
        <w:numPr>
          <w:ilvl w:val="0"/>
          <w:numId w:val="122"/>
        </w:numPr>
        <w:ind w:left="0" w:firstLine="480"/>
        <w:rPr>
          <w:color w:val="auto"/>
          <w:sz w:val="24"/>
        </w:rPr>
      </w:pPr>
      <w:r>
        <w:rPr>
          <w:color w:val="auto"/>
          <w:sz w:val="24"/>
        </w:rPr>
        <w:t>支持打印检验报告单时加入水印，防止检验报告被伪造。</w:t>
      </w:r>
    </w:p>
    <w:p w14:paraId="3AA49077">
      <w:pPr>
        <w:pStyle w:val="94"/>
        <w:numPr>
          <w:ilvl w:val="0"/>
          <w:numId w:val="122"/>
        </w:numPr>
        <w:ind w:left="0" w:firstLine="480"/>
        <w:rPr>
          <w:color w:val="auto"/>
          <w:sz w:val="24"/>
        </w:rPr>
      </w:pPr>
      <w:r>
        <w:rPr>
          <w:color w:val="auto"/>
          <w:sz w:val="24"/>
        </w:rPr>
        <w:t>支持实验室其他个性化的报告设计，提供报告单定制工具。</w:t>
      </w:r>
    </w:p>
    <w:p w14:paraId="3D0DE2BC">
      <w:pPr>
        <w:pStyle w:val="94"/>
        <w:numPr>
          <w:ilvl w:val="0"/>
          <w:numId w:val="122"/>
        </w:numPr>
        <w:ind w:left="0" w:firstLine="480"/>
        <w:rPr>
          <w:color w:val="auto"/>
          <w:sz w:val="24"/>
        </w:rPr>
      </w:pPr>
      <w:r>
        <w:rPr>
          <w:color w:val="auto"/>
          <w:sz w:val="24"/>
        </w:rPr>
        <w:t>支持检验报告自助打印。</w:t>
      </w:r>
    </w:p>
    <w:p w14:paraId="3192EC82">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质控管理</w:t>
      </w:r>
      <w:bookmarkEnd w:id="280"/>
    </w:p>
    <w:p w14:paraId="76B4D6EC">
      <w:pPr>
        <w:pStyle w:val="94"/>
        <w:numPr>
          <w:ilvl w:val="0"/>
          <w:numId w:val="123"/>
        </w:numPr>
        <w:ind w:left="0" w:firstLine="480"/>
        <w:rPr>
          <w:color w:val="auto"/>
          <w:sz w:val="24"/>
        </w:rPr>
      </w:pPr>
      <w:bookmarkStart w:id="281" w:name="_Toc106373115"/>
      <w:r>
        <w:rPr>
          <w:color w:val="auto"/>
          <w:sz w:val="24"/>
        </w:rPr>
        <w:t>支持检验设备方式对有关的质控物信息进行维护。</w:t>
      </w:r>
    </w:p>
    <w:p w14:paraId="4A8304A2">
      <w:pPr>
        <w:pStyle w:val="94"/>
        <w:numPr>
          <w:ilvl w:val="0"/>
          <w:numId w:val="123"/>
        </w:numPr>
        <w:ind w:left="0" w:firstLine="480"/>
        <w:rPr>
          <w:color w:val="auto"/>
          <w:sz w:val="24"/>
        </w:rPr>
      </w:pPr>
      <w:r>
        <w:rPr>
          <w:color w:val="auto"/>
          <w:sz w:val="24"/>
        </w:rPr>
        <w:t>支持质控项目信息维护，如质控项目靶值、过渡期靶值、标准差、定性数据的定量对照等。</w:t>
      </w:r>
    </w:p>
    <w:p w14:paraId="590C786A">
      <w:pPr>
        <w:pStyle w:val="94"/>
        <w:numPr>
          <w:ilvl w:val="0"/>
          <w:numId w:val="123"/>
        </w:numPr>
        <w:ind w:left="0" w:firstLine="480"/>
        <w:rPr>
          <w:color w:val="auto"/>
          <w:sz w:val="24"/>
        </w:rPr>
      </w:pPr>
      <w:r>
        <w:rPr>
          <w:color w:val="auto"/>
          <w:sz w:val="24"/>
        </w:rPr>
        <w:t>支持按项目设置质控规则。</w:t>
      </w:r>
    </w:p>
    <w:p w14:paraId="2DA2C1C8">
      <w:pPr>
        <w:pStyle w:val="94"/>
        <w:numPr>
          <w:ilvl w:val="0"/>
          <w:numId w:val="123"/>
        </w:numPr>
        <w:ind w:left="0" w:firstLine="480"/>
        <w:rPr>
          <w:color w:val="auto"/>
          <w:sz w:val="24"/>
        </w:rPr>
      </w:pPr>
      <w:r>
        <w:rPr>
          <w:color w:val="auto"/>
          <w:sz w:val="24"/>
        </w:rPr>
        <w:t>支持显示指定时间范围内的所有水平的质控数据，过程数据，无效数据及不同状态等。</w:t>
      </w:r>
    </w:p>
    <w:p w14:paraId="7E06916F">
      <w:pPr>
        <w:pStyle w:val="94"/>
        <w:numPr>
          <w:ilvl w:val="0"/>
          <w:numId w:val="123"/>
        </w:numPr>
        <w:ind w:left="0" w:firstLine="480"/>
        <w:rPr>
          <w:color w:val="auto"/>
          <w:sz w:val="24"/>
        </w:rPr>
      </w:pPr>
      <w:r>
        <w:rPr>
          <w:color w:val="auto"/>
          <w:sz w:val="24"/>
        </w:rPr>
        <w:t>支持按日期显示设备质控项目的各种水平的质控数据。</w:t>
      </w:r>
    </w:p>
    <w:p w14:paraId="1FCFD08A">
      <w:pPr>
        <w:pStyle w:val="94"/>
        <w:numPr>
          <w:ilvl w:val="0"/>
          <w:numId w:val="123"/>
        </w:numPr>
        <w:ind w:left="0" w:firstLine="480"/>
        <w:rPr>
          <w:color w:val="auto"/>
          <w:sz w:val="24"/>
        </w:rPr>
      </w:pPr>
      <w:r>
        <w:rPr>
          <w:color w:val="auto"/>
          <w:sz w:val="24"/>
        </w:rPr>
        <w:t>支持对质控数据进行编辑，增加，删除，定量结果转换等操作。</w:t>
      </w:r>
    </w:p>
    <w:p w14:paraId="75542E73">
      <w:pPr>
        <w:pStyle w:val="94"/>
        <w:numPr>
          <w:ilvl w:val="0"/>
          <w:numId w:val="123"/>
        </w:numPr>
        <w:ind w:left="0" w:firstLine="480"/>
        <w:rPr>
          <w:color w:val="auto"/>
          <w:sz w:val="24"/>
        </w:rPr>
      </w:pPr>
      <w:r>
        <w:rPr>
          <w:color w:val="auto"/>
          <w:sz w:val="24"/>
        </w:rPr>
        <w:t>支持对质控数据进行审核，未经审核的质控数据不能进行打印，审核后的数据不可直接编辑。</w:t>
      </w:r>
    </w:p>
    <w:p w14:paraId="085AB469">
      <w:pPr>
        <w:pStyle w:val="94"/>
        <w:numPr>
          <w:ilvl w:val="0"/>
          <w:numId w:val="123"/>
        </w:numPr>
        <w:ind w:left="0" w:firstLine="480"/>
        <w:rPr>
          <w:color w:val="auto"/>
          <w:sz w:val="24"/>
        </w:rPr>
      </w:pPr>
      <w:r>
        <w:rPr>
          <w:color w:val="auto"/>
          <w:sz w:val="24"/>
        </w:rPr>
        <w:t>支持LJ图、Z分数图、优顿图、Monica图等。</w:t>
      </w:r>
    </w:p>
    <w:p w14:paraId="610EC0D2">
      <w:pPr>
        <w:pStyle w:val="94"/>
        <w:numPr>
          <w:ilvl w:val="0"/>
          <w:numId w:val="123"/>
        </w:numPr>
        <w:ind w:left="0" w:firstLine="480"/>
        <w:rPr>
          <w:color w:val="auto"/>
          <w:sz w:val="24"/>
        </w:rPr>
      </w:pPr>
      <w:r>
        <w:rPr>
          <w:color w:val="auto"/>
          <w:sz w:val="24"/>
        </w:rPr>
        <w:t>支持进行质控图打印前，提供输入与该质控图有关的说明信息。</w:t>
      </w:r>
    </w:p>
    <w:p w14:paraId="4ED2F922">
      <w:pPr>
        <w:pStyle w:val="94"/>
        <w:numPr>
          <w:ilvl w:val="0"/>
          <w:numId w:val="123"/>
        </w:numPr>
        <w:ind w:left="0" w:firstLine="480"/>
        <w:rPr>
          <w:color w:val="auto"/>
          <w:sz w:val="24"/>
        </w:rPr>
      </w:pPr>
      <w:r>
        <w:rPr>
          <w:color w:val="auto"/>
          <w:sz w:val="24"/>
        </w:rPr>
        <w:t>支持图像绘制时，调用质控数据失控管理算法，完成质控数据的失控判断，并可以在图像中直接显示失控的数据图标。</w:t>
      </w:r>
    </w:p>
    <w:p w14:paraId="55B8D6B0">
      <w:pPr>
        <w:pStyle w:val="94"/>
        <w:numPr>
          <w:ilvl w:val="0"/>
          <w:numId w:val="123"/>
        </w:numPr>
        <w:ind w:left="0" w:firstLine="480"/>
        <w:rPr>
          <w:color w:val="auto"/>
          <w:sz w:val="24"/>
        </w:rPr>
      </w:pPr>
      <w:r>
        <w:rPr>
          <w:color w:val="auto"/>
          <w:sz w:val="24"/>
        </w:rPr>
        <w:t>支持绘制图像时，进行失控报告录入。</w:t>
      </w:r>
    </w:p>
    <w:p w14:paraId="0C73F2DD">
      <w:pPr>
        <w:pStyle w:val="94"/>
        <w:numPr>
          <w:ilvl w:val="0"/>
          <w:numId w:val="123"/>
        </w:numPr>
        <w:ind w:left="0" w:firstLine="480"/>
        <w:rPr>
          <w:color w:val="auto"/>
          <w:sz w:val="24"/>
        </w:rPr>
      </w:pPr>
      <w:r>
        <w:rPr>
          <w:color w:val="auto"/>
          <w:sz w:val="24"/>
        </w:rPr>
        <w:t>支持PCR类项目的质控管理方式进行管理。</w:t>
      </w:r>
    </w:p>
    <w:p w14:paraId="739A89DB">
      <w:pPr>
        <w:pStyle w:val="94"/>
        <w:numPr>
          <w:ilvl w:val="0"/>
          <w:numId w:val="123"/>
        </w:numPr>
        <w:ind w:left="0" w:firstLine="480"/>
        <w:rPr>
          <w:color w:val="auto"/>
          <w:sz w:val="24"/>
        </w:rPr>
      </w:pPr>
      <w:r>
        <w:rPr>
          <w:color w:val="auto"/>
          <w:sz w:val="24"/>
        </w:rPr>
        <w:t>支持根据质控结果获取失控结果</w:t>
      </w:r>
      <w:r>
        <w:rPr>
          <w:rFonts w:hint="eastAsia"/>
          <w:color w:val="auto"/>
          <w:sz w:val="24"/>
        </w:rPr>
        <w:t>及历史失控数据。</w:t>
      </w:r>
    </w:p>
    <w:p w14:paraId="08389B9E">
      <w:pPr>
        <w:pStyle w:val="94"/>
        <w:numPr>
          <w:ilvl w:val="0"/>
          <w:numId w:val="123"/>
        </w:numPr>
        <w:ind w:left="0" w:firstLine="480"/>
        <w:rPr>
          <w:color w:val="auto"/>
          <w:sz w:val="24"/>
        </w:rPr>
      </w:pPr>
      <w:r>
        <w:rPr>
          <w:color w:val="auto"/>
          <w:sz w:val="24"/>
        </w:rPr>
        <w:t>支持失控处理单自动获取质控仪器名称</w:t>
      </w:r>
      <w:r>
        <w:rPr>
          <w:rFonts w:hint="eastAsia"/>
          <w:color w:val="auto"/>
          <w:sz w:val="24"/>
        </w:rPr>
        <w:t>、</w:t>
      </w:r>
      <w:r>
        <w:rPr>
          <w:color w:val="auto"/>
          <w:sz w:val="24"/>
        </w:rPr>
        <w:t>质控项目</w:t>
      </w:r>
      <w:r>
        <w:rPr>
          <w:rFonts w:hint="eastAsia"/>
          <w:color w:val="auto"/>
          <w:sz w:val="24"/>
        </w:rPr>
        <w:t>、</w:t>
      </w:r>
      <w:r>
        <w:rPr>
          <w:color w:val="auto"/>
          <w:sz w:val="24"/>
        </w:rPr>
        <w:t>质控批次号</w:t>
      </w:r>
      <w:r>
        <w:rPr>
          <w:rFonts w:hint="eastAsia"/>
          <w:color w:val="auto"/>
          <w:sz w:val="24"/>
        </w:rPr>
        <w:t>、</w:t>
      </w:r>
      <w:r>
        <w:rPr>
          <w:color w:val="auto"/>
          <w:sz w:val="24"/>
        </w:rPr>
        <w:t>质控物</w:t>
      </w:r>
      <w:r>
        <w:rPr>
          <w:rFonts w:hint="eastAsia"/>
          <w:color w:val="auto"/>
          <w:sz w:val="24"/>
        </w:rPr>
        <w:t>、</w:t>
      </w:r>
      <w:r>
        <w:rPr>
          <w:color w:val="auto"/>
          <w:sz w:val="24"/>
        </w:rPr>
        <w:t>靶值</w:t>
      </w:r>
      <w:r>
        <w:rPr>
          <w:rFonts w:hint="eastAsia"/>
          <w:color w:val="auto"/>
          <w:sz w:val="24"/>
        </w:rPr>
        <w:t>、</w:t>
      </w:r>
      <w:r>
        <w:rPr>
          <w:color w:val="auto"/>
          <w:sz w:val="24"/>
        </w:rPr>
        <w:t>标准差</w:t>
      </w:r>
      <w:r>
        <w:rPr>
          <w:rFonts w:hint="eastAsia"/>
          <w:color w:val="auto"/>
          <w:sz w:val="24"/>
        </w:rPr>
        <w:t>、</w:t>
      </w:r>
      <w:r>
        <w:rPr>
          <w:color w:val="auto"/>
          <w:sz w:val="24"/>
        </w:rPr>
        <w:t>质控结果</w:t>
      </w:r>
      <w:r>
        <w:rPr>
          <w:rFonts w:hint="eastAsia"/>
          <w:color w:val="auto"/>
          <w:sz w:val="24"/>
        </w:rPr>
        <w:t>、</w:t>
      </w:r>
      <w:r>
        <w:rPr>
          <w:color w:val="auto"/>
          <w:sz w:val="24"/>
        </w:rPr>
        <w:t>误差类型</w:t>
      </w:r>
      <w:r>
        <w:rPr>
          <w:rFonts w:hint="eastAsia"/>
          <w:color w:val="auto"/>
          <w:sz w:val="24"/>
        </w:rPr>
        <w:t>。</w:t>
      </w:r>
    </w:p>
    <w:p w14:paraId="7E70C19A">
      <w:pPr>
        <w:pStyle w:val="94"/>
        <w:numPr>
          <w:ilvl w:val="0"/>
          <w:numId w:val="123"/>
        </w:numPr>
        <w:ind w:left="0" w:firstLine="480"/>
        <w:rPr>
          <w:color w:val="auto"/>
          <w:sz w:val="24"/>
        </w:rPr>
      </w:pPr>
      <w:r>
        <w:rPr>
          <w:color w:val="auto"/>
          <w:sz w:val="24"/>
        </w:rPr>
        <w:t>支持手工填报失控原因分析</w:t>
      </w:r>
      <w:r>
        <w:rPr>
          <w:rFonts w:hint="eastAsia"/>
          <w:color w:val="auto"/>
          <w:sz w:val="24"/>
        </w:rPr>
        <w:t>、</w:t>
      </w:r>
      <w:r>
        <w:rPr>
          <w:color w:val="auto"/>
          <w:sz w:val="24"/>
        </w:rPr>
        <w:t>处理方式</w:t>
      </w:r>
      <w:r>
        <w:rPr>
          <w:rFonts w:hint="eastAsia"/>
          <w:color w:val="auto"/>
          <w:sz w:val="24"/>
        </w:rPr>
        <w:t xml:space="preserve"> 。</w:t>
      </w:r>
    </w:p>
    <w:p w14:paraId="60A5F5FA">
      <w:pPr>
        <w:pStyle w:val="94"/>
        <w:numPr>
          <w:ilvl w:val="0"/>
          <w:numId w:val="123"/>
        </w:numPr>
        <w:ind w:left="0" w:firstLine="480"/>
        <w:rPr>
          <w:color w:val="auto"/>
          <w:sz w:val="24"/>
        </w:rPr>
      </w:pPr>
      <w:r>
        <w:rPr>
          <w:color w:val="auto"/>
          <w:sz w:val="24"/>
        </w:rPr>
        <w:t>支持定义失控原因分析</w:t>
      </w:r>
      <w:r>
        <w:rPr>
          <w:rFonts w:hint="eastAsia"/>
          <w:color w:val="auto"/>
          <w:sz w:val="24"/>
        </w:rPr>
        <w:t>、</w:t>
      </w:r>
      <w:r>
        <w:rPr>
          <w:color w:val="auto"/>
          <w:sz w:val="24"/>
        </w:rPr>
        <w:t>处理方式模板</w:t>
      </w:r>
      <w:r>
        <w:rPr>
          <w:rFonts w:hint="eastAsia"/>
          <w:color w:val="auto"/>
          <w:sz w:val="24"/>
        </w:rPr>
        <w:t>。</w:t>
      </w:r>
    </w:p>
    <w:p w14:paraId="2439426C">
      <w:pPr>
        <w:pStyle w:val="94"/>
        <w:numPr>
          <w:ilvl w:val="0"/>
          <w:numId w:val="123"/>
        </w:numPr>
        <w:ind w:left="0" w:firstLine="480"/>
        <w:rPr>
          <w:color w:val="auto"/>
          <w:sz w:val="24"/>
        </w:rPr>
      </w:pPr>
      <w:r>
        <w:rPr>
          <w:color w:val="auto"/>
          <w:sz w:val="24"/>
        </w:rPr>
        <w:t>支持打印失控处理单</w:t>
      </w:r>
      <w:r>
        <w:rPr>
          <w:rFonts w:hint="eastAsia"/>
          <w:color w:val="auto"/>
          <w:sz w:val="24"/>
        </w:rPr>
        <w:t>。</w:t>
      </w:r>
    </w:p>
    <w:p w14:paraId="25D009C0">
      <w:pPr>
        <w:pStyle w:val="94"/>
        <w:numPr>
          <w:ilvl w:val="0"/>
          <w:numId w:val="123"/>
        </w:numPr>
        <w:ind w:left="0" w:firstLine="480"/>
        <w:rPr>
          <w:color w:val="auto"/>
          <w:sz w:val="24"/>
        </w:rPr>
      </w:pPr>
      <w:r>
        <w:rPr>
          <w:color w:val="auto"/>
          <w:sz w:val="24"/>
        </w:rPr>
        <w:t>支持查看仪器项目质控图</w:t>
      </w:r>
      <w:r>
        <w:rPr>
          <w:rFonts w:hint="eastAsia"/>
          <w:color w:val="auto"/>
          <w:sz w:val="24"/>
        </w:rPr>
        <w:t>。</w:t>
      </w:r>
    </w:p>
    <w:p w14:paraId="7FA506DB">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设备维保</w:t>
      </w:r>
      <w:bookmarkEnd w:id="281"/>
    </w:p>
    <w:p w14:paraId="23A4BBA1">
      <w:pPr>
        <w:pStyle w:val="94"/>
        <w:numPr>
          <w:ilvl w:val="0"/>
          <w:numId w:val="124"/>
        </w:numPr>
        <w:ind w:left="0" w:firstLine="480"/>
        <w:rPr>
          <w:color w:val="auto"/>
          <w:sz w:val="24"/>
        </w:rPr>
      </w:pPr>
      <w:bookmarkStart w:id="282" w:name="_Toc106373116"/>
      <w:r>
        <w:rPr>
          <w:rFonts w:hint="eastAsia"/>
          <w:color w:val="auto"/>
          <w:sz w:val="24"/>
        </w:rPr>
        <w:t>设备信息完善</w:t>
      </w:r>
    </w:p>
    <w:p w14:paraId="775A04A1">
      <w:pPr>
        <w:pStyle w:val="94"/>
        <w:numPr>
          <w:ilvl w:val="0"/>
          <w:numId w:val="125"/>
        </w:numPr>
        <w:ind w:left="0" w:firstLine="480"/>
        <w:rPr>
          <w:color w:val="auto"/>
          <w:sz w:val="24"/>
        </w:rPr>
      </w:pPr>
      <w:r>
        <w:rPr>
          <w:rFonts w:hint="eastAsia"/>
          <w:color w:val="auto"/>
          <w:sz w:val="24"/>
        </w:rPr>
        <w:t>支持在用设备三证图片上传；</w:t>
      </w:r>
    </w:p>
    <w:p w14:paraId="063B5534">
      <w:pPr>
        <w:pStyle w:val="94"/>
        <w:numPr>
          <w:ilvl w:val="0"/>
          <w:numId w:val="125"/>
        </w:numPr>
        <w:ind w:left="0" w:firstLine="480"/>
        <w:rPr>
          <w:color w:val="auto"/>
          <w:sz w:val="24"/>
        </w:rPr>
      </w:pPr>
      <w:r>
        <w:rPr>
          <w:rFonts w:hint="eastAsia"/>
          <w:color w:val="auto"/>
          <w:sz w:val="24"/>
        </w:rPr>
        <w:t>支持维护设备校准信息，支持多种保养类型计划设置，支持设置提前预警天数、下次保养日期信息；</w:t>
      </w:r>
    </w:p>
    <w:p w14:paraId="11F1CC1A">
      <w:pPr>
        <w:pStyle w:val="94"/>
        <w:numPr>
          <w:ilvl w:val="0"/>
          <w:numId w:val="125"/>
        </w:numPr>
        <w:ind w:left="0" w:firstLine="480"/>
        <w:rPr>
          <w:color w:val="auto"/>
          <w:sz w:val="24"/>
        </w:rPr>
      </w:pPr>
      <w:r>
        <w:rPr>
          <w:rFonts w:hint="eastAsia"/>
          <w:color w:val="auto"/>
          <w:sz w:val="24"/>
        </w:rPr>
        <w:t>支持近期需保养设备特殊标识提醒及优先显示；</w:t>
      </w:r>
    </w:p>
    <w:p w14:paraId="754425E2">
      <w:pPr>
        <w:pStyle w:val="94"/>
        <w:numPr>
          <w:ilvl w:val="0"/>
          <w:numId w:val="124"/>
        </w:numPr>
        <w:ind w:left="0" w:firstLine="480"/>
        <w:rPr>
          <w:color w:val="auto"/>
          <w:sz w:val="24"/>
        </w:rPr>
      </w:pPr>
      <w:r>
        <w:rPr>
          <w:rFonts w:hint="eastAsia"/>
          <w:color w:val="auto"/>
          <w:sz w:val="24"/>
        </w:rPr>
        <w:t>设备定标管理</w:t>
      </w:r>
    </w:p>
    <w:p w14:paraId="77025259">
      <w:pPr>
        <w:pStyle w:val="94"/>
        <w:numPr>
          <w:ilvl w:val="0"/>
          <w:numId w:val="126"/>
        </w:numPr>
        <w:ind w:left="0" w:firstLine="480"/>
        <w:rPr>
          <w:color w:val="auto"/>
          <w:sz w:val="24"/>
        </w:rPr>
      </w:pPr>
      <w:r>
        <w:rPr>
          <w:rFonts w:hint="eastAsia"/>
          <w:color w:val="auto"/>
          <w:sz w:val="24"/>
        </w:rPr>
        <w:t>支持查询设备定标记录；</w:t>
      </w:r>
    </w:p>
    <w:p w14:paraId="523EC64B">
      <w:pPr>
        <w:pStyle w:val="94"/>
        <w:numPr>
          <w:ilvl w:val="0"/>
          <w:numId w:val="126"/>
        </w:numPr>
        <w:ind w:left="0" w:firstLine="480"/>
        <w:rPr>
          <w:color w:val="auto"/>
          <w:sz w:val="24"/>
        </w:rPr>
      </w:pPr>
      <w:r>
        <w:rPr>
          <w:rFonts w:hint="eastAsia"/>
          <w:color w:val="auto"/>
          <w:sz w:val="24"/>
        </w:rPr>
        <w:t>支持新增、修改、删除定标记录；支持记录定标类型、定标项目、定标试剂批号、定标方法、定标结果等信息；</w:t>
      </w:r>
    </w:p>
    <w:p w14:paraId="4DF2FCD8">
      <w:pPr>
        <w:pStyle w:val="94"/>
        <w:numPr>
          <w:ilvl w:val="0"/>
          <w:numId w:val="126"/>
        </w:numPr>
        <w:ind w:left="0" w:firstLine="480"/>
        <w:rPr>
          <w:color w:val="auto"/>
          <w:sz w:val="24"/>
        </w:rPr>
      </w:pPr>
      <w:r>
        <w:rPr>
          <w:rFonts w:hint="eastAsia"/>
          <w:color w:val="auto"/>
          <w:sz w:val="24"/>
        </w:rPr>
        <w:t>支持打印定标记录单；</w:t>
      </w:r>
    </w:p>
    <w:p w14:paraId="56F56ACB">
      <w:pPr>
        <w:pStyle w:val="94"/>
        <w:numPr>
          <w:ilvl w:val="0"/>
          <w:numId w:val="124"/>
        </w:numPr>
        <w:ind w:left="0" w:firstLine="480"/>
        <w:rPr>
          <w:color w:val="auto"/>
          <w:sz w:val="24"/>
        </w:rPr>
      </w:pPr>
      <w:r>
        <w:rPr>
          <w:rFonts w:hint="eastAsia"/>
          <w:color w:val="auto"/>
          <w:sz w:val="24"/>
        </w:rPr>
        <w:t>设备校准管理</w:t>
      </w:r>
    </w:p>
    <w:p w14:paraId="434E4573">
      <w:pPr>
        <w:pStyle w:val="94"/>
        <w:numPr>
          <w:ilvl w:val="0"/>
          <w:numId w:val="127"/>
        </w:numPr>
        <w:ind w:left="0" w:firstLine="480"/>
        <w:rPr>
          <w:color w:val="auto"/>
          <w:sz w:val="24"/>
        </w:rPr>
      </w:pPr>
      <w:r>
        <w:rPr>
          <w:rFonts w:hint="eastAsia"/>
          <w:color w:val="auto"/>
          <w:sz w:val="24"/>
        </w:rPr>
        <w:t>支持选择实验室、设备、校准日期查询打印历史校准记录；</w:t>
      </w:r>
    </w:p>
    <w:p w14:paraId="679A1C90">
      <w:pPr>
        <w:pStyle w:val="94"/>
        <w:numPr>
          <w:ilvl w:val="0"/>
          <w:numId w:val="127"/>
        </w:numPr>
        <w:ind w:left="0" w:firstLine="480"/>
        <w:rPr>
          <w:color w:val="auto"/>
          <w:sz w:val="24"/>
        </w:rPr>
      </w:pPr>
      <w:r>
        <w:rPr>
          <w:rFonts w:hint="eastAsia"/>
          <w:color w:val="auto"/>
          <w:sz w:val="24"/>
        </w:rPr>
        <w:t>支持新增、修改、删除校准记录；支持记录设备校准部门、校准内容、校准情况、校准过程、校准结果信息；</w:t>
      </w:r>
    </w:p>
    <w:p w14:paraId="015802AE">
      <w:pPr>
        <w:pStyle w:val="94"/>
        <w:numPr>
          <w:ilvl w:val="0"/>
          <w:numId w:val="124"/>
        </w:numPr>
        <w:ind w:left="0" w:firstLine="480"/>
        <w:rPr>
          <w:color w:val="auto"/>
          <w:sz w:val="24"/>
        </w:rPr>
      </w:pPr>
      <w:r>
        <w:rPr>
          <w:rFonts w:hint="eastAsia"/>
          <w:color w:val="auto"/>
          <w:sz w:val="24"/>
        </w:rPr>
        <w:t>设备保养管理</w:t>
      </w:r>
    </w:p>
    <w:p w14:paraId="61FF26FF">
      <w:pPr>
        <w:pStyle w:val="94"/>
        <w:numPr>
          <w:ilvl w:val="0"/>
          <w:numId w:val="128"/>
        </w:numPr>
        <w:ind w:left="0" w:firstLine="480"/>
        <w:rPr>
          <w:color w:val="auto"/>
          <w:sz w:val="24"/>
        </w:rPr>
      </w:pPr>
      <w:r>
        <w:rPr>
          <w:rFonts w:hint="eastAsia"/>
          <w:color w:val="auto"/>
          <w:sz w:val="24"/>
        </w:rPr>
        <w:t>支持查询设备清单，支持近期需保养设备特殊标识提醒及优先显示；</w:t>
      </w:r>
    </w:p>
    <w:p w14:paraId="692CB8DE">
      <w:pPr>
        <w:pStyle w:val="94"/>
        <w:numPr>
          <w:ilvl w:val="0"/>
          <w:numId w:val="128"/>
        </w:numPr>
        <w:ind w:left="0" w:firstLine="480"/>
        <w:rPr>
          <w:color w:val="auto"/>
          <w:sz w:val="24"/>
        </w:rPr>
      </w:pPr>
      <w:r>
        <w:rPr>
          <w:rFonts w:hint="eastAsia"/>
          <w:color w:val="auto"/>
          <w:sz w:val="24"/>
        </w:rPr>
        <w:t>支持依据保养日期、保养类型，查询打印设备历史保养记录；</w:t>
      </w:r>
    </w:p>
    <w:p w14:paraId="60776020">
      <w:pPr>
        <w:pStyle w:val="94"/>
        <w:numPr>
          <w:ilvl w:val="0"/>
          <w:numId w:val="128"/>
        </w:numPr>
        <w:ind w:left="0" w:firstLine="480"/>
        <w:rPr>
          <w:color w:val="auto"/>
          <w:sz w:val="24"/>
        </w:rPr>
      </w:pPr>
      <w:r>
        <w:rPr>
          <w:rFonts w:hint="eastAsia"/>
          <w:color w:val="auto"/>
          <w:sz w:val="24"/>
        </w:rPr>
        <w:t>支持新增、修改、删除设备保养记录；</w:t>
      </w:r>
    </w:p>
    <w:p w14:paraId="068B1878">
      <w:pPr>
        <w:pStyle w:val="94"/>
        <w:numPr>
          <w:ilvl w:val="0"/>
          <w:numId w:val="128"/>
        </w:numPr>
        <w:ind w:left="0" w:firstLine="480"/>
        <w:rPr>
          <w:color w:val="auto"/>
          <w:sz w:val="24"/>
        </w:rPr>
      </w:pPr>
      <w:r>
        <w:rPr>
          <w:rFonts w:hint="eastAsia"/>
          <w:color w:val="auto"/>
          <w:sz w:val="24"/>
        </w:rPr>
        <w:t>支持记录设备保养类型、保养内容、保养后设备状态、下次保养日期等信息；</w:t>
      </w:r>
    </w:p>
    <w:p w14:paraId="1FD0238B">
      <w:pPr>
        <w:pStyle w:val="94"/>
        <w:numPr>
          <w:ilvl w:val="0"/>
          <w:numId w:val="124"/>
        </w:numPr>
        <w:ind w:left="0" w:firstLine="480"/>
        <w:rPr>
          <w:color w:val="auto"/>
          <w:sz w:val="24"/>
        </w:rPr>
      </w:pPr>
      <w:r>
        <w:rPr>
          <w:rFonts w:hint="eastAsia"/>
          <w:color w:val="auto"/>
          <w:sz w:val="24"/>
        </w:rPr>
        <w:t>设备维修管理（支持上传维修现场图片记录及保存）</w:t>
      </w:r>
    </w:p>
    <w:p w14:paraId="231E45D8">
      <w:pPr>
        <w:pStyle w:val="94"/>
        <w:numPr>
          <w:ilvl w:val="0"/>
          <w:numId w:val="129"/>
        </w:numPr>
        <w:ind w:left="0" w:firstLine="480"/>
        <w:rPr>
          <w:color w:val="auto"/>
          <w:sz w:val="24"/>
        </w:rPr>
      </w:pPr>
      <w:r>
        <w:rPr>
          <w:rFonts w:hint="eastAsia"/>
          <w:color w:val="auto"/>
          <w:sz w:val="24"/>
        </w:rPr>
        <w:t>支持选择实验室、设备、维修日期查询设备维修记录；支持打印设备维修记录单；</w:t>
      </w:r>
    </w:p>
    <w:p w14:paraId="78FFA3E6">
      <w:pPr>
        <w:pStyle w:val="94"/>
        <w:numPr>
          <w:ilvl w:val="0"/>
          <w:numId w:val="129"/>
        </w:numPr>
        <w:ind w:left="0" w:firstLine="480"/>
        <w:rPr>
          <w:color w:val="auto"/>
          <w:sz w:val="24"/>
        </w:rPr>
      </w:pPr>
      <w:r>
        <w:rPr>
          <w:rFonts w:hint="eastAsia"/>
          <w:color w:val="auto"/>
          <w:sz w:val="24"/>
        </w:rPr>
        <w:t>支持新增、修改、删除设备维修记录；</w:t>
      </w:r>
    </w:p>
    <w:p w14:paraId="15CB42FC">
      <w:pPr>
        <w:pStyle w:val="94"/>
        <w:numPr>
          <w:ilvl w:val="0"/>
          <w:numId w:val="129"/>
        </w:numPr>
        <w:ind w:left="0" w:firstLine="480"/>
        <w:rPr>
          <w:color w:val="auto"/>
          <w:sz w:val="24"/>
        </w:rPr>
      </w:pPr>
      <w:r>
        <w:rPr>
          <w:rFonts w:hint="eastAsia"/>
          <w:color w:val="auto"/>
          <w:sz w:val="24"/>
        </w:rPr>
        <w:t>支持记录设备故障时间、故障描述、维修时间、维修人、维修单位、维修费用、维修过程等信息；</w:t>
      </w:r>
    </w:p>
    <w:p w14:paraId="3FAB3876">
      <w:pPr>
        <w:pStyle w:val="94"/>
        <w:numPr>
          <w:ilvl w:val="0"/>
          <w:numId w:val="124"/>
        </w:numPr>
        <w:ind w:left="0" w:firstLine="480"/>
        <w:rPr>
          <w:color w:val="auto"/>
          <w:sz w:val="24"/>
        </w:rPr>
      </w:pPr>
      <w:r>
        <w:rPr>
          <w:rFonts w:hint="eastAsia"/>
          <w:color w:val="auto"/>
          <w:sz w:val="24"/>
        </w:rPr>
        <w:t>设备维修确认</w:t>
      </w:r>
    </w:p>
    <w:p w14:paraId="67E91A0B">
      <w:pPr>
        <w:pStyle w:val="94"/>
        <w:numPr>
          <w:ilvl w:val="0"/>
          <w:numId w:val="130"/>
        </w:numPr>
        <w:ind w:left="0" w:firstLine="480"/>
        <w:rPr>
          <w:color w:val="auto"/>
          <w:sz w:val="24"/>
        </w:rPr>
      </w:pPr>
      <w:r>
        <w:rPr>
          <w:rFonts w:hint="eastAsia"/>
          <w:color w:val="auto"/>
          <w:sz w:val="24"/>
        </w:rPr>
        <w:t>支持自动过滤未确认维修记录；</w:t>
      </w:r>
    </w:p>
    <w:p w14:paraId="04C699CE">
      <w:pPr>
        <w:pStyle w:val="94"/>
        <w:numPr>
          <w:ilvl w:val="0"/>
          <w:numId w:val="130"/>
        </w:numPr>
        <w:ind w:left="0" w:firstLine="480"/>
        <w:rPr>
          <w:color w:val="auto"/>
          <w:sz w:val="24"/>
        </w:rPr>
      </w:pPr>
      <w:r>
        <w:rPr>
          <w:rFonts w:hint="eastAsia"/>
          <w:color w:val="auto"/>
          <w:sz w:val="24"/>
        </w:rPr>
        <w:t>支持修改维修费用、维修过程、维修结果信息；</w:t>
      </w:r>
    </w:p>
    <w:p w14:paraId="4631338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环境设备监测</w:t>
      </w:r>
      <w:bookmarkEnd w:id="282"/>
    </w:p>
    <w:p w14:paraId="2D07C82B">
      <w:pPr>
        <w:ind w:firstLine="480"/>
        <w:rPr>
          <w:color w:val="auto"/>
        </w:rPr>
      </w:pPr>
      <w:bookmarkStart w:id="283" w:name="_Toc106373117"/>
      <w:r>
        <w:rPr>
          <w:rFonts w:hint="eastAsia"/>
          <w:color w:val="auto"/>
        </w:rPr>
        <w:t>1、监测项目信息设置</w:t>
      </w:r>
    </w:p>
    <w:p w14:paraId="28D21DFF">
      <w:pPr>
        <w:pStyle w:val="94"/>
        <w:numPr>
          <w:ilvl w:val="0"/>
          <w:numId w:val="131"/>
        </w:numPr>
        <w:ind w:left="0" w:firstLine="480"/>
        <w:rPr>
          <w:color w:val="auto"/>
          <w:sz w:val="24"/>
        </w:rPr>
      </w:pPr>
      <w:r>
        <w:rPr>
          <w:rFonts w:hint="eastAsia"/>
          <w:color w:val="auto"/>
          <w:sz w:val="24"/>
        </w:rPr>
        <w:t>支持新增、修改、删除监测位置、监测点信息；</w:t>
      </w:r>
    </w:p>
    <w:p w14:paraId="09D74251">
      <w:pPr>
        <w:pStyle w:val="94"/>
        <w:widowControl/>
        <w:numPr>
          <w:ilvl w:val="0"/>
          <w:numId w:val="131"/>
        </w:numPr>
        <w:shd w:val="clear" w:color="auto" w:fill="FFFFFF"/>
        <w:ind w:left="0" w:firstLine="480"/>
        <w:rPr>
          <w:color w:val="auto"/>
          <w:sz w:val="24"/>
        </w:rPr>
      </w:pPr>
      <w:r>
        <w:rPr>
          <w:rFonts w:hint="eastAsia"/>
          <w:color w:val="auto"/>
          <w:sz w:val="24"/>
        </w:rPr>
        <w:t>支持选择监测项目(</w:t>
      </w:r>
      <w:r>
        <w:rPr>
          <w:color w:val="auto"/>
          <w:sz w:val="24"/>
        </w:rPr>
        <w:t>温度</w:t>
      </w:r>
      <w:r>
        <w:rPr>
          <w:rFonts w:hint="eastAsia"/>
          <w:color w:val="auto"/>
          <w:sz w:val="24"/>
        </w:rPr>
        <w:t>、</w:t>
      </w:r>
      <w:r>
        <w:rPr>
          <w:color w:val="auto"/>
          <w:sz w:val="24"/>
        </w:rPr>
        <w:t>湿度</w:t>
      </w:r>
      <w:r>
        <w:rPr>
          <w:rFonts w:hint="eastAsia"/>
          <w:color w:val="auto"/>
          <w:sz w:val="24"/>
        </w:rPr>
        <w:t>、</w:t>
      </w:r>
      <w:r>
        <w:rPr>
          <w:color w:val="auto"/>
          <w:sz w:val="24"/>
        </w:rPr>
        <w:t>常规气体浓度</w:t>
      </w:r>
      <w:r>
        <w:rPr>
          <w:rFonts w:hint="eastAsia"/>
          <w:color w:val="auto"/>
          <w:sz w:val="24"/>
        </w:rPr>
        <w:t>、</w:t>
      </w:r>
      <w:r>
        <w:rPr>
          <w:color w:val="auto"/>
          <w:sz w:val="24"/>
        </w:rPr>
        <w:t>有毒气体浓度</w:t>
      </w:r>
      <w:r>
        <w:rPr>
          <w:rFonts w:hint="eastAsia"/>
          <w:color w:val="auto"/>
          <w:sz w:val="24"/>
        </w:rPr>
        <w:t>、</w:t>
      </w:r>
      <w:r>
        <w:rPr>
          <w:color w:val="auto"/>
          <w:sz w:val="24"/>
        </w:rPr>
        <w:t>可燃性气体浓度</w:t>
      </w:r>
      <w:r>
        <w:rPr>
          <w:rFonts w:hint="eastAsia"/>
          <w:color w:val="auto"/>
          <w:sz w:val="24"/>
        </w:rPr>
        <w:t>、</w:t>
      </w:r>
      <w:r>
        <w:rPr>
          <w:color w:val="auto"/>
          <w:sz w:val="24"/>
        </w:rPr>
        <w:t>空气洁净度</w:t>
      </w:r>
      <w:r>
        <w:rPr>
          <w:rFonts w:hint="eastAsia"/>
          <w:color w:val="auto"/>
          <w:sz w:val="24"/>
        </w:rPr>
        <w:t>、</w:t>
      </w:r>
      <w:r>
        <w:rPr>
          <w:color w:val="auto"/>
          <w:sz w:val="24"/>
        </w:rPr>
        <w:t>风机运转状态</w:t>
      </w:r>
      <w:r>
        <w:rPr>
          <w:rFonts w:hint="eastAsia"/>
          <w:color w:val="auto"/>
          <w:sz w:val="24"/>
        </w:rPr>
        <w:t>、</w:t>
      </w:r>
      <w:r>
        <w:rPr>
          <w:color w:val="auto"/>
          <w:sz w:val="24"/>
        </w:rPr>
        <w:t>UPS电源</w:t>
      </w:r>
      <w:r>
        <w:rPr>
          <w:rFonts w:hint="eastAsia"/>
          <w:color w:val="auto"/>
          <w:sz w:val="24"/>
        </w:rPr>
        <w:t>、</w:t>
      </w:r>
      <w:r>
        <w:rPr>
          <w:color w:val="auto"/>
          <w:sz w:val="24"/>
        </w:rPr>
        <w:t>水浸状况)</w:t>
      </w:r>
      <w:r>
        <w:rPr>
          <w:rFonts w:hint="eastAsia"/>
          <w:color w:val="auto"/>
          <w:sz w:val="24"/>
        </w:rPr>
        <w:t>，支持设置监测仪相关信息，支持设定正常阈值范围或状态码信息，支持连接监测仪接口；</w:t>
      </w:r>
    </w:p>
    <w:p w14:paraId="1FC202C3">
      <w:pPr>
        <w:pStyle w:val="94"/>
        <w:widowControl/>
        <w:numPr>
          <w:ilvl w:val="0"/>
          <w:numId w:val="131"/>
        </w:numPr>
        <w:shd w:val="clear" w:color="auto" w:fill="FFFFFF"/>
        <w:ind w:left="0" w:firstLine="480"/>
        <w:rPr>
          <w:color w:val="auto"/>
          <w:sz w:val="24"/>
        </w:rPr>
      </w:pPr>
      <w:r>
        <w:rPr>
          <w:rFonts w:hint="eastAsia"/>
          <w:color w:val="auto"/>
          <w:sz w:val="24"/>
        </w:rPr>
        <w:t>支持设置短信提醒、邮件提醒、平台消息推送等多种告警提醒方式，支持连接告警信息推送接口；</w:t>
      </w:r>
    </w:p>
    <w:p w14:paraId="24980626">
      <w:pPr>
        <w:widowControl/>
        <w:shd w:val="clear" w:color="auto" w:fill="FFFFFF"/>
        <w:ind w:firstLine="480"/>
        <w:rPr>
          <w:rFonts w:cs="宋体"/>
          <w:color w:val="auto"/>
          <w:kern w:val="0"/>
        </w:rPr>
      </w:pPr>
      <w:r>
        <w:rPr>
          <w:rFonts w:cs="宋体"/>
          <w:color w:val="auto"/>
          <w:kern w:val="0"/>
        </w:rPr>
        <w:t>2</w:t>
      </w:r>
      <w:r>
        <w:rPr>
          <w:rFonts w:hint="eastAsia" w:cs="宋体"/>
          <w:color w:val="auto"/>
          <w:kern w:val="0"/>
        </w:rPr>
        <w:t>、监测数据手工输入</w:t>
      </w:r>
    </w:p>
    <w:p w14:paraId="29F6DACA">
      <w:pPr>
        <w:pStyle w:val="94"/>
        <w:widowControl/>
        <w:numPr>
          <w:ilvl w:val="0"/>
          <w:numId w:val="132"/>
        </w:numPr>
        <w:shd w:val="clear" w:color="auto" w:fill="FFFFFF"/>
        <w:ind w:left="0" w:firstLine="480"/>
        <w:rPr>
          <w:color w:val="auto"/>
          <w:sz w:val="24"/>
        </w:rPr>
      </w:pPr>
      <w:r>
        <w:rPr>
          <w:rFonts w:hint="eastAsia"/>
          <w:color w:val="auto"/>
          <w:sz w:val="24"/>
        </w:rPr>
        <w:t>支持查询显示监测点信息；</w:t>
      </w:r>
    </w:p>
    <w:p w14:paraId="3C679311">
      <w:pPr>
        <w:pStyle w:val="94"/>
        <w:widowControl/>
        <w:numPr>
          <w:ilvl w:val="0"/>
          <w:numId w:val="132"/>
        </w:numPr>
        <w:shd w:val="clear" w:color="auto" w:fill="FFFFFF"/>
        <w:ind w:left="0" w:firstLine="480"/>
        <w:rPr>
          <w:color w:val="auto"/>
          <w:sz w:val="24"/>
        </w:rPr>
      </w:pPr>
      <w:r>
        <w:rPr>
          <w:rFonts w:hint="eastAsia"/>
          <w:color w:val="auto"/>
          <w:sz w:val="24"/>
        </w:rPr>
        <w:t>支持自动关联监测点下所有监测项目；</w:t>
      </w:r>
    </w:p>
    <w:p w14:paraId="37311593">
      <w:pPr>
        <w:pStyle w:val="94"/>
        <w:widowControl/>
        <w:numPr>
          <w:ilvl w:val="0"/>
          <w:numId w:val="132"/>
        </w:numPr>
        <w:shd w:val="clear" w:color="auto" w:fill="FFFFFF"/>
        <w:ind w:left="0" w:firstLine="480"/>
        <w:rPr>
          <w:color w:val="auto"/>
          <w:sz w:val="24"/>
        </w:rPr>
      </w:pPr>
      <w:r>
        <w:rPr>
          <w:rFonts w:hint="eastAsia"/>
          <w:color w:val="auto"/>
          <w:sz w:val="24"/>
        </w:rPr>
        <w:t>支持新增监测记录，支持自动校验监测值，支持删除监测记录；</w:t>
      </w:r>
    </w:p>
    <w:p w14:paraId="5CB2DE3D">
      <w:pPr>
        <w:pStyle w:val="94"/>
        <w:widowControl/>
        <w:numPr>
          <w:ilvl w:val="0"/>
          <w:numId w:val="132"/>
        </w:numPr>
        <w:shd w:val="clear" w:color="auto" w:fill="FFFFFF"/>
        <w:ind w:left="0" w:firstLine="480"/>
        <w:rPr>
          <w:color w:val="auto"/>
          <w:sz w:val="24"/>
        </w:rPr>
      </w:pPr>
      <w:r>
        <w:rPr>
          <w:rFonts w:hint="eastAsia"/>
          <w:color w:val="auto"/>
          <w:sz w:val="24"/>
        </w:rPr>
        <w:t>支持自动计算监测数据是否异常，支持异常监测数据自动告警；</w:t>
      </w:r>
    </w:p>
    <w:p w14:paraId="4720C7DC">
      <w:pPr>
        <w:widowControl/>
        <w:shd w:val="clear" w:color="auto" w:fill="FFFFFF"/>
        <w:ind w:firstLine="480"/>
        <w:rPr>
          <w:rFonts w:cs="宋体"/>
          <w:color w:val="auto"/>
          <w:kern w:val="0"/>
        </w:rPr>
      </w:pPr>
      <w:r>
        <w:rPr>
          <w:rFonts w:cs="宋体"/>
          <w:color w:val="auto"/>
          <w:kern w:val="0"/>
        </w:rPr>
        <w:t>3、</w:t>
      </w:r>
      <w:r>
        <w:rPr>
          <w:rFonts w:hint="eastAsia" w:cs="宋体"/>
          <w:color w:val="auto"/>
          <w:kern w:val="0"/>
        </w:rPr>
        <w:t>环境设备监测控制台</w:t>
      </w:r>
    </w:p>
    <w:p w14:paraId="2158CC67">
      <w:pPr>
        <w:pStyle w:val="94"/>
        <w:widowControl/>
        <w:numPr>
          <w:ilvl w:val="0"/>
          <w:numId w:val="133"/>
        </w:numPr>
        <w:shd w:val="clear" w:color="auto" w:fill="FFFFFF"/>
        <w:ind w:left="0" w:firstLine="480"/>
        <w:rPr>
          <w:color w:val="auto"/>
          <w:sz w:val="24"/>
        </w:rPr>
      </w:pPr>
      <w:r>
        <w:rPr>
          <w:rFonts w:hint="eastAsia"/>
          <w:color w:val="auto"/>
          <w:sz w:val="24"/>
        </w:rPr>
        <w:t>支持查询显示所有监测点信息；支持汇总监测点所属监测项目、告警数据；</w:t>
      </w:r>
    </w:p>
    <w:p w14:paraId="52E2AD3F">
      <w:pPr>
        <w:pStyle w:val="94"/>
        <w:widowControl/>
        <w:numPr>
          <w:ilvl w:val="0"/>
          <w:numId w:val="133"/>
        </w:numPr>
        <w:shd w:val="clear" w:color="auto" w:fill="FFFFFF"/>
        <w:ind w:left="0" w:firstLine="480"/>
        <w:rPr>
          <w:color w:val="auto"/>
          <w:sz w:val="24"/>
        </w:rPr>
      </w:pPr>
      <w:r>
        <w:rPr>
          <w:rFonts w:hint="eastAsia"/>
          <w:color w:val="auto"/>
          <w:sz w:val="24"/>
        </w:rPr>
        <w:t>支持自动查询监测点下所有异常告警监测数据；</w:t>
      </w:r>
    </w:p>
    <w:p w14:paraId="33F6E81D">
      <w:pPr>
        <w:pStyle w:val="94"/>
        <w:widowControl/>
        <w:numPr>
          <w:ilvl w:val="0"/>
          <w:numId w:val="133"/>
        </w:numPr>
        <w:shd w:val="clear" w:color="auto" w:fill="FFFFFF"/>
        <w:ind w:left="0" w:firstLine="480"/>
        <w:rPr>
          <w:color w:val="auto"/>
          <w:sz w:val="24"/>
        </w:rPr>
      </w:pPr>
      <w:r>
        <w:rPr>
          <w:rFonts w:hint="eastAsia"/>
          <w:color w:val="auto"/>
          <w:sz w:val="24"/>
        </w:rPr>
        <w:t>支持单条/批量处理告警监测数据；</w:t>
      </w:r>
    </w:p>
    <w:p w14:paraId="033D97E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仪器通讯接口</w:t>
      </w:r>
      <w:bookmarkEnd w:id="283"/>
    </w:p>
    <w:p w14:paraId="79564BFF">
      <w:pPr>
        <w:pStyle w:val="94"/>
        <w:numPr>
          <w:ilvl w:val="0"/>
          <w:numId w:val="134"/>
        </w:numPr>
        <w:ind w:left="0" w:firstLine="480"/>
        <w:rPr>
          <w:color w:val="auto"/>
          <w:sz w:val="24"/>
        </w:rPr>
      </w:pPr>
      <w:r>
        <w:rPr>
          <w:color w:val="auto"/>
          <w:sz w:val="24"/>
        </w:rPr>
        <w:t>支持检验仪器的单向通讯，可自动接收仪器检验结果。</w:t>
      </w:r>
    </w:p>
    <w:p w14:paraId="1707FF04">
      <w:pPr>
        <w:pStyle w:val="94"/>
        <w:numPr>
          <w:ilvl w:val="0"/>
          <w:numId w:val="134"/>
        </w:numPr>
        <w:ind w:left="0" w:firstLine="480"/>
        <w:rPr>
          <w:color w:val="auto"/>
          <w:sz w:val="24"/>
        </w:rPr>
      </w:pPr>
      <w:r>
        <w:rPr>
          <w:color w:val="auto"/>
          <w:sz w:val="24"/>
        </w:rPr>
        <w:t>支持检验仪器的双向通讯，对大型的生化、免疫类仪器，直接从LIS系统读取检验项目。</w:t>
      </w:r>
    </w:p>
    <w:p w14:paraId="128C09FA">
      <w:pPr>
        <w:pStyle w:val="94"/>
        <w:numPr>
          <w:ilvl w:val="0"/>
          <w:numId w:val="134"/>
        </w:numPr>
        <w:ind w:left="0" w:firstLine="480"/>
        <w:rPr>
          <w:color w:val="auto"/>
          <w:sz w:val="24"/>
        </w:rPr>
      </w:pPr>
      <w:r>
        <w:rPr>
          <w:color w:val="auto"/>
          <w:sz w:val="24"/>
        </w:rPr>
        <w:t>支持数据交换，可将本系统的数据形成文件，或者读入其他系统的数据文件。</w:t>
      </w:r>
    </w:p>
    <w:p w14:paraId="0F320F48">
      <w:pPr>
        <w:pStyle w:val="94"/>
        <w:numPr>
          <w:ilvl w:val="0"/>
          <w:numId w:val="134"/>
        </w:numPr>
        <w:ind w:left="0" w:firstLine="480"/>
        <w:rPr>
          <w:color w:val="auto"/>
          <w:sz w:val="24"/>
        </w:rPr>
      </w:pPr>
      <w:r>
        <w:rPr>
          <w:color w:val="auto"/>
          <w:sz w:val="24"/>
        </w:rPr>
        <w:t>支持LIS与仪器通讯时，醒目标识提醒技师。</w:t>
      </w:r>
    </w:p>
    <w:p w14:paraId="25A99C56">
      <w:pPr>
        <w:pStyle w:val="94"/>
        <w:numPr>
          <w:ilvl w:val="0"/>
          <w:numId w:val="134"/>
        </w:numPr>
        <w:ind w:left="0" w:firstLine="480"/>
        <w:rPr>
          <w:color w:val="auto"/>
          <w:sz w:val="24"/>
        </w:rPr>
      </w:pPr>
      <w:r>
        <w:rPr>
          <w:color w:val="auto"/>
          <w:sz w:val="24"/>
        </w:rPr>
        <w:t>提供通讯诊断，对应通讯故障时的诊断功能。</w:t>
      </w:r>
    </w:p>
    <w:p w14:paraId="538223E3">
      <w:pPr>
        <w:pStyle w:val="94"/>
        <w:numPr>
          <w:ilvl w:val="0"/>
          <w:numId w:val="134"/>
        </w:numPr>
        <w:ind w:left="0" w:firstLine="480"/>
        <w:rPr>
          <w:color w:val="auto"/>
          <w:sz w:val="24"/>
        </w:rPr>
      </w:pPr>
      <w:r>
        <w:rPr>
          <w:color w:val="auto"/>
          <w:sz w:val="24"/>
        </w:rPr>
        <w:t>提供试管打包机接口程序，支持不同厂家的试管打包机连接到LIS系统，支持把不同小组，不同设备所做的样本自动分开，针对不同采样信息自动进行样本采集的准备。</w:t>
      </w:r>
    </w:p>
    <w:p w14:paraId="385322A7">
      <w:pPr>
        <w:rPr>
          <w:color w:val="auto"/>
        </w:rPr>
      </w:pPr>
    </w:p>
    <w:p w14:paraId="06D783DA">
      <w:pPr>
        <w:pStyle w:val="14"/>
        <w:bidi w:val="0"/>
        <w:rPr>
          <w:color w:val="auto"/>
        </w:rPr>
      </w:pPr>
      <w:r>
        <w:rPr>
          <w:rFonts w:hint="eastAsia"/>
          <w:color w:val="auto"/>
          <w:lang w:val="en-US" w:eastAsia="zh-CN"/>
        </w:rPr>
        <w:t xml:space="preserve"> </w:t>
      </w:r>
      <w:r>
        <w:rPr>
          <w:rFonts w:hint="eastAsia"/>
          <w:color w:val="auto"/>
        </w:rPr>
        <w:t>医学影像系统</w:t>
      </w:r>
    </w:p>
    <w:p w14:paraId="2B2CB59E">
      <w:pPr>
        <w:bidi w:val="0"/>
        <w:rPr>
          <w:color w:val="auto"/>
        </w:rPr>
      </w:pPr>
      <w:r>
        <w:rPr>
          <w:color w:val="auto"/>
        </w:rPr>
        <w:t>系统实现从预约登记、图像采集到报告管理的全流程智能化，支持多模态DICOM设备接入、AI辅助诊断及三维重建，提供丰富的图像处理与对比工具，同时覆盖危急值预警、远程会诊协作，全面提升影像诊断效率与质控水平。</w:t>
      </w:r>
    </w:p>
    <w:p w14:paraId="579EF7BB">
      <w:pPr>
        <w:bidi w:val="0"/>
        <w:rPr>
          <w:color w:val="auto"/>
        </w:rPr>
      </w:pPr>
      <w:r>
        <w:rPr>
          <w:rFonts w:hint="eastAsia"/>
          <w:color w:val="auto"/>
          <w:lang w:val="en-US" w:eastAsia="zh-CN"/>
        </w:rPr>
        <w:t>系统数量满足医院使用需求。</w:t>
      </w:r>
    </w:p>
    <w:p w14:paraId="1D6952B0">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A877B05">
      <w:pPr>
        <w:pStyle w:val="341"/>
        <w:spacing w:beforeLines="0"/>
        <w:ind w:firstLine="482"/>
        <w:rPr>
          <w:rFonts w:hint="eastAsia" w:ascii="宋体" w:hAnsi="宋体" w:cs="仿宋"/>
          <w:b/>
          <w:bCs/>
          <w:color w:val="auto"/>
          <w:sz w:val="24"/>
          <w:szCs w:val="24"/>
        </w:rPr>
      </w:pPr>
      <w:bookmarkStart w:id="284" w:name="_Toc106373119"/>
      <w:r>
        <w:rPr>
          <w:rFonts w:hint="eastAsia" w:ascii="宋体" w:hAnsi="宋体" w:cs="仿宋"/>
          <w:b/>
          <w:bCs/>
          <w:color w:val="auto"/>
          <w:sz w:val="24"/>
          <w:szCs w:val="24"/>
        </w:rPr>
        <w:t>预约登记</w:t>
      </w:r>
      <w:bookmarkEnd w:id="284"/>
    </w:p>
    <w:p w14:paraId="080AF59C">
      <w:pPr>
        <w:pStyle w:val="94"/>
        <w:numPr>
          <w:ilvl w:val="0"/>
          <w:numId w:val="135"/>
        </w:numPr>
        <w:ind w:left="0" w:firstLine="480"/>
        <w:rPr>
          <w:color w:val="auto"/>
          <w:sz w:val="24"/>
        </w:rPr>
      </w:pPr>
      <w:bookmarkStart w:id="285" w:name="_Toc106373120"/>
      <w:r>
        <w:rPr>
          <w:color w:val="auto"/>
          <w:sz w:val="24"/>
        </w:rPr>
        <w:t>支持预约登记</w:t>
      </w:r>
      <w:r>
        <w:rPr>
          <w:rFonts w:hint="eastAsia"/>
          <w:color w:val="auto"/>
          <w:sz w:val="24"/>
        </w:rPr>
        <w:t>/取消</w:t>
      </w:r>
      <w:r>
        <w:rPr>
          <w:color w:val="auto"/>
          <w:sz w:val="24"/>
        </w:rPr>
        <w:t>功能、并支持短信提醒。</w:t>
      </w:r>
    </w:p>
    <w:p w14:paraId="042CFF75">
      <w:pPr>
        <w:pStyle w:val="94"/>
        <w:numPr>
          <w:ilvl w:val="0"/>
          <w:numId w:val="135"/>
        </w:numPr>
        <w:ind w:left="0" w:firstLine="480"/>
        <w:rPr>
          <w:color w:val="auto"/>
          <w:sz w:val="24"/>
        </w:rPr>
      </w:pPr>
      <w:r>
        <w:rPr>
          <w:color w:val="auto"/>
          <w:sz w:val="24"/>
        </w:rPr>
        <w:t>支持根据检查类型、检查部位、检查方法等规则进行分诊。</w:t>
      </w:r>
    </w:p>
    <w:p w14:paraId="4ADAFD3B">
      <w:pPr>
        <w:pStyle w:val="94"/>
        <w:numPr>
          <w:ilvl w:val="0"/>
          <w:numId w:val="135"/>
        </w:numPr>
        <w:ind w:left="0" w:firstLine="480"/>
        <w:rPr>
          <w:color w:val="auto"/>
          <w:sz w:val="24"/>
        </w:rPr>
      </w:pPr>
      <w:r>
        <w:rPr>
          <w:color w:val="auto"/>
          <w:sz w:val="24"/>
        </w:rPr>
        <w:t>支持</w:t>
      </w:r>
      <w:r>
        <w:rPr>
          <w:rFonts w:hint="eastAsia"/>
          <w:color w:val="auto"/>
          <w:sz w:val="24"/>
        </w:rPr>
        <w:t>检查单打印，可打印条码</w:t>
      </w:r>
      <w:r>
        <w:rPr>
          <w:color w:val="auto"/>
          <w:sz w:val="24"/>
        </w:rPr>
        <w:t>。</w:t>
      </w:r>
    </w:p>
    <w:p w14:paraId="0C68F8F8">
      <w:pPr>
        <w:pStyle w:val="94"/>
        <w:numPr>
          <w:ilvl w:val="0"/>
          <w:numId w:val="135"/>
        </w:numPr>
        <w:ind w:left="0" w:firstLine="480"/>
        <w:rPr>
          <w:color w:val="auto"/>
          <w:sz w:val="24"/>
        </w:rPr>
      </w:pPr>
      <w:r>
        <w:rPr>
          <w:rFonts w:hint="eastAsia"/>
          <w:color w:val="auto"/>
          <w:sz w:val="24"/>
        </w:rPr>
        <w:t>支持</w:t>
      </w:r>
      <w:r>
        <w:rPr>
          <w:color w:val="auto"/>
          <w:sz w:val="24"/>
        </w:rPr>
        <w:t>科室预约，</w:t>
      </w:r>
      <w:r>
        <w:rPr>
          <w:rFonts w:hint="eastAsia"/>
          <w:color w:val="auto"/>
          <w:sz w:val="24"/>
        </w:rPr>
        <w:t>由临床科室直接预约，获取门急诊、病区电子申请单。</w:t>
      </w:r>
    </w:p>
    <w:p w14:paraId="504F846B">
      <w:pPr>
        <w:pStyle w:val="94"/>
        <w:numPr>
          <w:ilvl w:val="0"/>
          <w:numId w:val="135"/>
        </w:numPr>
        <w:ind w:left="0" w:firstLine="480"/>
        <w:rPr>
          <w:color w:val="auto"/>
          <w:sz w:val="24"/>
        </w:rPr>
      </w:pPr>
      <w:r>
        <w:rPr>
          <w:rFonts w:hint="eastAsia"/>
          <w:color w:val="auto"/>
          <w:sz w:val="24"/>
        </w:rPr>
        <w:t>支持多个检查项目合并登记。</w:t>
      </w:r>
    </w:p>
    <w:p w14:paraId="2C92EE35">
      <w:pPr>
        <w:pStyle w:val="94"/>
        <w:numPr>
          <w:ilvl w:val="0"/>
          <w:numId w:val="135"/>
        </w:numPr>
        <w:ind w:left="0" w:firstLine="480"/>
        <w:rPr>
          <w:color w:val="auto"/>
          <w:sz w:val="24"/>
        </w:rPr>
      </w:pPr>
      <w:r>
        <w:rPr>
          <w:color w:val="auto"/>
          <w:sz w:val="24"/>
        </w:rPr>
        <w:t>支持读取医保卡、身份证、电子健康码等多种方式获取患者基本信息。</w:t>
      </w:r>
    </w:p>
    <w:p w14:paraId="23F63B3A">
      <w:pPr>
        <w:pStyle w:val="94"/>
        <w:numPr>
          <w:ilvl w:val="0"/>
          <w:numId w:val="135"/>
        </w:numPr>
        <w:ind w:left="0" w:firstLine="480"/>
        <w:rPr>
          <w:color w:val="auto"/>
          <w:sz w:val="24"/>
        </w:rPr>
      </w:pPr>
      <w:r>
        <w:rPr>
          <w:color w:val="auto"/>
          <w:sz w:val="24"/>
        </w:rPr>
        <w:t>支持检查的确认、取消和改变。</w:t>
      </w:r>
    </w:p>
    <w:p w14:paraId="4FA0F7F8">
      <w:pPr>
        <w:pStyle w:val="94"/>
        <w:numPr>
          <w:ilvl w:val="0"/>
          <w:numId w:val="135"/>
        </w:numPr>
        <w:ind w:left="0" w:firstLine="480"/>
        <w:rPr>
          <w:color w:val="auto"/>
          <w:sz w:val="24"/>
        </w:rPr>
      </w:pPr>
      <w:r>
        <w:rPr>
          <w:color w:val="auto"/>
          <w:sz w:val="24"/>
        </w:rPr>
        <w:t>支持显示和查询病人检查状态。</w:t>
      </w:r>
    </w:p>
    <w:p w14:paraId="0B2D3028">
      <w:pPr>
        <w:pStyle w:val="94"/>
        <w:numPr>
          <w:ilvl w:val="0"/>
          <w:numId w:val="135"/>
        </w:numPr>
        <w:ind w:left="0" w:firstLine="480"/>
        <w:rPr>
          <w:color w:val="auto"/>
          <w:sz w:val="24"/>
        </w:rPr>
      </w:pPr>
      <w:r>
        <w:rPr>
          <w:color w:val="auto"/>
          <w:sz w:val="24"/>
        </w:rPr>
        <w:t>支持当前患者的基本信息、检查信息、收费信息等，进行确认并修改。</w:t>
      </w:r>
    </w:p>
    <w:p w14:paraId="7704146F">
      <w:pPr>
        <w:pStyle w:val="94"/>
        <w:numPr>
          <w:ilvl w:val="0"/>
          <w:numId w:val="135"/>
        </w:numPr>
        <w:ind w:left="0" w:firstLine="480"/>
        <w:rPr>
          <w:color w:val="auto"/>
          <w:sz w:val="24"/>
        </w:rPr>
      </w:pPr>
      <w:r>
        <w:rPr>
          <w:color w:val="auto"/>
          <w:sz w:val="24"/>
        </w:rPr>
        <w:t>支持三无人员绿色通道登记。</w:t>
      </w:r>
    </w:p>
    <w:p w14:paraId="7810F328">
      <w:pPr>
        <w:pStyle w:val="94"/>
        <w:numPr>
          <w:ilvl w:val="0"/>
          <w:numId w:val="135"/>
        </w:numPr>
        <w:ind w:left="0" w:firstLine="480"/>
        <w:rPr>
          <w:color w:val="auto"/>
          <w:sz w:val="24"/>
        </w:rPr>
      </w:pPr>
      <w:r>
        <w:rPr>
          <w:rFonts w:hint="eastAsia"/>
          <w:color w:val="auto"/>
          <w:sz w:val="24"/>
        </w:rPr>
        <w:t>支持未缴费申请单走绿色通道登记。</w:t>
      </w:r>
    </w:p>
    <w:p w14:paraId="541540ED">
      <w:pPr>
        <w:pStyle w:val="94"/>
        <w:numPr>
          <w:ilvl w:val="0"/>
          <w:numId w:val="135"/>
        </w:numPr>
        <w:ind w:left="0" w:firstLine="480"/>
        <w:rPr>
          <w:color w:val="auto"/>
          <w:sz w:val="24"/>
        </w:rPr>
      </w:pPr>
      <w:r>
        <w:rPr>
          <w:color w:val="auto"/>
          <w:sz w:val="24"/>
        </w:rPr>
        <w:t>支持影像叫号</w:t>
      </w:r>
      <w:r>
        <w:rPr>
          <w:rFonts w:hint="eastAsia"/>
          <w:color w:val="auto"/>
          <w:sz w:val="24"/>
        </w:rPr>
        <w:t>及撤销叫号。</w:t>
      </w:r>
    </w:p>
    <w:p w14:paraId="5955FE96">
      <w:pPr>
        <w:pStyle w:val="94"/>
        <w:numPr>
          <w:ilvl w:val="0"/>
          <w:numId w:val="135"/>
        </w:numPr>
        <w:ind w:left="0" w:firstLine="480"/>
        <w:rPr>
          <w:color w:val="auto"/>
          <w:sz w:val="24"/>
        </w:rPr>
      </w:pPr>
      <w:r>
        <w:rPr>
          <w:color w:val="auto"/>
          <w:sz w:val="24"/>
        </w:rPr>
        <w:t>支持根据检查日期</w:t>
      </w:r>
      <w:r>
        <w:rPr>
          <w:rFonts w:hint="eastAsia"/>
          <w:color w:val="auto"/>
          <w:sz w:val="24"/>
        </w:rPr>
        <w:t>、</w:t>
      </w:r>
      <w:r>
        <w:rPr>
          <w:color w:val="auto"/>
          <w:sz w:val="24"/>
        </w:rPr>
        <w:t>设备类型</w:t>
      </w:r>
      <w:r>
        <w:rPr>
          <w:rFonts w:hint="eastAsia"/>
          <w:color w:val="auto"/>
          <w:sz w:val="24"/>
        </w:rPr>
        <w:t>、</w:t>
      </w:r>
      <w:r>
        <w:rPr>
          <w:color w:val="auto"/>
          <w:sz w:val="24"/>
        </w:rPr>
        <w:t>患者类型</w:t>
      </w:r>
      <w:r>
        <w:rPr>
          <w:rFonts w:hint="eastAsia"/>
          <w:color w:val="auto"/>
          <w:sz w:val="24"/>
        </w:rPr>
        <w:t>、</w:t>
      </w:r>
      <w:r>
        <w:rPr>
          <w:color w:val="auto"/>
          <w:sz w:val="24"/>
        </w:rPr>
        <w:t>缴费状态等信息进行检查缴费查询</w:t>
      </w:r>
      <w:r>
        <w:rPr>
          <w:rFonts w:hint="eastAsia"/>
          <w:color w:val="auto"/>
          <w:sz w:val="24"/>
        </w:rPr>
        <w:t>。</w:t>
      </w:r>
    </w:p>
    <w:p w14:paraId="6D26117D">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图像管理</w:t>
      </w:r>
      <w:bookmarkEnd w:id="285"/>
    </w:p>
    <w:p w14:paraId="590064DF">
      <w:pPr>
        <w:pStyle w:val="94"/>
        <w:numPr>
          <w:ilvl w:val="0"/>
          <w:numId w:val="136"/>
        </w:numPr>
        <w:ind w:left="0" w:firstLine="480"/>
        <w:rPr>
          <w:color w:val="auto"/>
          <w:sz w:val="24"/>
        </w:rPr>
      </w:pPr>
      <w:r>
        <w:rPr>
          <w:color w:val="auto"/>
          <w:sz w:val="24"/>
        </w:rPr>
        <w:t>支持各类DICOM类设备，如CT、核磁、DR、乳腺仪、C臂等。</w:t>
      </w:r>
    </w:p>
    <w:p w14:paraId="54E3A1D8">
      <w:pPr>
        <w:pStyle w:val="94"/>
        <w:numPr>
          <w:ilvl w:val="0"/>
          <w:numId w:val="136"/>
        </w:numPr>
        <w:ind w:left="0" w:firstLine="480"/>
        <w:rPr>
          <w:color w:val="auto"/>
          <w:sz w:val="24"/>
        </w:rPr>
      </w:pPr>
      <w:r>
        <w:rPr>
          <w:color w:val="auto"/>
          <w:sz w:val="24"/>
        </w:rPr>
        <w:t>支持多类DICOM服务。</w:t>
      </w:r>
    </w:p>
    <w:p w14:paraId="3F862B20">
      <w:pPr>
        <w:pStyle w:val="94"/>
        <w:numPr>
          <w:ilvl w:val="0"/>
          <w:numId w:val="136"/>
        </w:numPr>
        <w:ind w:left="0" w:firstLine="480"/>
        <w:rPr>
          <w:color w:val="auto"/>
          <w:sz w:val="24"/>
        </w:rPr>
      </w:pPr>
      <w:r>
        <w:rPr>
          <w:rFonts w:hint="eastAsia"/>
          <w:color w:val="auto"/>
          <w:sz w:val="24"/>
        </w:rPr>
        <w:t>支持重拍、补拍及紧急拍片</w:t>
      </w:r>
      <w:r>
        <w:rPr>
          <w:color w:val="auto"/>
          <w:sz w:val="24"/>
        </w:rPr>
        <w:t>。</w:t>
      </w:r>
    </w:p>
    <w:p w14:paraId="61BB4603">
      <w:pPr>
        <w:pStyle w:val="94"/>
        <w:numPr>
          <w:ilvl w:val="0"/>
          <w:numId w:val="136"/>
        </w:numPr>
        <w:ind w:left="0" w:firstLine="480"/>
        <w:rPr>
          <w:color w:val="auto"/>
          <w:sz w:val="24"/>
        </w:rPr>
      </w:pPr>
      <w:r>
        <w:rPr>
          <w:color w:val="auto"/>
          <w:sz w:val="24"/>
        </w:rPr>
        <w:t>支持影像分级存储，解决</w:t>
      </w:r>
      <w:r>
        <w:rPr>
          <w:rFonts w:hint="eastAsia"/>
          <w:color w:val="auto"/>
          <w:sz w:val="24"/>
          <w:lang w:val="en-US" w:eastAsia="zh-CN"/>
        </w:rPr>
        <w:t>医院院内</w:t>
      </w:r>
      <w:r>
        <w:rPr>
          <w:rFonts w:hint="eastAsia"/>
          <w:color w:val="auto"/>
          <w:sz w:val="24"/>
        </w:rPr>
        <w:t>网络瓶颈。</w:t>
      </w:r>
    </w:p>
    <w:p w14:paraId="6268A4F1">
      <w:pPr>
        <w:pStyle w:val="94"/>
        <w:numPr>
          <w:ilvl w:val="0"/>
          <w:numId w:val="136"/>
        </w:numPr>
        <w:ind w:left="0" w:firstLine="480"/>
        <w:rPr>
          <w:color w:val="auto"/>
          <w:sz w:val="24"/>
        </w:rPr>
      </w:pPr>
      <w:r>
        <w:rPr>
          <w:color w:val="auto"/>
          <w:sz w:val="24"/>
        </w:rPr>
        <w:t>支持数据接收功能，接收、获取影像设备的DICOM3.0和非DICOM3.0格式的影像数据。</w:t>
      </w:r>
    </w:p>
    <w:p w14:paraId="079F8831">
      <w:pPr>
        <w:pStyle w:val="94"/>
        <w:numPr>
          <w:ilvl w:val="0"/>
          <w:numId w:val="136"/>
        </w:numPr>
        <w:ind w:left="0" w:firstLine="480"/>
        <w:rPr>
          <w:color w:val="auto"/>
          <w:sz w:val="24"/>
        </w:rPr>
      </w:pPr>
      <w:r>
        <w:rPr>
          <w:color w:val="auto"/>
          <w:sz w:val="24"/>
        </w:rPr>
        <w:t>提供自定义显示图像的相关信息，如姓名、年龄、设备型号等参数。</w:t>
      </w:r>
    </w:p>
    <w:p w14:paraId="2F85BF3A">
      <w:pPr>
        <w:pStyle w:val="94"/>
        <w:numPr>
          <w:ilvl w:val="0"/>
          <w:numId w:val="136"/>
        </w:numPr>
        <w:ind w:left="0" w:firstLine="480"/>
        <w:rPr>
          <w:color w:val="auto"/>
          <w:sz w:val="24"/>
        </w:rPr>
      </w:pPr>
      <w:r>
        <w:rPr>
          <w:color w:val="auto"/>
          <w:sz w:val="24"/>
        </w:rPr>
        <w:t>提供缩放、移动、镜像、反相、旋转、滤波、锐化、伪彩、播放、窗宽窗位调节等图像处理功能。</w:t>
      </w:r>
    </w:p>
    <w:p w14:paraId="265A180B">
      <w:pPr>
        <w:pStyle w:val="94"/>
        <w:numPr>
          <w:ilvl w:val="0"/>
          <w:numId w:val="136"/>
        </w:numPr>
        <w:ind w:left="0" w:firstLine="480"/>
        <w:rPr>
          <w:color w:val="auto"/>
          <w:sz w:val="24"/>
        </w:rPr>
      </w:pPr>
      <w:r>
        <w:rPr>
          <w:color w:val="auto"/>
          <w:sz w:val="24"/>
        </w:rPr>
        <w:t>提供ROI值、长度、角度、面积等数据的测量；以及标注、注释等测量、标注功能。</w:t>
      </w:r>
    </w:p>
    <w:p w14:paraId="70D7F0FA">
      <w:pPr>
        <w:pStyle w:val="94"/>
        <w:numPr>
          <w:ilvl w:val="0"/>
          <w:numId w:val="136"/>
        </w:numPr>
        <w:ind w:left="0" w:firstLine="480"/>
        <w:rPr>
          <w:color w:val="auto"/>
          <w:sz w:val="24"/>
        </w:rPr>
      </w:pPr>
      <w:r>
        <w:rPr>
          <w:color w:val="auto"/>
          <w:sz w:val="24"/>
        </w:rPr>
        <w:t>支持JPG、BMP等多种格式存储，以及转化成DICOM3.0格式功能；</w:t>
      </w:r>
    </w:p>
    <w:p w14:paraId="71141D56">
      <w:pPr>
        <w:pStyle w:val="94"/>
        <w:numPr>
          <w:ilvl w:val="0"/>
          <w:numId w:val="136"/>
        </w:numPr>
        <w:ind w:left="0" w:firstLine="480"/>
        <w:rPr>
          <w:color w:val="auto"/>
          <w:sz w:val="24"/>
        </w:rPr>
      </w:pPr>
      <w:r>
        <w:rPr>
          <w:color w:val="auto"/>
          <w:sz w:val="24"/>
        </w:rPr>
        <w:t>支持设备间影像的传递，提供同时调阅病人不同时期、不同影像设备的影像及报告功能。</w:t>
      </w:r>
    </w:p>
    <w:p w14:paraId="690FBD08">
      <w:pPr>
        <w:pStyle w:val="94"/>
        <w:numPr>
          <w:ilvl w:val="0"/>
          <w:numId w:val="136"/>
        </w:numPr>
        <w:ind w:left="0" w:firstLine="480"/>
        <w:rPr>
          <w:color w:val="auto"/>
          <w:sz w:val="24"/>
        </w:rPr>
      </w:pPr>
      <w:r>
        <w:rPr>
          <w:color w:val="auto"/>
          <w:sz w:val="24"/>
        </w:rPr>
        <w:t>支持DICOM3.0的打印输出，支持海量数据存储、迁移管理。</w:t>
      </w:r>
    </w:p>
    <w:p w14:paraId="51DD2FBF">
      <w:pPr>
        <w:pStyle w:val="94"/>
        <w:numPr>
          <w:ilvl w:val="0"/>
          <w:numId w:val="136"/>
        </w:numPr>
        <w:ind w:left="0" w:firstLine="480"/>
        <w:rPr>
          <w:color w:val="auto"/>
          <w:sz w:val="24"/>
        </w:rPr>
      </w:pPr>
      <w:r>
        <w:rPr>
          <w:color w:val="auto"/>
          <w:sz w:val="24"/>
        </w:rPr>
        <w:t>支持不同设备图像对比功能。</w:t>
      </w:r>
    </w:p>
    <w:p w14:paraId="684CC822">
      <w:pPr>
        <w:pStyle w:val="94"/>
        <w:numPr>
          <w:ilvl w:val="0"/>
          <w:numId w:val="136"/>
        </w:numPr>
        <w:ind w:left="0" w:firstLine="480"/>
        <w:rPr>
          <w:color w:val="auto"/>
          <w:sz w:val="24"/>
        </w:rPr>
      </w:pPr>
      <w:r>
        <w:rPr>
          <w:color w:val="auto"/>
          <w:sz w:val="24"/>
        </w:rPr>
        <w:t>支持同一病人不同时间的图像对比。</w:t>
      </w:r>
    </w:p>
    <w:p w14:paraId="6F88EB6A">
      <w:pPr>
        <w:pStyle w:val="94"/>
        <w:numPr>
          <w:ilvl w:val="0"/>
          <w:numId w:val="136"/>
        </w:numPr>
        <w:ind w:left="0" w:firstLine="480"/>
        <w:rPr>
          <w:color w:val="auto"/>
          <w:sz w:val="24"/>
        </w:rPr>
      </w:pPr>
      <w:r>
        <w:rPr>
          <w:color w:val="auto"/>
          <w:sz w:val="24"/>
        </w:rPr>
        <w:t>支持不同患者的图像对比。</w:t>
      </w:r>
    </w:p>
    <w:p w14:paraId="76BC3395">
      <w:pPr>
        <w:pStyle w:val="94"/>
        <w:numPr>
          <w:ilvl w:val="0"/>
          <w:numId w:val="136"/>
        </w:numPr>
        <w:ind w:left="0" w:firstLine="480"/>
        <w:rPr>
          <w:color w:val="auto"/>
          <w:sz w:val="24"/>
        </w:rPr>
      </w:pPr>
      <w:r>
        <w:rPr>
          <w:color w:val="auto"/>
          <w:sz w:val="24"/>
        </w:rPr>
        <w:t>支持同一检查序列、不同窗位对比。</w:t>
      </w:r>
    </w:p>
    <w:p w14:paraId="36D79813">
      <w:pPr>
        <w:pStyle w:val="94"/>
        <w:numPr>
          <w:ilvl w:val="0"/>
          <w:numId w:val="136"/>
        </w:numPr>
        <w:ind w:left="0" w:firstLine="480"/>
        <w:rPr>
          <w:color w:val="auto"/>
          <w:sz w:val="24"/>
        </w:rPr>
      </w:pPr>
      <w:r>
        <w:rPr>
          <w:color w:val="auto"/>
          <w:sz w:val="24"/>
        </w:rPr>
        <w:t>支持导入导出</w:t>
      </w:r>
      <w:r>
        <w:rPr>
          <w:rFonts w:hint="eastAsia"/>
          <w:color w:val="auto"/>
          <w:sz w:val="24"/>
        </w:rPr>
        <w:t>D</w:t>
      </w:r>
      <w:r>
        <w:rPr>
          <w:color w:val="auto"/>
          <w:sz w:val="24"/>
        </w:rPr>
        <w:t>ICOM图像功能，并提供导入后图像对比功能。</w:t>
      </w:r>
    </w:p>
    <w:p w14:paraId="253C8EEA">
      <w:pPr>
        <w:pStyle w:val="94"/>
        <w:numPr>
          <w:ilvl w:val="0"/>
          <w:numId w:val="136"/>
        </w:numPr>
        <w:ind w:left="0" w:firstLine="480"/>
        <w:rPr>
          <w:color w:val="auto"/>
          <w:sz w:val="24"/>
        </w:rPr>
      </w:pPr>
      <w:r>
        <w:rPr>
          <w:color w:val="auto"/>
          <w:sz w:val="24"/>
        </w:rPr>
        <w:t>支持图像手工关联、取消关联功能。</w:t>
      </w:r>
    </w:p>
    <w:p w14:paraId="65258B35">
      <w:pPr>
        <w:pStyle w:val="94"/>
        <w:numPr>
          <w:ilvl w:val="0"/>
          <w:numId w:val="136"/>
        </w:numPr>
        <w:ind w:left="0" w:firstLine="480"/>
        <w:rPr>
          <w:color w:val="auto"/>
          <w:sz w:val="24"/>
        </w:rPr>
      </w:pPr>
      <w:r>
        <w:rPr>
          <w:color w:val="auto"/>
          <w:sz w:val="24"/>
        </w:rPr>
        <w:t>支持集成</w:t>
      </w:r>
      <w:r>
        <w:rPr>
          <w:rFonts w:hint="eastAsia"/>
          <w:color w:val="auto"/>
          <w:sz w:val="24"/>
        </w:rPr>
        <w:t>A</w:t>
      </w:r>
      <w:r>
        <w:rPr>
          <w:color w:val="auto"/>
          <w:sz w:val="24"/>
        </w:rPr>
        <w:t>I处理结果展示。</w:t>
      </w:r>
    </w:p>
    <w:p w14:paraId="1086B8DB">
      <w:pPr>
        <w:pStyle w:val="94"/>
        <w:numPr>
          <w:ilvl w:val="0"/>
          <w:numId w:val="136"/>
        </w:numPr>
        <w:ind w:left="0" w:firstLine="480"/>
        <w:rPr>
          <w:color w:val="auto"/>
          <w:sz w:val="24"/>
        </w:rPr>
      </w:pPr>
      <w:r>
        <w:rPr>
          <w:color w:val="auto"/>
          <w:sz w:val="24"/>
        </w:rPr>
        <w:t>支持用户自定义窗宽窗位值、显示文字的大小、放大镜的放大比例等系统参数设置功能。</w:t>
      </w:r>
    </w:p>
    <w:p w14:paraId="36CE54F8">
      <w:pPr>
        <w:pStyle w:val="94"/>
        <w:numPr>
          <w:ilvl w:val="0"/>
          <w:numId w:val="136"/>
        </w:numPr>
        <w:ind w:left="0" w:firstLine="480"/>
        <w:rPr>
          <w:color w:val="auto"/>
          <w:sz w:val="24"/>
        </w:rPr>
      </w:pPr>
      <w:r>
        <w:rPr>
          <w:color w:val="auto"/>
          <w:sz w:val="24"/>
        </w:rPr>
        <w:t>提供三维重建（如</w:t>
      </w:r>
      <w:r>
        <w:rPr>
          <w:rFonts w:hint="eastAsia"/>
          <w:color w:val="auto"/>
          <w:sz w:val="24"/>
        </w:rPr>
        <w:t>M</w:t>
      </w:r>
      <w:r>
        <w:rPr>
          <w:color w:val="auto"/>
          <w:sz w:val="24"/>
        </w:rPr>
        <w:t>PR、VR）功能。</w:t>
      </w:r>
    </w:p>
    <w:p w14:paraId="55F29102">
      <w:pPr>
        <w:pStyle w:val="94"/>
        <w:numPr>
          <w:ilvl w:val="0"/>
          <w:numId w:val="136"/>
        </w:numPr>
        <w:ind w:left="0" w:firstLine="480"/>
        <w:rPr>
          <w:color w:val="auto"/>
          <w:sz w:val="24"/>
        </w:rPr>
      </w:pPr>
      <w:r>
        <w:rPr>
          <w:color w:val="auto"/>
          <w:sz w:val="24"/>
        </w:rPr>
        <w:t>支持图像处理操作快捷键自定义设置。</w:t>
      </w:r>
    </w:p>
    <w:p w14:paraId="0A9E6251">
      <w:pPr>
        <w:pStyle w:val="94"/>
        <w:numPr>
          <w:ilvl w:val="0"/>
          <w:numId w:val="136"/>
        </w:numPr>
        <w:ind w:left="0" w:firstLine="480"/>
        <w:rPr>
          <w:color w:val="auto"/>
          <w:sz w:val="24"/>
        </w:rPr>
      </w:pPr>
      <w:r>
        <w:rPr>
          <w:color w:val="auto"/>
          <w:sz w:val="24"/>
        </w:rPr>
        <w:t>提供图像处理右键菜单根据使用频率自动排序功能。</w:t>
      </w:r>
    </w:p>
    <w:p w14:paraId="61F9673F">
      <w:pPr>
        <w:pStyle w:val="94"/>
        <w:numPr>
          <w:ilvl w:val="0"/>
          <w:numId w:val="136"/>
        </w:numPr>
        <w:ind w:left="0" w:firstLine="480"/>
        <w:rPr>
          <w:color w:val="auto"/>
          <w:sz w:val="24"/>
        </w:rPr>
      </w:pPr>
      <w:r>
        <w:rPr>
          <w:color w:val="auto"/>
          <w:sz w:val="24"/>
        </w:rPr>
        <w:t>支持图像处理结果快照功能，供临床医生参考。</w:t>
      </w:r>
    </w:p>
    <w:p w14:paraId="7CDA6B93">
      <w:pPr>
        <w:pStyle w:val="94"/>
        <w:numPr>
          <w:ilvl w:val="0"/>
          <w:numId w:val="136"/>
        </w:numPr>
        <w:ind w:left="0" w:firstLine="480"/>
        <w:rPr>
          <w:color w:val="auto"/>
          <w:sz w:val="24"/>
        </w:rPr>
      </w:pPr>
      <w:r>
        <w:rPr>
          <w:color w:val="auto"/>
          <w:sz w:val="24"/>
        </w:rPr>
        <w:t>支持图像处理撤销、重做功能。</w:t>
      </w:r>
    </w:p>
    <w:p w14:paraId="79F95A04">
      <w:pPr>
        <w:pStyle w:val="94"/>
        <w:numPr>
          <w:ilvl w:val="0"/>
          <w:numId w:val="136"/>
        </w:numPr>
        <w:ind w:left="0" w:firstLine="480"/>
        <w:rPr>
          <w:color w:val="auto"/>
          <w:sz w:val="24"/>
        </w:rPr>
      </w:pPr>
      <w:r>
        <w:rPr>
          <w:color w:val="auto"/>
          <w:sz w:val="24"/>
        </w:rPr>
        <w:t>支持用户方便灵活的定义模板，提高报告生成速度。</w:t>
      </w:r>
    </w:p>
    <w:p w14:paraId="1459130E">
      <w:pPr>
        <w:pStyle w:val="94"/>
        <w:numPr>
          <w:ilvl w:val="0"/>
          <w:numId w:val="136"/>
        </w:numPr>
        <w:ind w:left="0" w:firstLine="480"/>
        <w:rPr>
          <w:color w:val="auto"/>
          <w:sz w:val="24"/>
        </w:rPr>
      </w:pPr>
      <w:r>
        <w:rPr>
          <w:color w:val="auto"/>
          <w:sz w:val="24"/>
        </w:rPr>
        <w:t>支持将报告内容一键存为模板。</w:t>
      </w:r>
    </w:p>
    <w:p w14:paraId="2B4DBF90">
      <w:pPr>
        <w:pStyle w:val="94"/>
        <w:numPr>
          <w:ilvl w:val="0"/>
          <w:numId w:val="136"/>
        </w:numPr>
        <w:ind w:left="0" w:firstLine="480"/>
        <w:rPr>
          <w:color w:val="auto"/>
          <w:sz w:val="24"/>
        </w:rPr>
      </w:pPr>
      <w:r>
        <w:rPr>
          <w:color w:val="auto"/>
          <w:sz w:val="24"/>
        </w:rPr>
        <w:t>提供结构化报告模板，专业词汇和默认项，书写报告方便快捷。</w:t>
      </w:r>
    </w:p>
    <w:p w14:paraId="677D729E">
      <w:pPr>
        <w:pStyle w:val="94"/>
        <w:numPr>
          <w:ilvl w:val="0"/>
          <w:numId w:val="136"/>
        </w:numPr>
        <w:ind w:left="0" w:firstLine="480"/>
        <w:rPr>
          <w:color w:val="auto"/>
          <w:sz w:val="24"/>
        </w:rPr>
      </w:pPr>
      <w:r>
        <w:rPr>
          <w:color w:val="auto"/>
          <w:sz w:val="24"/>
        </w:rPr>
        <w:t>支持按照检查部位自动搜索诊断模板。</w:t>
      </w:r>
    </w:p>
    <w:p w14:paraId="696C5DF4">
      <w:pPr>
        <w:pStyle w:val="94"/>
        <w:numPr>
          <w:ilvl w:val="0"/>
          <w:numId w:val="136"/>
        </w:numPr>
        <w:ind w:left="0" w:firstLine="480"/>
        <w:rPr>
          <w:color w:val="auto"/>
          <w:sz w:val="24"/>
        </w:rPr>
      </w:pPr>
      <w:r>
        <w:rPr>
          <w:color w:val="auto"/>
          <w:sz w:val="24"/>
        </w:rPr>
        <w:t>支持报告审核修订版本痕迹对比功能。</w:t>
      </w:r>
    </w:p>
    <w:p w14:paraId="7AE59573">
      <w:pPr>
        <w:pStyle w:val="94"/>
        <w:numPr>
          <w:ilvl w:val="0"/>
          <w:numId w:val="136"/>
        </w:numPr>
        <w:ind w:left="0" w:firstLine="480"/>
        <w:rPr>
          <w:color w:val="auto"/>
          <w:sz w:val="24"/>
        </w:rPr>
      </w:pPr>
      <w:r>
        <w:rPr>
          <w:color w:val="auto"/>
          <w:sz w:val="24"/>
        </w:rPr>
        <w:t>报告书写时，支持该患者其他检查报告、历史检查报告对比，查看患者诊疗信息，如病历、医嘱、检验结果等。</w:t>
      </w:r>
    </w:p>
    <w:p w14:paraId="7AE2211A">
      <w:pPr>
        <w:pStyle w:val="94"/>
        <w:numPr>
          <w:ilvl w:val="0"/>
          <w:numId w:val="136"/>
        </w:numPr>
        <w:ind w:left="0" w:firstLine="480"/>
        <w:rPr>
          <w:color w:val="auto"/>
          <w:sz w:val="24"/>
        </w:rPr>
      </w:pPr>
      <w:r>
        <w:rPr>
          <w:color w:val="auto"/>
          <w:sz w:val="24"/>
        </w:rPr>
        <w:t>支持检查多报告功能。</w:t>
      </w:r>
    </w:p>
    <w:p w14:paraId="25C572D3">
      <w:pPr>
        <w:pStyle w:val="94"/>
        <w:numPr>
          <w:ilvl w:val="0"/>
          <w:numId w:val="136"/>
        </w:numPr>
        <w:ind w:left="0" w:firstLine="480"/>
        <w:rPr>
          <w:color w:val="auto"/>
          <w:sz w:val="24"/>
        </w:rPr>
      </w:pPr>
      <w:r>
        <w:rPr>
          <w:color w:val="auto"/>
          <w:sz w:val="24"/>
        </w:rPr>
        <w:t>支持报告操作日志记录，提供查询。</w:t>
      </w:r>
    </w:p>
    <w:p w14:paraId="14F736C1">
      <w:pPr>
        <w:pStyle w:val="94"/>
        <w:numPr>
          <w:ilvl w:val="0"/>
          <w:numId w:val="136"/>
        </w:numPr>
        <w:ind w:left="0" w:firstLine="480"/>
        <w:rPr>
          <w:color w:val="auto"/>
          <w:sz w:val="24"/>
        </w:rPr>
      </w:pPr>
      <w:r>
        <w:rPr>
          <w:color w:val="auto"/>
          <w:sz w:val="24"/>
        </w:rPr>
        <w:t>支持检查报告结果阴阳性标记。</w:t>
      </w:r>
    </w:p>
    <w:p w14:paraId="5BBD0674">
      <w:pPr>
        <w:pStyle w:val="94"/>
        <w:numPr>
          <w:ilvl w:val="0"/>
          <w:numId w:val="136"/>
        </w:numPr>
        <w:ind w:left="0" w:firstLine="480"/>
        <w:rPr>
          <w:color w:val="auto"/>
          <w:sz w:val="24"/>
        </w:rPr>
      </w:pPr>
      <w:r>
        <w:rPr>
          <w:color w:val="auto"/>
          <w:sz w:val="24"/>
        </w:rPr>
        <w:t>支持检查报告危急值标记，并发送到临床。</w:t>
      </w:r>
    </w:p>
    <w:p w14:paraId="54E00645">
      <w:pPr>
        <w:pStyle w:val="94"/>
        <w:numPr>
          <w:ilvl w:val="0"/>
          <w:numId w:val="136"/>
        </w:numPr>
        <w:ind w:left="0" w:firstLine="480"/>
        <w:rPr>
          <w:color w:val="auto"/>
          <w:sz w:val="24"/>
        </w:rPr>
      </w:pPr>
      <w:r>
        <w:rPr>
          <w:color w:val="auto"/>
          <w:sz w:val="24"/>
        </w:rPr>
        <w:t>支持报告书写双签，审核工作管理机制。</w:t>
      </w:r>
    </w:p>
    <w:p w14:paraId="6A4228F3">
      <w:pPr>
        <w:pStyle w:val="94"/>
        <w:numPr>
          <w:ilvl w:val="0"/>
          <w:numId w:val="136"/>
        </w:numPr>
        <w:ind w:left="0" w:firstLine="480"/>
        <w:rPr>
          <w:color w:val="auto"/>
          <w:sz w:val="24"/>
        </w:rPr>
      </w:pPr>
      <w:r>
        <w:rPr>
          <w:rFonts w:hint="eastAsia"/>
          <w:color w:val="auto"/>
          <w:sz w:val="24"/>
        </w:rPr>
        <w:t>支持影像质控功能，可以对图像报告进行分级，并可对胶片的使用进行统计查询。</w:t>
      </w:r>
    </w:p>
    <w:p w14:paraId="1806D40B">
      <w:pPr>
        <w:pStyle w:val="94"/>
        <w:numPr>
          <w:ilvl w:val="0"/>
          <w:numId w:val="136"/>
        </w:numPr>
        <w:ind w:left="0" w:firstLine="480"/>
        <w:rPr>
          <w:color w:val="auto"/>
          <w:sz w:val="24"/>
        </w:rPr>
      </w:pPr>
      <w:r>
        <w:rPr>
          <w:rFonts w:hint="eastAsia"/>
          <w:color w:val="auto"/>
          <w:sz w:val="24"/>
        </w:rPr>
        <w:t>支持胶片打印管理，保存胶片打印记录。</w:t>
      </w:r>
    </w:p>
    <w:p w14:paraId="43E5F71F">
      <w:pPr>
        <w:pStyle w:val="94"/>
        <w:numPr>
          <w:ilvl w:val="0"/>
          <w:numId w:val="136"/>
        </w:numPr>
        <w:ind w:left="0" w:firstLine="480"/>
        <w:rPr>
          <w:color w:val="auto"/>
          <w:sz w:val="24"/>
        </w:rPr>
      </w:pPr>
      <w:r>
        <w:rPr>
          <w:color w:val="auto"/>
          <w:sz w:val="24"/>
        </w:rPr>
        <w:t>支持姓名、影像号、诊断结果等多种形式的组合查询。</w:t>
      </w:r>
    </w:p>
    <w:p w14:paraId="047E7939">
      <w:pPr>
        <w:pStyle w:val="94"/>
        <w:numPr>
          <w:ilvl w:val="0"/>
          <w:numId w:val="136"/>
        </w:numPr>
        <w:ind w:left="0" w:firstLine="480"/>
        <w:rPr>
          <w:color w:val="auto"/>
          <w:sz w:val="24"/>
        </w:rPr>
      </w:pPr>
      <w:r>
        <w:rPr>
          <w:color w:val="auto"/>
          <w:sz w:val="24"/>
        </w:rPr>
        <w:t>提供查询统计功能，包含申请单查询、检查结果阴阳性统计、检查工作量统计、检查部位统计、急诊统计、危急值统计等。</w:t>
      </w:r>
    </w:p>
    <w:p w14:paraId="5FDA217A">
      <w:pPr>
        <w:pStyle w:val="94"/>
        <w:numPr>
          <w:ilvl w:val="0"/>
          <w:numId w:val="136"/>
        </w:numPr>
        <w:ind w:left="0" w:firstLine="480"/>
        <w:rPr>
          <w:color w:val="auto"/>
          <w:sz w:val="24"/>
        </w:rPr>
      </w:pPr>
      <w:r>
        <w:rPr>
          <w:color w:val="auto"/>
          <w:sz w:val="24"/>
        </w:rPr>
        <w:t>支持集成</w:t>
      </w:r>
      <w:r>
        <w:rPr>
          <w:rFonts w:hint="eastAsia"/>
          <w:color w:val="auto"/>
          <w:sz w:val="24"/>
        </w:rPr>
        <w:t>多种AI医学图像后处理功能，辅助影像医师诊断。</w:t>
      </w:r>
    </w:p>
    <w:p w14:paraId="7D1467A7">
      <w:pPr>
        <w:pStyle w:val="14"/>
        <w:bidi w:val="0"/>
        <w:rPr>
          <w:color w:val="auto"/>
        </w:rPr>
      </w:pPr>
      <w:r>
        <w:rPr>
          <w:rFonts w:hint="eastAsia"/>
          <w:color w:val="auto"/>
          <w:lang w:val="en-US" w:eastAsia="zh-CN"/>
        </w:rPr>
        <w:t xml:space="preserve"> </w:t>
      </w:r>
      <w:r>
        <w:rPr>
          <w:rFonts w:hint="eastAsia"/>
          <w:color w:val="auto"/>
        </w:rPr>
        <w:t>超声图文报告系统</w:t>
      </w:r>
    </w:p>
    <w:p w14:paraId="702C4BB3">
      <w:pPr>
        <w:bidi w:val="0"/>
        <w:rPr>
          <w:color w:val="auto"/>
        </w:rPr>
      </w:pPr>
      <w:r>
        <w:rPr>
          <w:color w:val="auto"/>
        </w:rPr>
        <w:t>集成超声设备数据采集、视频录制及结构化报告功能，支持双工检查模式与灵活模板定制，实现危急值标记、多级审核，优化超声检查流程并保障报告质量。</w:t>
      </w:r>
    </w:p>
    <w:p w14:paraId="4C141DEA">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C07E892">
      <w:pPr>
        <w:pStyle w:val="94"/>
        <w:numPr>
          <w:ilvl w:val="0"/>
          <w:numId w:val="137"/>
        </w:numPr>
        <w:ind w:left="0" w:firstLine="480"/>
        <w:rPr>
          <w:color w:val="auto"/>
          <w:sz w:val="24"/>
        </w:rPr>
      </w:pPr>
      <w:r>
        <w:rPr>
          <w:color w:val="auto"/>
          <w:sz w:val="24"/>
        </w:rPr>
        <w:t>支持超声类DICOM设备接入。</w:t>
      </w:r>
    </w:p>
    <w:p w14:paraId="2CD50E66">
      <w:pPr>
        <w:pStyle w:val="94"/>
        <w:numPr>
          <w:ilvl w:val="0"/>
          <w:numId w:val="137"/>
        </w:numPr>
        <w:ind w:left="0" w:firstLine="480"/>
        <w:rPr>
          <w:color w:val="auto"/>
          <w:sz w:val="24"/>
        </w:rPr>
      </w:pPr>
      <w:r>
        <w:rPr>
          <w:color w:val="auto"/>
          <w:sz w:val="24"/>
        </w:rPr>
        <w:t xml:space="preserve">支持BNC/S-VIDEO/RGB等多种视频接口，并可配置。 </w:t>
      </w:r>
    </w:p>
    <w:p w14:paraId="2928A63A">
      <w:pPr>
        <w:pStyle w:val="94"/>
        <w:numPr>
          <w:ilvl w:val="0"/>
          <w:numId w:val="137"/>
        </w:numPr>
        <w:ind w:left="0" w:firstLine="480"/>
        <w:rPr>
          <w:color w:val="auto"/>
          <w:sz w:val="24"/>
        </w:rPr>
      </w:pPr>
      <w:r>
        <w:rPr>
          <w:color w:val="auto"/>
          <w:sz w:val="24"/>
        </w:rPr>
        <w:t>支持调整采集卡参数；如亮度、对比度、色调、饱和度、锐利度、伽玛、白平衡、逆光补偿等；</w:t>
      </w:r>
    </w:p>
    <w:p w14:paraId="1901E692">
      <w:pPr>
        <w:pStyle w:val="94"/>
        <w:numPr>
          <w:ilvl w:val="0"/>
          <w:numId w:val="137"/>
        </w:numPr>
        <w:ind w:left="0" w:firstLine="480"/>
        <w:rPr>
          <w:color w:val="auto"/>
          <w:sz w:val="24"/>
        </w:rPr>
      </w:pPr>
      <w:r>
        <w:rPr>
          <w:color w:val="auto"/>
          <w:sz w:val="24"/>
        </w:rPr>
        <w:t xml:space="preserve">支持视频录像，允许设置压缩格式；录像时仍支持单帧图像的采集； </w:t>
      </w:r>
    </w:p>
    <w:p w14:paraId="2C3E8AEC">
      <w:pPr>
        <w:pStyle w:val="94"/>
        <w:numPr>
          <w:ilvl w:val="0"/>
          <w:numId w:val="137"/>
        </w:numPr>
        <w:ind w:left="0" w:firstLine="480"/>
        <w:rPr>
          <w:color w:val="auto"/>
          <w:sz w:val="24"/>
        </w:rPr>
      </w:pPr>
      <w:r>
        <w:rPr>
          <w:color w:val="auto"/>
          <w:sz w:val="24"/>
        </w:rPr>
        <w:t>支持声音的录制。</w:t>
      </w:r>
    </w:p>
    <w:p w14:paraId="0F510F47">
      <w:pPr>
        <w:pStyle w:val="94"/>
        <w:numPr>
          <w:ilvl w:val="0"/>
          <w:numId w:val="137"/>
        </w:numPr>
        <w:ind w:left="0" w:firstLine="480"/>
        <w:rPr>
          <w:color w:val="auto"/>
          <w:sz w:val="24"/>
        </w:rPr>
      </w:pPr>
      <w:r>
        <w:rPr>
          <w:color w:val="auto"/>
          <w:sz w:val="24"/>
        </w:rPr>
        <w:t xml:space="preserve">支持检查/诊断双工模式（即后台采图方式），以提高效率； </w:t>
      </w:r>
    </w:p>
    <w:p w14:paraId="419DF163">
      <w:pPr>
        <w:pStyle w:val="94"/>
        <w:numPr>
          <w:ilvl w:val="0"/>
          <w:numId w:val="137"/>
        </w:numPr>
        <w:ind w:left="0" w:firstLine="480"/>
        <w:rPr>
          <w:color w:val="auto"/>
          <w:sz w:val="24"/>
        </w:rPr>
      </w:pPr>
      <w:r>
        <w:rPr>
          <w:color w:val="auto"/>
          <w:sz w:val="24"/>
        </w:rPr>
        <w:t>支持按自定义的区域采集图像；</w:t>
      </w:r>
    </w:p>
    <w:p w14:paraId="07A7D3E0">
      <w:pPr>
        <w:pStyle w:val="94"/>
        <w:numPr>
          <w:ilvl w:val="0"/>
          <w:numId w:val="137"/>
        </w:numPr>
        <w:ind w:left="0" w:firstLine="480"/>
        <w:rPr>
          <w:color w:val="auto"/>
          <w:sz w:val="24"/>
        </w:rPr>
      </w:pPr>
      <w:r>
        <w:rPr>
          <w:rFonts w:hint="eastAsia"/>
          <w:color w:val="auto"/>
          <w:sz w:val="24"/>
        </w:rPr>
        <w:t>支持多种脚踏板、手柄采集图像。</w:t>
      </w:r>
    </w:p>
    <w:p w14:paraId="27AF6A6B">
      <w:pPr>
        <w:pStyle w:val="94"/>
        <w:numPr>
          <w:ilvl w:val="0"/>
          <w:numId w:val="137"/>
        </w:numPr>
        <w:ind w:left="0" w:firstLine="480"/>
        <w:rPr>
          <w:color w:val="auto"/>
          <w:sz w:val="24"/>
        </w:rPr>
      </w:pPr>
      <w:r>
        <w:rPr>
          <w:color w:val="auto"/>
          <w:sz w:val="24"/>
        </w:rPr>
        <w:t>支持采集图像时主板喇叭发声提醒。</w:t>
      </w:r>
    </w:p>
    <w:p w14:paraId="1075BB10">
      <w:pPr>
        <w:pStyle w:val="94"/>
        <w:numPr>
          <w:ilvl w:val="0"/>
          <w:numId w:val="137"/>
        </w:numPr>
        <w:ind w:left="0" w:firstLine="480"/>
        <w:rPr>
          <w:color w:val="auto"/>
          <w:sz w:val="24"/>
        </w:rPr>
      </w:pPr>
      <w:r>
        <w:rPr>
          <w:color w:val="auto"/>
          <w:sz w:val="24"/>
        </w:rPr>
        <w:t>支持断网时离线采集图像。</w:t>
      </w:r>
    </w:p>
    <w:p w14:paraId="12590DED">
      <w:pPr>
        <w:pStyle w:val="94"/>
        <w:numPr>
          <w:ilvl w:val="0"/>
          <w:numId w:val="137"/>
        </w:numPr>
        <w:ind w:left="0" w:firstLine="480"/>
        <w:rPr>
          <w:color w:val="auto"/>
          <w:sz w:val="24"/>
        </w:rPr>
      </w:pPr>
      <w:r>
        <w:rPr>
          <w:color w:val="auto"/>
          <w:sz w:val="24"/>
        </w:rPr>
        <w:t>支持采集图像实时备份。</w:t>
      </w:r>
    </w:p>
    <w:p w14:paraId="3175BE40">
      <w:pPr>
        <w:pStyle w:val="94"/>
        <w:numPr>
          <w:ilvl w:val="0"/>
          <w:numId w:val="137"/>
        </w:numPr>
        <w:ind w:left="0" w:firstLine="480"/>
        <w:rPr>
          <w:color w:val="auto"/>
          <w:sz w:val="24"/>
        </w:rPr>
      </w:pPr>
      <w:r>
        <w:rPr>
          <w:color w:val="auto"/>
          <w:sz w:val="24"/>
        </w:rPr>
        <w:t>支持接收电子申请单。</w:t>
      </w:r>
    </w:p>
    <w:p w14:paraId="0B9AC470">
      <w:pPr>
        <w:pStyle w:val="94"/>
        <w:numPr>
          <w:ilvl w:val="0"/>
          <w:numId w:val="137"/>
        </w:numPr>
        <w:ind w:left="0" w:firstLine="480"/>
        <w:rPr>
          <w:color w:val="auto"/>
          <w:sz w:val="24"/>
        </w:rPr>
      </w:pPr>
      <w:r>
        <w:rPr>
          <w:color w:val="auto"/>
          <w:sz w:val="24"/>
        </w:rPr>
        <w:t>提供工作任务列表，可按执行间显示已登记/已检查/已报告/已审核的列表，可按各类条件来进行组合查询相关的检查列表</w:t>
      </w:r>
      <w:r>
        <w:rPr>
          <w:rFonts w:hint="eastAsia"/>
          <w:color w:val="auto"/>
          <w:sz w:val="24"/>
        </w:rPr>
        <w:t>。</w:t>
      </w:r>
    </w:p>
    <w:p w14:paraId="630B6705">
      <w:pPr>
        <w:pStyle w:val="94"/>
        <w:numPr>
          <w:ilvl w:val="0"/>
          <w:numId w:val="137"/>
        </w:numPr>
        <w:ind w:left="0" w:firstLine="480"/>
        <w:rPr>
          <w:color w:val="auto"/>
          <w:sz w:val="24"/>
        </w:rPr>
      </w:pPr>
      <w:r>
        <w:rPr>
          <w:color w:val="auto"/>
          <w:sz w:val="24"/>
        </w:rPr>
        <w:t>支持报告书写一键审核打印功能。</w:t>
      </w:r>
    </w:p>
    <w:p w14:paraId="2B875119">
      <w:pPr>
        <w:pStyle w:val="94"/>
        <w:numPr>
          <w:ilvl w:val="0"/>
          <w:numId w:val="137"/>
        </w:numPr>
        <w:ind w:left="0" w:firstLine="480"/>
        <w:rPr>
          <w:color w:val="auto"/>
          <w:sz w:val="24"/>
        </w:rPr>
      </w:pPr>
      <w:r>
        <w:rPr>
          <w:color w:val="auto"/>
          <w:sz w:val="24"/>
        </w:rPr>
        <w:t>图文报告支持不同版式的报告打印格式定义及指定打印机</w:t>
      </w:r>
    </w:p>
    <w:p w14:paraId="16FCD388">
      <w:pPr>
        <w:pStyle w:val="94"/>
        <w:numPr>
          <w:ilvl w:val="0"/>
          <w:numId w:val="137"/>
        </w:numPr>
        <w:ind w:left="0" w:firstLine="480"/>
        <w:rPr>
          <w:color w:val="auto"/>
          <w:sz w:val="24"/>
        </w:rPr>
      </w:pPr>
      <w:r>
        <w:rPr>
          <w:color w:val="auto"/>
          <w:sz w:val="24"/>
        </w:rPr>
        <w:t>支持用户方便灵活的定义模板，提高报告生成速度。</w:t>
      </w:r>
    </w:p>
    <w:p w14:paraId="6F1EBE2F">
      <w:pPr>
        <w:pStyle w:val="94"/>
        <w:numPr>
          <w:ilvl w:val="0"/>
          <w:numId w:val="137"/>
        </w:numPr>
        <w:ind w:left="0" w:firstLine="480"/>
        <w:rPr>
          <w:color w:val="auto"/>
          <w:sz w:val="24"/>
        </w:rPr>
      </w:pPr>
      <w:r>
        <w:rPr>
          <w:color w:val="auto"/>
          <w:sz w:val="24"/>
        </w:rPr>
        <w:t>提供结构化报告模板，专业词汇和默认项，书写报告方便快捷。</w:t>
      </w:r>
    </w:p>
    <w:p w14:paraId="0CFBEBA0">
      <w:pPr>
        <w:pStyle w:val="94"/>
        <w:numPr>
          <w:ilvl w:val="0"/>
          <w:numId w:val="137"/>
        </w:numPr>
        <w:ind w:left="0" w:firstLine="480"/>
        <w:rPr>
          <w:color w:val="auto"/>
          <w:sz w:val="24"/>
        </w:rPr>
      </w:pPr>
      <w:r>
        <w:rPr>
          <w:color w:val="auto"/>
          <w:sz w:val="24"/>
        </w:rPr>
        <w:t>支持按照检查部位自动搜索诊断模板。</w:t>
      </w:r>
    </w:p>
    <w:p w14:paraId="3E1184AF">
      <w:pPr>
        <w:pStyle w:val="94"/>
        <w:numPr>
          <w:ilvl w:val="0"/>
          <w:numId w:val="137"/>
        </w:numPr>
        <w:ind w:left="0" w:firstLine="480"/>
        <w:rPr>
          <w:color w:val="auto"/>
          <w:sz w:val="24"/>
        </w:rPr>
      </w:pPr>
      <w:r>
        <w:rPr>
          <w:color w:val="auto"/>
          <w:sz w:val="24"/>
        </w:rPr>
        <w:t>支持报告审核修订版本痕迹对比功能。</w:t>
      </w:r>
    </w:p>
    <w:p w14:paraId="54C06E85">
      <w:pPr>
        <w:pStyle w:val="94"/>
        <w:numPr>
          <w:ilvl w:val="0"/>
          <w:numId w:val="137"/>
        </w:numPr>
        <w:ind w:left="0" w:firstLine="480"/>
        <w:rPr>
          <w:color w:val="auto"/>
          <w:sz w:val="24"/>
        </w:rPr>
      </w:pPr>
      <w:r>
        <w:rPr>
          <w:color w:val="auto"/>
          <w:sz w:val="24"/>
        </w:rPr>
        <w:t>支持报告操作日志记录，提供查询。</w:t>
      </w:r>
    </w:p>
    <w:p w14:paraId="1183DFBE">
      <w:pPr>
        <w:pStyle w:val="94"/>
        <w:numPr>
          <w:ilvl w:val="0"/>
          <w:numId w:val="137"/>
        </w:numPr>
        <w:ind w:left="0" w:firstLine="480"/>
        <w:rPr>
          <w:color w:val="auto"/>
          <w:sz w:val="24"/>
        </w:rPr>
      </w:pPr>
      <w:r>
        <w:rPr>
          <w:color w:val="auto"/>
          <w:sz w:val="24"/>
        </w:rPr>
        <w:t>支持将报告内容一键存为模板。</w:t>
      </w:r>
    </w:p>
    <w:p w14:paraId="19729F5F">
      <w:pPr>
        <w:pStyle w:val="94"/>
        <w:numPr>
          <w:ilvl w:val="0"/>
          <w:numId w:val="137"/>
        </w:numPr>
        <w:ind w:left="0" w:firstLine="480"/>
        <w:rPr>
          <w:color w:val="auto"/>
          <w:sz w:val="24"/>
        </w:rPr>
      </w:pPr>
      <w:r>
        <w:rPr>
          <w:color w:val="auto"/>
          <w:sz w:val="24"/>
        </w:rPr>
        <w:t>报告书写时，支持该患者其他检查报告、历史检查报告对比，查看患者诊疗信息，如病历、医嘱、检验结果等。</w:t>
      </w:r>
    </w:p>
    <w:p w14:paraId="01973E58">
      <w:pPr>
        <w:pStyle w:val="94"/>
        <w:numPr>
          <w:ilvl w:val="0"/>
          <w:numId w:val="137"/>
        </w:numPr>
        <w:ind w:left="0" w:firstLine="480"/>
        <w:rPr>
          <w:color w:val="auto"/>
          <w:sz w:val="24"/>
        </w:rPr>
      </w:pPr>
      <w:r>
        <w:rPr>
          <w:color w:val="auto"/>
          <w:sz w:val="24"/>
        </w:rPr>
        <w:t>支持检查多报告功能。</w:t>
      </w:r>
    </w:p>
    <w:p w14:paraId="7968624F">
      <w:pPr>
        <w:pStyle w:val="94"/>
        <w:numPr>
          <w:ilvl w:val="0"/>
          <w:numId w:val="137"/>
        </w:numPr>
        <w:ind w:left="0" w:firstLine="480"/>
        <w:rPr>
          <w:color w:val="auto"/>
          <w:sz w:val="24"/>
        </w:rPr>
      </w:pPr>
      <w:r>
        <w:rPr>
          <w:color w:val="auto"/>
          <w:sz w:val="24"/>
        </w:rPr>
        <w:t>支持检查报告结果阴阳性标记。</w:t>
      </w:r>
    </w:p>
    <w:p w14:paraId="3A2275C7">
      <w:pPr>
        <w:pStyle w:val="94"/>
        <w:numPr>
          <w:ilvl w:val="0"/>
          <w:numId w:val="137"/>
        </w:numPr>
        <w:ind w:left="0" w:firstLine="480"/>
        <w:rPr>
          <w:color w:val="auto"/>
          <w:sz w:val="24"/>
        </w:rPr>
      </w:pPr>
      <w:r>
        <w:rPr>
          <w:color w:val="auto"/>
          <w:sz w:val="24"/>
        </w:rPr>
        <w:t>支持检查报告危急值标记，并发送到临床。</w:t>
      </w:r>
    </w:p>
    <w:p w14:paraId="4957B495">
      <w:pPr>
        <w:pStyle w:val="94"/>
        <w:numPr>
          <w:ilvl w:val="0"/>
          <w:numId w:val="137"/>
        </w:numPr>
        <w:ind w:left="0" w:firstLine="480"/>
        <w:rPr>
          <w:color w:val="auto"/>
          <w:sz w:val="24"/>
        </w:rPr>
      </w:pPr>
      <w:r>
        <w:rPr>
          <w:color w:val="auto"/>
          <w:sz w:val="24"/>
        </w:rPr>
        <w:t>支持报告书写双签，审核工作管理机制。</w:t>
      </w:r>
    </w:p>
    <w:p w14:paraId="56C66305">
      <w:pPr>
        <w:pStyle w:val="94"/>
        <w:numPr>
          <w:ilvl w:val="0"/>
          <w:numId w:val="137"/>
        </w:numPr>
        <w:ind w:left="0" w:firstLine="480"/>
        <w:rPr>
          <w:color w:val="auto"/>
          <w:sz w:val="24"/>
        </w:rPr>
      </w:pPr>
      <w:r>
        <w:rPr>
          <w:rFonts w:hint="eastAsia"/>
          <w:color w:val="auto"/>
          <w:sz w:val="24"/>
        </w:rPr>
        <w:t>支持影像质控功能，可以对图像报告质量进行分级。</w:t>
      </w:r>
    </w:p>
    <w:p w14:paraId="48338485">
      <w:pPr>
        <w:pStyle w:val="94"/>
        <w:numPr>
          <w:ilvl w:val="0"/>
          <w:numId w:val="137"/>
        </w:numPr>
        <w:ind w:left="0" w:firstLine="480"/>
        <w:rPr>
          <w:color w:val="auto"/>
          <w:sz w:val="24"/>
        </w:rPr>
      </w:pPr>
      <w:r>
        <w:rPr>
          <w:color w:val="auto"/>
          <w:sz w:val="24"/>
        </w:rPr>
        <w:t>支持姓名、超声号、诊断结果等多种形式的组合查询。</w:t>
      </w:r>
    </w:p>
    <w:p w14:paraId="04BC7334">
      <w:pPr>
        <w:pStyle w:val="94"/>
        <w:numPr>
          <w:ilvl w:val="0"/>
          <w:numId w:val="137"/>
        </w:numPr>
        <w:ind w:left="0" w:firstLine="480"/>
        <w:rPr>
          <w:color w:val="auto"/>
          <w:sz w:val="24"/>
        </w:rPr>
      </w:pPr>
      <w:r>
        <w:rPr>
          <w:color w:val="auto"/>
          <w:sz w:val="24"/>
        </w:rPr>
        <w:t>提供查询统计功能，包含申请单查询、检查结果阴阳性统计、检查工作量统计、检查部位统计、急诊统计、危急值统计等。</w:t>
      </w:r>
    </w:p>
    <w:p w14:paraId="6D61E30A">
      <w:pPr>
        <w:pStyle w:val="14"/>
        <w:bidi w:val="0"/>
        <w:rPr>
          <w:color w:val="auto"/>
        </w:rPr>
      </w:pPr>
      <w:r>
        <w:rPr>
          <w:rFonts w:hint="eastAsia"/>
          <w:color w:val="auto"/>
          <w:lang w:val="en-US" w:eastAsia="zh-CN"/>
        </w:rPr>
        <w:t xml:space="preserve"> </w:t>
      </w:r>
      <w:r>
        <w:rPr>
          <w:rFonts w:hint="eastAsia"/>
          <w:color w:val="auto"/>
        </w:rPr>
        <w:t>镜检图文报告系统</w:t>
      </w:r>
    </w:p>
    <w:p w14:paraId="5F58A975">
      <w:pPr>
        <w:bidi w:val="0"/>
        <w:rPr>
          <w:color w:val="auto"/>
        </w:rPr>
      </w:pPr>
      <w:r>
        <w:rPr>
          <w:color w:val="auto"/>
        </w:rPr>
        <w:t>通过视频采集、离线备份与智能报告工具，高效完成内窥镜图像管理，支持病理关联、质控分级及远程协作，满足临床快速诊断与上下级医院资源互通需求。</w:t>
      </w:r>
    </w:p>
    <w:p w14:paraId="7E586778">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1EB62C8">
      <w:pPr>
        <w:pStyle w:val="94"/>
        <w:numPr>
          <w:ilvl w:val="0"/>
          <w:numId w:val="138"/>
        </w:numPr>
        <w:ind w:left="0" w:firstLine="480"/>
        <w:rPr>
          <w:color w:val="auto"/>
          <w:sz w:val="24"/>
        </w:rPr>
      </w:pPr>
      <w:r>
        <w:rPr>
          <w:rFonts w:hint="eastAsia"/>
          <w:color w:val="auto"/>
          <w:sz w:val="24"/>
        </w:rPr>
        <w:t>支持</w:t>
      </w:r>
      <w:r>
        <w:rPr>
          <w:color w:val="auto"/>
          <w:sz w:val="24"/>
        </w:rPr>
        <w:t xml:space="preserve">BNC/S-VIDEO/RGB等多种视频接口，并可配置。 </w:t>
      </w:r>
    </w:p>
    <w:p w14:paraId="6230CAD7">
      <w:pPr>
        <w:pStyle w:val="94"/>
        <w:numPr>
          <w:ilvl w:val="0"/>
          <w:numId w:val="138"/>
        </w:numPr>
        <w:ind w:left="0" w:firstLine="480"/>
        <w:rPr>
          <w:color w:val="auto"/>
          <w:sz w:val="24"/>
        </w:rPr>
      </w:pPr>
      <w:r>
        <w:rPr>
          <w:rFonts w:hint="eastAsia"/>
          <w:color w:val="auto"/>
          <w:sz w:val="24"/>
        </w:rPr>
        <w:t>支持调整采集卡参数；如亮度、对比度、色调、饱和度、锐利度、伽玛、白平衡、逆光补偿等；</w:t>
      </w:r>
    </w:p>
    <w:p w14:paraId="5EBA760C">
      <w:pPr>
        <w:pStyle w:val="94"/>
        <w:numPr>
          <w:ilvl w:val="0"/>
          <w:numId w:val="138"/>
        </w:numPr>
        <w:ind w:left="0" w:firstLine="480"/>
        <w:rPr>
          <w:color w:val="auto"/>
          <w:sz w:val="24"/>
        </w:rPr>
      </w:pPr>
      <w:r>
        <w:rPr>
          <w:rFonts w:hint="eastAsia"/>
          <w:color w:val="auto"/>
          <w:sz w:val="24"/>
        </w:rPr>
        <w:t>支持视频录像，允许设置压缩格式；录像时仍支持单帧图像的采集；</w:t>
      </w:r>
      <w:r>
        <w:rPr>
          <w:color w:val="auto"/>
          <w:sz w:val="24"/>
        </w:rPr>
        <w:t xml:space="preserve"> </w:t>
      </w:r>
    </w:p>
    <w:p w14:paraId="4E792B25">
      <w:pPr>
        <w:pStyle w:val="94"/>
        <w:numPr>
          <w:ilvl w:val="0"/>
          <w:numId w:val="138"/>
        </w:numPr>
        <w:ind w:left="0" w:firstLine="480"/>
        <w:rPr>
          <w:color w:val="auto"/>
          <w:sz w:val="24"/>
        </w:rPr>
      </w:pPr>
      <w:r>
        <w:rPr>
          <w:rFonts w:hint="eastAsia"/>
          <w:color w:val="auto"/>
          <w:sz w:val="24"/>
        </w:rPr>
        <w:t>支持声音的录制。</w:t>
      </w:r>
    </w:p>
    <w:p w14:paraId="6C703289">
      <w:pPr>
        <w:pStyle w:val="94"/>
        <w:numPr>
          <w:ilvl w:val="0"/>
          <w:numId w:val="138"/>
        </w:numPr>
        <w:ind w:left="0" w:firstLine="480"/>
        <w:rPr>
          <w:color w:val="auto"/>
          <w:sz w:val="24"/>
        </w:rPr>
      </w:pPr>
      <w:r>
        <w:rPr>
          <w:rFonts w:hint="eastAsia"/>
          <w:color w:val="auto"/>
          <w:sz w:val="24"/>
        </w:rPr>
        <w:t>支持检查</w:t>
      </w:r>
      <w:r>
        <w:rPr>
          <w:color w:val="auto"/>
          <w:sz w:val="24"/>
        </w:rPr>
        <w:t xml:space="preserve">/诊断双工模式（即后台采图方式），以提高效率； </w:t>
      </w:r>
    </w:p>
    <w:p w14:paraId="5677B9A3">
      <w:pPr>
        <w:pStyle w:val="94"/>
        <w:numPr>
          <w:ilvl w:val="0"/>
          <w:numId w:val="138"/>
        </w:numPr>
        <w:ind w:left="0" w:firstLine="480"/>
        <w:rPr>
          <w:color w:val="auto"/>
          <w:sz w:val="24"/>
        </w:rPr>
      </w:pPr>
      <w:r>
        <w:rPr>
          <w:rFonts w:hint="eastAsia"/>
          <w:color w:val="auto"/>
          <w:sz w:val="24"/>
        </w:rPr>
        <w:t>支持按自定义的区域采集图像；</w:t>
      </w:r>
    </w:p>
    <w:p w14:paraId="5DCA4F67">
      <w:pPr>
        <w:pStyle w:val="94"/>
        <w:numPr>
          <w:ilvl w:val="0"/>
          <w:numId w:val="138"/>
        </w:numPr>
        <w:ind w:left="0" w:firstLine="480"/>
        <w:rPr>
          <w:color w:val="auto"/>
          <w:sz w:val="24"/>
        </w:rPr>
      </w:pPr>
      <w:r>
        <w:rPr>
          <w:rFonts w:hint="eastAsia"/>
          <w:color w:val="auto"/>
          <w:sz w:val="24"/>
        </w:rPr>
        <w:t>支持多种脚踏板、手柄采集图像。</w:t>
      </w:r>
    </w:p>
    <w:p w14:paraId="29597626">
      <w:pPr>
        <w:pStyle w:val="94"/>
        <w:numPr>
          <w:ilvl w:val="0"/>
          <w:numId w:val="138"/>
        </w:numPr>
        <w:ind w:left="0" w:firstLine="480"/>
        <w:rPr>
          <w:color w:val="auto"/>
          <w:sz w:val="24"/>
        </w:rPr>
      </w:pPr>
      <w:r>
        <w:rPr>
          <w:rFonts w:hint="eastAsia"/>
          <w:color w:val="auto"/>
          <w:sz w:val="24"/>
        </w:rPr>
        <w:t>支持采集图像时主板喇叭发声提醒。</w:t>
      </w:r>
    </w:p>
    <w:p w14:paraId="5F6DC4FF">
      <w:pPr>
        <w:pStyle w:val="94"/>
        <w:numPr>
          <w:ilvl w:val="0"/>
          <w:numId w:val="138"/>
        </w:numPr>
        <w:ind w:left="0" w:firstLine="480"/>
        <w:rPr>
          <w:color w:val="auto"/>
          <w:sz w:val="24"/>
        </w:rPr>
      </w:pPr>
      <w:r>
        <w:rPr>
          <w:rFonts w:hint="eastAsia"/>
          <w:color w:val="auto"/>
          <w:sz w:val="24"/>
        </w:rPr>
        <w:t>支持断网时离线采集图像。</w:t>
      </w:r>
    </w:p>
    <w:p w14:paraId="6469D54C">
      <w:pPr>
        <w:pStyle w:val="94"/>
        <w:numPr>
          <w:ilvl w:val="0"/>
          <w:numId w:val="138"/>
        </w:numPr>
        <w:ind w:left="0" w:firstLine="480"/>
        <w:rPr>
          <w:color w:val="auto"/>
          <w:sz w:val="24"/>
        </w:rPr>
      </w:pPr>
      <w:r>
        <w:rPr>
          <w:rFonts w:hint="eastAsia"/>
          <w:color w:val="auto"/>
          <w:sz w:val="24"/>
        </w:rPr>
        <w:t>支持采集图像实时备份。</w:t>
      </w:r>
    </w:p>
    <w:p w14:paraId="667DC45C">
      <w:pPr>
        <w:pStyle w:val="94"/>
        <w:numPr>
          <w:ilvl w:val="0"/>
          <w:numId w:val="138"/>
        </w:numPr>
        <w:ind w:left="0" w:firstLine="480"/>
        <w:rPr>
          <w:color w:val="auto"/>
          <w:sz w:val="24"/>
        </w:rPr>
      </w:pPr>
      <w:r>
        <w:rPr>
          <w:rFonts w:hint="eastAsia"/>
          <w:color w:val="auto"/>
          <w:sz w:val="24"/>
        </w:rPr>
        <w:t>支持接收电子申请单。</w:t>
      </w:r>
    </w:p>
    <w:p w14:paraId="522CFD2B">
      <w:pPr>
        <w:pStyle w:val="94"/>
        <w:numPr>
          <w:ilvl w:val="0"/>
          <w:numId w:val="138"/>
        </w:numPr>
        <w:ind w:left="0" w:firstLine="480"/>
        <w:rPr>
          <w:color w:val="auto"/>
          <w:sz w:val="24"/>
        </w:rPr>
      </w:pPr>
      <w:r>
        <w:rPr>
          <w:rFonts w:hint="eastAsia"/>
          <w:color w:val="auto"/>
          <w:sz w:val="24"/>
        </w:rPr>
        <w:t>提供工作任务列表，可按执行间显示已登记</w:t>
      </w:r>
      <w:r>
        <w:rPr>
          <w:color w:val="auto"/>
          <w:sz w:val="24"/>
        </w:rPr>
        <w:t>/已检查/已报告/已审核的列表，可按各类条件来进行组合查询相关的检查列表；</w:t>
      </w:r>
    </w:p>
    <w:p w14:paraId="111BE697">
      <w:pPr>
        <w:pStyle w:val="94"/>
        <w:numPr>
          <w:ilvl w:val="0"/>
          <w:numId w:val="138"/>
        </w:numPr>
        <w:ind w:left="0" w:firstLine="480"/>
        <w:rPr>
          <w:color w:val="auto"/>
          <w:sz w:val="24"/>
        </w:rPr>
      </w:pPr>
      <w:r>
        <w:rPr>
          <w:rFonts w:hint="eastAsia"/>
          <w:color w:val="auto"/>
          <w:sz w:val="24"/>
        </w:rPr>
        <w:t>支持报告书写一键审核打印功能。</w:t>
      </w:r>
    </w:p>
    <w:p w14:paraId="4548E8EE">
      <w:pPr>
        <w:pStyle w:val="94"/>
        <w:numPr>
          <w:ilvl w:val="0"/>
          <w:numId w:val="138"/>
        </w:numPr>
        <w:ind w:left="0" w:firstLine="480"/>
        <w:rPr>
          <w:color w:val="auto"/>
          <w:sz w:val="24"/>
        </w:rPr>
      </w:pPr>
      <w:r>
        <w:rPr>
          <w:rFonts w:hint="eastAsia"/>
          <w:color w:val="auto"/>
          <w:sz w:val="24"/>
        </w:rPr>
        <w:t>图文报告支持不同版式的报告打印格式定义及指定打印机</w:t>
      </w:r>
    </w:p>
    <w:p w14:paraId="71B1E4BF">
      <w:pPr>
        <w:pStyle w:val="94"/>
        <w:numPr>
          <w:ilvl w:val="0"/>
          <w:numId w:val="138"/>
        </w:numPr>
        <w:ind w:left="0" w:firstLine="480"/>
        <w:rPr>
          <w:color w:val="auto"/>
          <w:sz w:val="24"/>
        </w:rPr>
      </w:pPr>
      <w:r>
        <w:rPr>
          <w:rFonts w:hint="eastAsia"/>
          <w:color w:val="auto"/>
          <w:sz w:val="24"/>
        </w:rPr>
        <w:t>支持用户方便灵活的定义模板，提高报告生成速度。</w:t>
      </w:r>
    </w:p>
    <w:p w14:paraId="72E4BA86">
      <w:pPr>
        <w:pStyle w:val="94"/>
        <w:numPr>
          <w:ilvl w:val="0"/>
          <w:numId w:val="138"/>
        </w:numPr>
        <w:ind w:left="0" w:firstLine="480"/>
        <w:rPr>
          <w:color w:val="auto"/>
          <w:sz w:val="24"/>
        </w:rPr>
      </w:pPr>
      <w:r>
        <w:rPr>
          <w:rFonts w:hint="eastAsia"/>
          <w:color w:val="auto"/>
          <w:sz w:val="24"/>
        </w:rPr>
        <w:t>提供结构化报告模板，专业词汇和默认项，书写报告方便快捷。</w:t>
      </w:r>
    </w:p>
    <w:p w14:paraId="41B27FE2">
      <w:pPr>
        <w:pStyle w:val="94"/>
        <w:numPr>
          <w:ilvl w:val="0"/>
          <w:numId w:val="138"/>
        </w:numPr>
        <w:ind w:left="0" w:firstLine="480"/>
        <w:rPr>
          <w:color w:val="auto"/>
          <w:sz w:val="24"/>
        </w:rPr>
      </w:pPr>
      <w:r>
        <w:rPr>
          <w:rFonts w:hint="eastAsia"/>
          <w:color w:val="auto"/>
          <w:sz w:val="24"/>
        </w:rPr>
        <w:t>支持按照检查部位自动搜索诊断模板。</w:t>
      </w:r>
    </w:p>
    <w:p w14:paraId="3B8EA8E9">
      <w:pPr>
        <w:pStyle w:val="94"/>
        <w:numPr>
          <w:ilvl w:val="0"/>
          <w:numId w:val="138"/>
        </w:numPr>
        <w:ind w:left="0" w:firstLine="480"/>
        <w:rPr>
          <w:color w:val="auto"/>
          <w:sz w:val="24"/>
        </w:rPr>
      </w:pPr>
      <w:r>
        <w:rPr>
          <w:color w:val="auto"/>
          <w:sz w:val="24"/>
        </w:rPr>
        <w:t>支持快速输入关联病理检查结论。</w:t>
      </w:r>
    </w:p>
    <w:p w14:paraId="4F49C7B1">
      <w:pPr>
        <w:pStyle w:val="94"/>
        <w:numPr>
          <w:ilvl w:val="0"/>
          <w:numId w:val="138"/>
        </w:numPr>
        <w:ind w:left="0" w:firstLine="480"/>
        <w:rPr>
          <w:color w:val="auto"/>
          <w:sz w:val="24"/>
        </w:rPr>
      </w:pPr>
      <w:r>
        <w:rPr>
          <w:rFonts w:hint="eastAsia"/>
          <w:color w:val="auto"/>
          <w:sz w:val="24"/>
        </w:rPr>
        <w:t>支持报告审核修订版本痕迹对比功能。</w:t>
      </w:r>
    </w:p>
    <w:p w14:paraId="32D6C2F7">
      <w:pPr>
        <w:pStyle w:val="94"/>
        <w:numPr>
          <w:ilvl w:val="0"/>
          <w:numId w:val="138"/>
        </w:numPr>
        <w:ind w:left="0" w:firstLine="480"/>
        <w:rPr>
          <w:color w:val="auto"/>
          <w:sz w:val="24"/>
        </w:rPr>
      </w:pPr>
      <w:r>
        <w:rPr>
          <w:color w:val="auto"/>
          <w:sz w:val="24"/>
        </w:rPr>
        <w:t>支持报告操作日志记录，提供查询。</w:t>
      </w:r>
    </w:p>
    <w:p w14:paraId="324F9007">
      <w:pPr>
        <w:pStyle w:val="94"/>
        <w:numPr>
          <w:ilvl w:val="0"/>
          <w:numId w:val="138"/>
        </w:numPr>
        <w:ind w:left="0" w:firstLine="480"/>
        <w:rPr>
          <w:color w:val="auto"/>
          <w:sz w:val="24"/>
        </w:rPr>
      </w:pPr>
      <w:r>
        <w:rPr>
          <w:rFonts w:hint="eastAsia"/>
          <w:color w:val="auto"/>
          <w:sz w:val="24"/>
        </w:rPr>
        <w:t>支持将报告内容一键存为模板。</w:t>
      </w:r>
    </w:p>
    <w:p w14:paraId="1D4CCEF7">
      <w:pPr>
        <w:pStyle w:val="94"/>
        <w:numPr>
          <w:ilvl w:val="0"/>
          <w:numId w:val="138"/>
        </w:numPr>
        <w:ind w:left="0" w:firstLine="480"/>
        <w:rPr>
          <w:color w:val="auto"/>
          <w:sz w:val="24"/>
        </w:rPr>
      </w:pPr>
      <w:r>
        <w:rPr>
          <w:rFonts w:hint="eastAsia"/>
          <w:color w:val="auto"/>
          <w:sz w:val="24"/>
        </w:rPr>
        <w:t>报告书写时，支持该患者其他检查报告、历史检查报告对比，查看患者诊疗信息，如病历、医嘱、检验结果等。</w:t>
      </w:r>
    </w:p>
    <w:p w14:paraId="213A4505">
      <w:pPr>
        <w:pStyle w:val="94"/>
        <w:numPr>
          <w:ilvl w:val="0"/>
          <w:numId w:val="138"/>
        </w:numPr>
        <w:ind w:left="0" w:firstLine="480"/>
        <w:rPr>
          <w:color w:val="auto"/>
          <w:sz w:val="24"/>
        </w:rPr>
      </w:pPr>
      <w:r>
        <w:rPr>
          <w:rFonts w:hint="eastAsia"/>
          <w:color w:val="auto"/>
          <w:sz w:val="24"/>
        </w:rPr>
        <w:t>支持检查多报告功能。</w:t>
      </w:r>
    </w:p>
    <w:p w14:paraId="0CE97498">
      <w:pPr>
        <w:pStyle w:val="94"/>
        <w:numPr>
          <w:ilvl w:val="0"/>
          <w:numId w:val="138"/>
        </w:numPr>
        <w:ind w:left="0" w:firstLine="480"/>
        <w:rPr>
          <w:color w:val="auto"/>
          <w:sz w:val="24"/>
        </w:rPr>
      </w:pPr>
      <w:r>
        <w:rPr>
          <w:rFonts w:hint="eastAsia"/>
          <w:color w:val="auto"/>
          <w:sz w:val="24"/>
        </w:rPr>
        <w:t>支持检查报告结果阴阳性标记。</w:t>
      </w:r>
    </w:p>
    <w:p w14:paraId="1D729615">
      <w:pPr>
        <w:pStyle w:val="94"/>
        <w:numPr>
          <w:ilvl w:val="0"/>
          <w:numId w:val="138"/>
        </w:numPr>
        <w:ind w:left="0" w:firstLine="480"/>
        <w:rPr>
          <w:color w:val="auto"/>
          <w:sz w:val="24"/>
        </w:rPr>
      </w:pPr>
      <w:r>
        <w:rPr>
          <w:rFonts w:hint="eastAsia"/>
          <w:color w:val="auto"/>
          <w:sz w:val="24"/>
        </w:rPr>
        <w:t>支持检查报告危急值标记，并发送到临床。</w:t>
      </w:r>
    </w:p>
    <w:p w14:paraId="07395802">
      <w:pPr>
        <w:pStyle w:val="94"/>
        <w:numPr>
          <w:ilvl w:val="0"/>
          <w:numId w:val="138"/>
        </w:numPr>
        <w:ind w:left="0" w:firstLine="480"/>
        <w:rPr>
          <w:color w:val="auto"/>
          <w:sz w:val="24"/>
        </w:rPr>
      </w:pPr>
      <w:r>
        <w:rPr>
          <w:rFonts w:hint="eastAsia"/>
          <w:color w:val="auto"/>
          <w:sz w:val="24"/>
        </w:rPr>
        <w:t>支持报告书写双签，审核工作管理机制。</w:t>
      </w:r>
    </w:p>
    <w:p w14:paraId="151FE626">
      <w:pPr>
        <w:pStyle w:val="94"/>
        <w:numPr>
          <w:ilvl w:val="0"/>
          <w:numId w:val="138"/>
        </w:numPr>
        <w:ind w:left="0" w:firstLine="480"/>
        <w:rPr>
          <w:color w:val="auto"/>
          <w:sz w:val="24"/>
        </w:rPr>
      </w:pPr>
      <w:r>
        <w:rPr>
          <w:rFonts w:hint="eastAsia"/>
          <w:color w:val="auto"/>
          <w:sz w:val="24"/>
        </w:rPr>
        <w:t>支持影像质控功能，可以对图像报告质量进行分级。</w:t>
      </w:r>
    </w:p>
    <w:p w14:paraId="406D1517">
      <w:pPr>
        <w:pStyle w:val="94"/>
        <w:numPr>
          <w:ilvl w:val="0"/>
          <w:numId w:val="138"/>
        </w:numPr>
        <w:ind w:left="0" w:firstLine="480"/>
        <w:rPr>
          <w:color w:val="auto"/>
          <w:sz w:val="24"/>
        </w:rPr>
      </w:pPr>
      <w:r>
        <w:rPr>
          <w:rFonts w:hint="eastAsia"/>
          <w:color w:val="auto"/>
          <w:sz w:val="24"/>
        </w:rPr>
        <w:t>支持姓名、检查号、诊断结果等多种形式的组合查询。</w:t>
      </w:r>
    </w:p>
    <w:p w14:paraId="4F925F12">
      <w:pPr>
        <w:pStyle w:val="94"/>
        <w:numPr>
          <w:ilvl w:val="0"/>
          <w:numId w:val="138"/>
        </w:numPr>
        <w:ind w:left="0" w:firstLine="480"/>
        <w:rPr>
          <w:color w:val="auto"/>
          <w:sz w:val="24"/>
        </w:rPr>
      </w:pPr>
      <w:r>
        <w:rPr>
          <w:rFonts w:hint="eastAsia"/>
          <w:color w:val="auto"/>
          <w:sz w:val="24"/>
        </w:rPr>
        <w:t>提供查询统计功能，包含申请单查询、检查结果阴阳性统计、检查工作量统计、检查项目统计、急诊统计、危急值统计等。</w:t>
      </w:r>
    </w:p>
    <w:p w14:paraId="392B9883">
      <w:pPr>
        <w:pStyle w:val="14"/>
        <w:bidi w:val="0"/>
        <w:rPr>
          <w:color w:val="auto"/>
        </w:rPr>
      </w:pPr>
      <w:r>
        <w:rPr>
          <w:rFonts w:hint="eastAsia"/>
          <w:color w:val="auto"/>
          <w:lang w:val="en-US" w:eastAsia="zh-CN"/>
        </w:rPr>
        <w:t xml:space="preserve"> </w:t>
      </w:r>
      <w:r>
        <w:rPr>
          <w:rFonts w:hint="eastAsia"/>
          <w:color w:val="auto"/>
        </w:rPr>
        <w:t>电生理信息系统</w:t>
      </w:r>
    </w:p>
    <w:p w14:paraId="51DBFA53">
      <w:pPr>
        <w:bidi w:val="0"/>
        <w:rPr>
          <w:color w:val="auto"/>
        </w:rPr>
      </w:pPr>
      <w:r>
        <w:rPr>
          <w:color w:val="auto"/>
        </w:rPr>
        <w:t>覆盖心电申请、采集到报告全周期，兼容多品牌设备数据无损传输，提供精准波形分析、历史对比及权限管理，助力心律失常等疾病的快速诊断与临床调阅。</w:t>
      </w:r>
    </w:p>
    <w:p w14:paraId="64A03D3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306B25BB">
      <w:pPr>
        <w:pStyle w:val="341"/>
        <w:spacing w:beforeLines="0"/>
        <w:ind w:firstLine="482"/>
        <w:rPr>
          <w:rFonts w:hint="eastAsia" w:ascii="宋体" w:hAnsi="宋体" w:cs="仿宋"/>
          <w:b/>
          <w:bCs/>
          <w:color w:val="auto"/>
          <w:sz w:val="24"/>
          <w:szCs w:val="24"/>
        </w:rPr>
      </w:pPr>
      <w:bookmarkStart w:id="286" w:name="_Toc106373127"/>
      <w:r>
        <w:rPr>
          <w:rFonts w:hint="eastAsia" w:ascii="宋体" w:hAnsi="宋体" w:cs="仿宋"/>
          <w:b/>
          <w:bCs/>
          <w:color w:val="auto"/>
          <w:sz w:val="24"/>
          <w:szCs w:val="24"/>
        </w:rPr>
        <w:t>心电申请</w:t>
      </w:r>
      <w:bookmarkEnd w:id="286"/>
    </w:p>
    <w:p w14:paraId="6990A129">
      <w:pPr>
        <w:pStyle w:val="94"/>
        <w:numPr>
          <w:ilvl w:val="0"/>
          <w:numId w:val="139"/>
        </w:numPr>
        <w:ind w:left="0" w:firstLine="480"/>
        <w:rPr>
          <w:color w:val="auto"/>
          <w:sz w:val="24"/>
        </w:rPr>
      </w:pPr>
      <w:bookmarkStart w:id="287" w:name="_Toc106373128"/>
      <w:r>
        <w:rPr>
          <w:rFonts w:hint="eastAsia"/>
          <w:color w:val="auto"/>
          <w:sz w:val="24"/>
        </w:rPr>
        <w:t>支持条形码扫描或就诊卡等多种识别模式。</w:t>
      </w:r>
    </w:p>
    <w:p w14:paraId="0FBB66EF">
      <w:pPr>
        <w:pStyle w:val="94"/>
        <w:numPr>
          <w:ilvl w:val="0"/>
          <w:numId w:val="139"/>
        </w:numPr>
        <w:ind w:left="0" w:firstLine="480"/>
        <w:rPr>
          <w:color w:val="auto"/>
          <w:sz w:val="24"/>
        </w:rPr>
      </w:pPr>
      <w:r>
        <w:rPr>
          <w:rFonts w:hint="eastAsia"/>
          <w:color w:val="auto"/>
          <w:sz w:val="24"/>
        </w:rPr>
        <w:t>支持自动获取患者申请单信息，包括患者就诊卡号、患者类型、姓名、年龄、性别、住院床号、申请科室、申请医生、临床诊断、检查费用。</w:t>
      </w:r>
    </w:p>
    <w:p w14:paraId="0E430882">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预约登记</w:t>
      </w:r>
      <w:bookmarkEnd w:id="287"/>
    </w:p>
    <w:p w14:paraId="479056C2">
      <w:pPr>
        <w:pStyle w:val="94"/>
        <w:numPr>
          <w:ilvl w:val="0"/>
          <w:numId w:val="140"/>
        </w:numPr>
        <w:ind w:left="0" w:firstLine="480"/>
        <w:rPr>
          <w:color w:val="auto"/>
          <w:sz w:val="24"/>
        </w:rPr>
      </w:pPr>
      <w:bookmarkStart w:id="288" w:name="_Toc106373129"/>
      <w:r>
        <w:rPr>
          <w:color w:val="auto"/>
          <w:sz w:val="24"/>
        </w:rPr>
        <w:t>支持常规心电检查预约信息的登记、预约。</w:t>
      </w:r>
    </w:p>
    <w:p w14:paraId="1B616C44">
      <w:pPr>
        <w:pStyle w:val="94"/>
        <w:numPr>
          <w:ilvl w:val="0"/>
          <w:numId w:val="140"/>
        </w:numPr>
        <w:ind w:left="0" w:firstLine="480"/>
        <w:rPr>
          <w:color w:val="auto"/>
          <w:sz w:val="24"/>
        </w:rPr>
      </w:pPr>
      <w:r>
        <w:rPr>
          <w:color w:val="auto"/>
          <w:sz w:val="24"/>
        </w:rPr>
        <w:t>支持预约信息的更改和查询。</w:t>
      </w:r>
    </w:p>
    <w:p w14:paraId="3ABE5874">
      <w:pPr>
        <w:pStyle w:val="94"/>
        <w:numPr>
          <w:ilvl w:val="0"/>
          <w:numId w:val="140"/>
        </w:numPr>
        <w:ind w:left="0" w:firstLine="480"/>
        <w:rPr>
          <w:color w:val="auto"/>
          <w:sz w:val="24"/>
        </w:rPr>
      </w:pPr>
      <w:r>
        <w:rPr>
          <w:color w:val="auto"/>
          <w:sz w:val="24"/>
        </w:rPr>
        <w:t>支持与HIS接口，可直接根据病人条码卡获取病人基本资料，及缴费记账信息。</w:t>
      </w:r>
    </w:p>
    <w:p w14:paraId="30BCF338">
      <w:pPr>
        <w:pStyle w:val="94"/>
        <w:numPr>
          <w:ilvl w:val="0"/>
          <w:numId w:val="140"/>
        </w:numPr>
        <w:ind w:left="0" w:firstLine="480"/>
        <w:rPr>
          <w:color w:val="auto"/>
          <w:sz w:val="24"/>
        </w:rPr>
      </w:pPr>
      <w:r>
        <w:rPr>
          <w:color w:val="auto"/>
          <w:sz w:val="24"/>
        </w:rPr>
        <w:t>支持预约登记列表中显示不同颜色来区分患者当前的状态。</w:t>
      </w:r>
    </w:p>
    <w:p w14:paraId="55C45A45">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心电采集</w:t>
      </w:r>
      <w:bookmarkEnd w:id="288"/>
    </w:p>
    <w:p w14:paraId="5FFE5250">
      <w:pPr>
        <w:pStyle w:val="94"/>
        <w:numPr>
          <w:ilvl w:val="0"/>
          <w:numId w:val="141"/>
        </w:numPr>
        <w:ind w:left="0" w:firstLine="480"/>
        <w:rPr>
          <w:color w:val="auto"/>
          <w:sz w:val="24"/>
        </w:rPr>
      </w:pPr>
      <w:bookmarkStart w:id="289" w:name="_Toc106373130"/>
      <w:r>
        <w:rPr>
          <w:color w:val="auto"/>
          <w:sz w:val="24"/>
        </w:rPr>
        <w:t>支持临床、门诊医生工作站、体检工作站电子申请单下达。</w:t>
      </w:r>
    </w:p>
    <w:p w14:paraId="04DFFC9D">
      <w:pPr>
        <w:pStyle w:val="94"/>
        <w:numPr>
          <w:ilvl w:val="0"/>
          <w:numId w:val="141"/>
        </w:numPr>
        <w:ind w:left="0" w:firstLine="480"/>
        <w:rPr>
          <w:color w:val="auto"/>
          <w:sz w:val="24"/>
        </w:rPr>
      </w:pPr>
      <w:r>
        <w:rPr>
          <w:color w:val="auto"/>
          <w:sz w:val="24"/>
        </w:rPr>
        <w:t>支持采集多种厂家的心电图机数据。</w:t>
      </w:r>
    </w:p>
    <w:p w14:paraId="2A6FB824">
      <w:pPr>
        <w:pStyle w:val="94"/>
        <w:numPr>
          <w:ilvl w:val="0"/>
          <w:numId w:val="141"/>
        </w:numPr>
        <w:ind w:left="0" w:firstLine="480"/>
        <w:rPr>
          <w:color w:val="auto"/>
          <w:sz w:val="24"/>
        </w:rPr>
      </w:pPr>
      <w:r>
        <w:rPr>
          <w:color w:val="auto"/>
          <w:sz w:val="24"/>
        </w:rPr>
        <w:t>支持实时采集到心电数据，心电图形无变形，无失真，信号无损耗，原始数据完整保存到服务器。</w:t>
      </w:r>
    </w:p>
    <w:p w14:paraId="46D31E31">
      <w:pPr>
        <w:pStyle w:val="94"/>
        <w:numPr>
          <w:ilvl w:val="0"/>
          <w:numId w:val="141"/>
        </w:numPr>
        <w:ind w:left="0" w:firstLine="480"/>
        <w:rPr>
          <w:color w:val="auto"/>
          <w:sz w:val="24"/>
        </w:rPr>
      </w:pPr>
      <w:r>
        <w:rPr>
          <w:color w:val="auto"/>
          <w:sz w:val="24"/>
        </w:rPr>
        <w:t>支持中文图文格式报告。</w:t>
      </w:r>
    </w:p>
    <w:p w14:paraId="745EDAD1">
      <w:pPr>
        <w:pStyle w:val="94"/>
        <w:numPr>
          <w:ilvl w:val="0"/>
          <w:numId w:val="141"/>
        </w:numPr>
        <w:ind w:left="0" w:firstLine="480"/>
        <w:rPr>
          <w:color w:val="auto"/>
          <w:sz w:val="24"/>
        </w:rPr>
      </w:pPr>
      <w:r>
        <w:rPr>
          <w:rFonts w:hint="eastAsia"/>
          <w:color w:val="auto"/>
          <w:sz w:val="24"/>
        </w:rPr>
        <w:t>支持查看心电波形及患者心电原始数据，如心率、</w:t>
      </w:r>
      <w:r>
        <w:rPr>
          <w:color w:val="auto"/>
          <w:sz w:val="24"/>
        </w:rPr>
        <w:t>P波正向、负向提示、T波正向、负向提示、QT/QTC、P-R间期，QRS时间等。</w:t>
      </w:r>
    </w:p>
    <w:p w14:paraId="47B70D11">
      <w:pPr>
        <w:pStyle w:val="94"/>
        <w:numPr>
          <w:ilvl w:val="0"/>
          <w:numId w:val="141"/>
        </w:numPr>
        <w:ind w:left="0" w:firstLine="480"/>
        <w:rPr>
          <w:color w:val="auto"/>
          <w:sz w:val="24"/>
        </w:rPr>
      </w:pPr>
      <w:r>
        <w:rPr>
          <w:color w:val="auto"/>
          <w:sz w:val="24"/>
        </w:rPr>
        <w:t>支持RR间期联动测量，单个导联电压调节毫伏高度。</w:t>
      </w:r>
    </w:p>
    <w:p w14:paraId="76EC96E2">
      <w:pPr>
        <w:pStyle w:val="94"/>
        <w:numPr>
          <w:ilvl w:val="0"/>
          <w:numId w:val="141"/>
        </w:numPr>
        <w:ind w:left="0" w:firstLine="480"/>
        <w:rPr>
          <w:color w:val="auto"/>
          <w:sz w:val="24"/>
        </w:rPr>
      </w:pPr>
      <w:r>
        <w:rPr>
          <w:color w:val="auto"/>
          <w:sz w:val="24"/>
        </w:rPr>
        <w:t>提供系列辅助分析工具如心电模板，病例对比，重新确定QRS和心率等。</w:t>
      </w:r>
    </w:p>
    <w:p w14:paraId="2A529019">
      <w:pPr>
        <w:pStyle w:val="94"/>
        <w:numPr>
          <w:ilvl w:val="0"/>
          <w:numId w:val="141"/>
        </w:numPr>
        <w:ind w:left="0" w:firstLine="480"/>
        <w:rPr>
          <w:color w:val="auto"/>
          <w:sz w:val="24"/>
        </w:rPr>
      </w:pPr>
      <w:r>
        <w:rPr>
          <w:color w:val="auto"/>
          <w:sz w:val="24"/>
        </w:rPr>
        <w:t>支持以下辅助分析手段，如同屏对比、波形放大、电子分规、病例列表、即时刷新、按条件查询、波形多模式浏览、波形辅助分析工具、诊断模板、心电图参数修改、多种滤波选择。</w:t>
      </w:r>
    </w:p>
    <w:p w14:paraId="2229FB77">
      <w:pPr>
        <w:pStyle w:val="94"/>
        <w:numPr>
          <w:ilvl w:val="0"/>
          <w:numId w:val="141"/>
        </w:numPr>
        <w:ind w:left="0" w:firstLine="480"/>
        <w:rPr>
          <w:color w:val="auto"/>
          <w:sz w:val="24"/>
        </w:rPr>
      </w:pPr>
      <w:r>
        <w:rPr>
          <w:color w:val="auto"/>
          <w:sz w:val="24"/>
        </w:rPr>
        <w:t>支持历史心电图的对比功能，可同屏显示两幅。</w:t>
      </w:r>
    </w:p>
    <w:p w14:paraId="3ECE1E41">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心电报告</w:t>
      </w:r>
      <w:bookmarkEnd w:id="289"/>
    </w:p>
    <w:p w14:paraId="74ACBD27">
      <w:pPr>
        <w:pStyle w:val="94"/>
        <w:numPr>
          <w:ilvl w:val="0"/>
          <w:numId w:val="142"/>
        </w:numPr>
        <w:ind w:left="0" w:firstLine="480"/>
        <w:rPr>
          <w:color w:val="auto"/>
          <w:sz w:val="24"/>
        </w:rPr>
      </w:pPr>
      <w:r>
        <w:rPr>
          <w:color w:val="auto"/>
          <w:sz w:val="24"/>
        </w:rPr>
        <w:t>支持多条件组合查询功能，查询条件至少包括ID，时间，姓名，年龄，诊断结论。</w:t>
      </w:r>
    </w:p>
    <w:p w14:paraId="55D58206">
      <w:pPr>
        <w:pStyle w:val="94"/>
        <w:numPr>
          <w:ilvl w:val="0"/>
          <w:numId w:val="142"/>
        </w:numPr>
        <w:ind w:left="0" w:firstLine="480"/>
        <w:rPr>
          <w:color w:val="auto"/>
          <w:sz w:val="24"/>
        </w:rPr>
      </w:pPr>
      <w:r>
        <w:rPr>
          <w:color w:val="auto"/>
          <w:sz w:val="24"/>
        </w:rPr>
        <w:t>提供2x5、4x2.5、4x2.5+1、10x1格式报告图形。</w:t>
      </w:r>
    </w:p>
    <w:p w14:paraId="197215ED">
      <w:pPr>
        <w:pStyle w:val="94"/>
        <w:numPr>
          <w:ilvl w:val="0"/>
          <w:numId w:val="142"/>
        </w:numPr>
        <w:ind w:left="0" w:firstLine="480"/>
        <w:rPr>
          <w:color w:val="auto"/>
          <w:sz w:val="24"/>
        </w:rPr>
      </w:pPr>
      <w:r>
        <w:rPr>
          <w:color w:val="auto"/>
          <w:sz w:val="24"/>
        </w:rPr>
        <w:t>提供可由医生管理的诊断语句库。</w:t>
      </w:r>
    </w:p>
    <w:p w14:paraId="11241368">
      <w:pPr>
        <w:pStyle w:val="94"/>
        <w:numPr>
          <w:ilvl w:val="0"/>
          <w:numId w:val="142"/>
        </w:numPr>
        <w:ind w:left="0" w:firstLine="480"/>
        <w:rPr>
          <w:color w:val="auto"/>
          <w:sz w:val="24"/>
        </w:rPr>
      </w:pPr>
      <w:r>
        <w:rPr>
          <w:color w:val="auto"/>
          <w:sz w:val="24"/>
        </w:rPr>
        <w:t>支持输出PDF格式的报告、打印报告。</w:t>
      </w:r>
    </w:p>
    <w:p w14:paraId="2FA86EBC">
      <w:pPr>
        <w:pStyle w:val="94"/>
        <w:numPr>
          <w:ilvl w:val="0"/>
          <w:numId w:val="142"/>
        </w:numPr>
        <w:ind w:left="0" w:firstLine="480"/>
        <w:rPr>
          <w:color w:val="auto"/>
          <w:sz w:val="24"/>
        </w:rPr>
      </w:pPr>
      <w:r>
        <w:rPr>
          <w:color w:val="auto"/>
          <w:sz w:val="24"/>
        </w:rPr>
        <w:t>支持调阅和浏览心电图报告，提供带有厘米纸网格心电图。</w:t>
      </w:r>
    </w:p>
    <w:p w14:paraId="6C54FBF6">
      <w:pPr>
        <w:pStyle w:val="94"/>
        <w:numPr>
          <w:ilvl w:val="0"/>
          <w:numId w:val="142"/>
        </w:numPr>
        <w:ind w:left="0" w:firstLine="480"/>
        <w:rPr>
          <w:color w:val="auto"/>
          <w:sz w:val="24"/>
        </w:rPr>
      </w:pPr>
      <w:r>
        <w:rPr>
          <w:color w:val="auto"/>
          <w:sz w:val="24"/>
        </w:rPr>
        <w:t>支持浏览原始心电图和诊断结论。</w:t>
      </w:r>
    </w:p>
    <w:p w14:paraId="330B45D9">
      <w:pPr>
        <w:pStyle w:val="94"/>
        <w:numPr>
          <w:ilvl w:val="0"/>
          <w:numId w:val="142"/>
        </w:numPr>
        <w:ind w:left="0" w:firstLine="480"/>
        <w:rPr>
          <w:color w:val="auto"/>
          <w:sz w:val="24"/>
        </w:rPr>
      </w:pPr>
      <w:r>
        <w:rPr>
          <w:color w:val="auto"/>
          <w:sz w:val="24"/>
        </w:rPr>
        <w:t>支持对心电图数据的分级，分科室权限管理，设定录入、采集、报告书写、报告审核、报告浏览权限。</w:t>
      </w:r>
    </w:p>
    <w:p w14:paraId="08009ACC">
      <w:pPr>
        <w:pStyle w:val="94"/>
        <w:numPr>
          <w:ilvl w:val="0"/>
          <w:numId w:val="142"/>
        </w:numPr>
        <w:ind w:left="0" w:firstLine="480"/>
        <w:rPr>
          <w:color w:val="auto"/>
          <w:sz w:val="24"/>
        </w:rPr>
      </w:pPr>
      <w:r>
        <w:rPr>
          <w:color w:val="auto"/>
          <w:sz w:val="24"/>
        </w:rPr>
        <w:t>支持记录修改日志，包括对病人基本信息，检查时间，诊断结论等。</w:t>
      </w:r>
    </w:p>
    <w:p w14:paraId="693E286F">
      <w:pPr>
        <w:pStyle w:val="94"/>
        <w:numPr>
          <w:ilvl w:val="0"/>
          <w:numId w:val="142"/>
        </w:numPr>
        <w:ind w:left="0" w:firstLine="480"/>
        <w:rPr>
          <w:color w:val="auto"/>
          <w:sz w:val="24"/>
        </w:rPr>
      </w:pPr>
      <w:r>
        <w:rPr>
          <w:color w:val="auto"/>
          <w:sz w:val="24"/>
        </w:rPr>
        <w:t>支持HIS医生工作站或护士工作站调阅心电图报告、原图分析。</w:t>
      </w:r>
    </w:p>
    <w:p w14:paraId="72E66CC4">
      <w:pPr>
        <w:pStyle w:val="14"/>
        <w:bidi w:val="0"/>
        <w:rPr>
          <w:color w:val="auto"/>
        </w:rPr>
      </w:pPr>
      <w:r>
        <w:rPr>
          <w:rFonts w:hint="eastAsia"/>
          <w:color w:val="auto"/>
          <w:lang w:val="en-US" w:eastAsia="zh-CN"/>
        </w:rPr>
        <w:t xml:space="preserve"> </w:t>
      </w:r>
      <w:r>
        <w:rPr>
          <w:rFonts w:hint="eastAsia"/>
          <w:color w:val="auto"/>
        </w:rPr>
        <w:t>病理信息系统</w:t>
      </w:r>
    </w:p>
    <w:p w14:paraId="0AA74B48">
      <w:pPr>
        <w:bidi w:val="0"/>
        <w:rPr>
          <w:color w:val="auto"/>
        </w:rPr>
      </w:pPr>
      <w:r>
        <w:rPr>
          <w:color w:val="auto"/>
        </w:rPr>
        <w:t>系统实现从电子申请单、标本登记到取材切片、数字阅片的全流程管理，支持显微镜图像采集与DICOM协议传输，提供结构化报告模板和图文报告生成功能，确保病理诊断的精准性和可追溯性。</w:t>
      </w:r>
    </w:p>
    <w:p w14:paraId="779DE9D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61ED90A">
      <w:pPr>
        <w:pStyle w:val="341"/>
        <w:spacing w:beforeLines="0"/>
        <w:ind w:firstLine="482"/>
        <w:rPr>
          <w:rFonts w:hint="eastAsia" w:ascii="宋体" w:hAnsi="宋体" w:cs="仿宋"/>
          <w:b/>
          <w:bCs/>
          <w:color w:val="auto"/>
          <w:sz w:val="24"/>
          <w:szCs w:val="24"/>
        </w:rPr>
      </w:pPr>
      <w:bookmarkStart w:id="290" w:name="_Toc106373132"/>
      <w:r>
        <w:rPr>
          <w:rFonts w:hint="eastAsia" w:ascii="宋体" w:hAnsi="宋体" w:cs="仿宋"/>
          <w:b/>
          <w:bCs/>
          <w:color w:val="auto"/>
          <w:sz w:val="24"/>
          <w:szCs w:val="24"/>
        </w:rPr>
        <w:t>申请</w:t>
      </w:r>
      <w:bookmarkEnd w:id="290"/>
    </w:p>
    <w:p w14:paraId="7EA7652F">
      <w:pPr>
        <w:ind w:firstLine="480"/>
        <w:rPr>
          <w:rFonts w:cs="仿宋"/>
          <w:color w:val="auto"/>
          <w:lang w:val="zh-CN"/>
        </w:rPr>
      </w:pPr>
      <w:r>
        <w:rPr>
          <w:rFonts w:hint="eastAsia" w:cs="仿宋"/>
          <w:color w:val="auto"/>
          <w:lang w:val="zh-CN"/>
        </w:rPr>
        <w:t>由临床医生或门诊医生书写电子申请单。打开申请单时，可以读取病人的基本信息和诊断信息，自动填充到对应的申请单内容中，保存电子申请单时自动生成医嘱信息。</w:t>
      </w:r>
    </w:p>
    <w:p w14:paraId="18984333">
      <w:pPr>
        <w:pStyle w:val="341"/>
        <w:spacing w:beforeLines="0"/>
        <w:ind w:firstLine="482"/>
        <w:rPr>
          <w:rFonts w:hint="eastAsia" w:ascii="宋体" w:hAnsi="宋体" w:cs="仿宋"/>
          <w:b/>
          <w:bCs/>
          <w:color w:val="auto"/>
          <w:sz w:val="24"/>
          <w:szCs w:val="24"/>
        </w:rPr>
      </w:pPr>
      <w:bookmarkStart w:id="291" w:name="_Toc106373133"/>
      <w:r>
        <w:rPr>
          <w:rFonts w:hint="eastAsia" w:ascii="宋体" w:hAnsi="宋体" w:cs="仿宋"/>
          <w:b/>
          <w:bCs/>
          <w:color w:val="auto"/>
          <w:sz w:val="24"/>
          <w:szCs w:val="24"/>
        </w:rPr>
        <w:t>登记</w:t>
      </w:r>
      <w:bookmarkEnd w:id="291"/>
    </w:p>
    <w:p w14:paraId="290B634A">
      <w:pPr>
        <w:ind w:firstLine="480"/>
        <w:rPr>
          <w:rFonts w:cs="仿宋"/>
          <w:color w:val="auto"/>
          <w:lang w:val="zh-CN"/>
        </w:rPr>
      </w:pPr>
      <w:r>
        <w:rPr>
          <w:rFonts w:hint="eastAsia" w:cs="仿宋"/>
          <w:color w:val="auto"/>
          <w:lang w:val="zh-CN"/>
        </w:rPr>
        <w:t>待检查患者的检查经过护士确认或门诊收款收费后，病理科可以对检查进行登记。用病人卡号或者直接查找可读取病人信息，并同时获取申请单信息，登记人员确认信息无误后接收即可。</w:t>
      </w:r>
    </w:p>
    <w:p w14:paraId="72D4D846">
      <w:pPr>
        <w:ind w:firstLine="480"/>
        <w:rPr>
          <w:rFonts w:cs="仿宋"/>
          <w:color w:val="auto"/>
          <w:lang w:val="zh-CN"/>
        </w:rPr>
      </w:pPr>
      <w:r>
        <w:rPr>
          <w:rFonts w:hint="eastAsia" w:cs="仿宋"/>
          <w:color w:val="auto"/>
          <w:lang w:val="zh-CN"/>
        </w:rPr>
        <w:t>如果有紧急病号或者其他情况，无卡无费用信息，可以提供绿色通道登记，以满足此特殊情况，此时输入病人信息及检查方法即可。</w:t>
      </w:r>
    </w:p>
    <w:p w14:paraId="2EF7E502">
      <w:pPr>
        <w:pStyle w:val="341"/>
        <w:spacing w:beforeLines="0"/>
        <w:ind w:firstLine="482"/>
        <w:rPr>
          <w:rFonts w:hint="eastAsia" w:ascii="宋体" w:hAnsi="宋体" w:cs="仿宋"/>
          <w:b/>
          <w:bCs/>
          <w:color w:val="auto"/>
          <w:sz w:val="24"/>
          <w:szCs w:val="24"/>
        </w:rPr>
      </w:pPr>
      <w:bookmarkStart w:id="292" w:name="_Toc106373134"/>
      <w:r>
        <w:rPr>
          <w:rFonts w:hint="eastAsia" w:ascii="宋体" w:hAnsi="宋体" w:cs="仿宋"/>
          <w:b/>
          <w:bCs/>
          <w:color w:val="auto"/>
          <w:sz w:val="24"/>
          <w:szCs w:val="24"/>
        </w:rPr>
        <w:t>检查</w:t>
      </w:r>
      <w:bookmarkEnd w:id="292"/>
    </w:p>
    <w:p w14:paraId="558229BD">
      <w:pPr>
        <w:ind w:firstLine="480"/>
        <w:rPr>
          <w:color w:val="auto"/>
          <w:lang w:val="zh-CN"/>
        </w:rPr>
      </w:pPr>
      <w:r>
        <w:rPr>
          <w:rFonts w:hint="eastAsia"/>
          <w:color w:val="auto"/>
          <w:lang w:val="zh-CN"/>
        </w:rPr>
        <w:t>检查又分为：取材，切片，阅片三部分。可以对送检组织进行处理后的每个腊块进行编号，记录材块信息组织名称，并可以书写送检组织的大体所见。</w:t>
      </w:r>
    </w:p>
    <w:p w14:paraId="15F522CB">
      <w:pPr>
        <w:ind w:firstLine="480"/>
        <w:rPr>
          <w:color w:val="auto"/>
          <w:lang w:val="zh-CN"/>
        </w:rPr>
      </w:pPr>
      <w:r>
        <w:rPr>
          <w:rFonts w:hint="eastAsia"/>
          <w:color w:val="auto"/>
          <w:lang w:val="zh-CN"/>
        </w:rPr>
        <w:t>可以对切片进行编号，以适应腊块的多次切片。</w:t>
      </w:r>
    </w:p>
    <w:p w14:paraId="6FBDBA97">
      <w:pPr>
        <w:ind w:firstLine="480"/>
        <w:rPr>
          <w:rFonts w:cs="仿宋"/>
          <w:color w:val="auto"/>
          <w:lang w:val="zh-CN"/>
        </w:rPr>
      </w:pPr>
      <w:r>
        <w:rPr>
          <w:rFonts w:hint="eastAsia"/>
          <w:color w:val="auto"/>
          <w:lang w:val="zh-CN"/>
        </w:rPr>
        <w:t>电脑连接显微镜，装有摄像头配件时，程序可以直接读取显微镜图像，并且可以对显微镜图像进行截图，上传保存，上传下载过程遵循DICOM协议。若显微镜上装有自动化配件，则可以用程序对显微镜的载物台进行控制，前后左右调整，或者z轴的上下调整。而且可以对显微镜的视野进行自动聚焦，方便医生操作。</w:t>
      </w:r>
    </w:p>
    <w:p w14:paraId="710AC841">
      <w:pPr>
        <w:pStyle w:val="341"/>
        <w:spacing w:beforeLines="0"/>
        <w:ind w:firstLine="482"/>
        <w:rPr>
          <w:rFonts w:hint="eastAsia" w:ascii="宋体" w:hAnsi="宋体" w:cs="仿宋"/>
          <w:b/>
          <w:bCs/>
          <w:color w:val="auto"/>
          <w:sz w:val="24"/>
          <w:szCs w:val="24"/>
        </w:rPr>
      </w:pPr>
      <w:bookmarkStart w:id="293" w:name="_Toc106373135"/>
      <w:r>
        <w:rPr>
          <w:rFonts w:hint="eastAsia" w:ascii="宋体" w:hAnsi="宋体" w:cs="仿宋"/>
          <w:b/>
          <w:bCs/>
          <w:color w:val="auto"/>
          <w:sz w:val="24"/>
          <w:szCs w:val="24"/>
        </w:rPr>
        <w:t>报告</w:t>
      </w:r>
      <w:bookmarkEnd w:id="293"/>
    </w:p>
    <w:p w14:paraId="3DA94509">
      <w:pPr>
        <w:ind w:firstLine="480"/>
        <w:rPr>
          <w:rFonts w:cs="仿宋"/>
          <w:color w:val="auto"/>
          <w:lang w:val="zh-CN"/>
        </w:rPr>
      </w:pPr>
      <w:r>
        <w:rPr>
          <w:rFonts w:hint="eastAsia" w:cs="仿宋"/>
          <w:color w:val="auto"/>
          <w:lang w:val="zh-CN"/>
        </w:rPr>
        <w:t>书写患者报告，采用所见即所得报告模式，直观展示报告，报告模板方便报告书写，模板元素库将报告进行结构化，进一步简化报告的书写。报告中可以插入采集的图像，生成图文报告。</w:t>
      </w:r>
    </w:p>
    <w:p w14:paraId="1293AE5F">
      <w:pPr>
        <w:pStyle w:val="14"/>
        <w:bidi w:val="0"/>
        <w:rPr>
          <w:color w:val="auto"/>
        </w:rPr>
      </w:pPr>
      <w:r>
        <w:rPr>
          <w:rFonts w:hint="eastAsia"/>
          <w:color w:val="auto"/>
          <w:lang w:val="en-US" w:eastAsia="zh-CN"/>
        </w:rPr>
        <w:t xml:space="preserve"> </w:t>
      </w:r>
      <w:r>
        <w:rPr>
          <w:rFonts w:hint="eastAsia"/>
          <w:color w:val="auto"/>
        </w:rPr>
        <w:t>消毒供应系统</w:t>
      </w:r>
    </w:p>
    <w:p w14:paraId="103DCF7E">
      <w:pPr>
        <w:bidi w:val="0"/>
        <w:rPr>
          <w:color w:val="auto"/>
        </w:rPr>
      </w:pPr>
      <w:r>
        <w:rPr>
          <w:color w:val="auto"/>
        </w:rPr>
        <w:t>通过条码化管理实现器械包回收、清洗消毒、配包灭菌到发放的全周期追溯，支持质量审核与设备监控，确保无菌物品的安全性和合规性，同时覆盖库存与有效期管理。</w:t>
      </w:r>
    </w:p>
    <w:p w14:paraId="7BD95EE0">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D44143D">
      <w:pPr>
        <w:snapToGrid w:val="0"/>
        <w:ind w:firstLine="482"/>
        <w:rPr>
          <w:rFonts w:cs="宋体"/>
          <w:b/>
          <w:bCs/>
          <w:color w:val="auto"/>
        </w:rPr>
      </w:pPr>
      <w:r>
        <w:rPr>
          <w:rFonts w:hint="eastAsia" w:cs="宋体"/>
          <w:b/>
          <w:bCs/>
          <w:color w:val="auto"/>
        </w:rPr>
        <w:t>器械包回收</w:t>
      </w:r>
    </w:p>
    <w:p w14:paraId="333CECB2">
      <w:pPr>
        <w:numPr>
          <w:ilvl w:val="0"/>
          <w:numId w:val="143"/>
        </w:numPr>
        <w:snapToGrid w:val="0"/>
        <w:ind w:firstLine="480" w:firstLineChars="200"/>
        <w:rPr>
          <w:rFonts w:cs="宋体"/>
          <w:color w:val="auto"/>
        </w:rPr>
      </w:pPr>
      <w:r>
        <w:rPr>
          <w:rFonts w:hint="eastAsia" w:cs="宋体"/>
          <w:color w:val="auto"/>
        </w:rPr>
        <w:t>依据器械包的一维条形码对器械包中的器械进行回收处理；</w:t>
      </w:r>
    </w:p>
    <w:p w14:paraId="5A0BCF43">
      <w:pPr>
        <w:numPr>
          <w:ilvl w:val="0"/>
          <w:numId w:val="143"/>
        </w:numPr>
        <w:snapToGrid w:val="0"/>
        <w:ind w:firstLine="480" w:firstLineChars="200"/>
        <w:rPr>
          <w:rFonts w:cs="宋体"/>
          <w:color w:val="auto"/>
        </w:rPr>
      </w:pPr>
      <w:r>
        <w:rPr>
          <w:rFonts w:hint="eastAsia" w:cs="宋体"/>
          <w:color w:val="auto"/>
        </w:rPr>
        <w:t>器械包无条码处理</w:t>
      </w:r>
      <w:r>
        <w:rPr>
          <w:rFonts w:hint="eastAsia" w:cs="宋体"/>
          <w:color w:val="auto"/>
        </w:rPr>
        <w:tab/>
      </w:r>
      <w:r>
        <w:rPr>
          <w:rFonts w:hint="eastAsia" w:cs="宋体"/>
          <w:color w:val="auto"/>
        </w:rPr>
        <w:t>器械包无条码回收登记，应对临床科室条码无法回收情况网篮关联，将回收器械信息与清洗网篮关联清洗消毒模块。</w:t>
      </w:r>
    </w:p>
    <w:p w14:paraId="670C2B07">
      <w:pPr>
        <w:snapToGrid w:val="0"/>
        <w:ind w:firstLine="482"/>
        <w:rPr>
          <w:rFonts w:cs="宋体"/>
          <w:b/>
          <w:bCs/>
          <w:color w:val="auto"/>
        </w:rPr>
      </w:pPr>
      <w:r>
        <w:rPr>
          <w:rFonts w:hint="eastAsia" w:cs="宋体"/>
          <w:b/>
          <w:bCs/>
          <w:color w:val="auto"/>
        </w:rPr>
        <w:t>设备清洗消毒记录</w:t>
      </w:r>
    </w:p>
    <w:p w14:paraId="492B938F">
      <w:pPr>
        <w:snapToGrid w:val="0"/>
        <w:ind w:firstLine="480"/>
        <w:rPr>
          <w:rFonts w:cs="宋体"/>
          <w:color w:val="auto"/>
        </w:rPr>
      </w:pPr>
      <w:r>
        <w:rPr>
          <w:rFonts w:hint="eastAsia" w:cs="宋体"/>
          <w:color w:val="auto"/>
        </w:rPr>
        <w:t>对回收器械的设备清洗消毒操作进行记录，包括清洗设备、清洗程序，锅次记录等。手工清洗消毒记录：对回收器械的手工清洗消毒操作进行记录。清洗消毒设备监控对清洗消毒设备在整个清洗消毒过程中的监测数据进行实施监控并记录（需设备厂家开放设备接口，提供对接数据，及必要的硬件设施）</w:t>
      </w:r>
    </w:p>
    <w:p w14:paraId="4283CDE0">
      <w:pPr>
        <w:snapToGrid w:val="0"/>
        <w:ind w:firstLine="482"/>
        <w:rPr>
          <w:rFonts w:cs="宋体"/>
          <w:b/>
          <w:bCs/>
          <w:color w:val="auto"/>
        </w:rPr>
      </w:pPr>
      <w:r>
        <w:rPr>
          <w:rFonts w:hint="eastAsia" w:cs="宋体"/>
          <w:b/>
          <w:bCs/>
          <w:color w:val="auto"/>
        </w:rPr>
        <w:t>配包模块</w:t>
      </w:r>
    </w:p>
    <w:p w14:paraId="5B3B2B72">
      <w:pPr>
        <w:snapToGrid w:val="0"/>
        <w:ind w:firstLine="480"/>
        <w:rPr>
          <w:rFonts w:cs="宋体"/>
          <w:color w:val="auto"/>
        </w:rPr>
      </w:pPr>
      <w:r>
        <w:rPr>
          <w:rFonts w:hint="eastAsia" w:cs="宋体"/>
          <w:color w:val="auto"/>
        </w:rPr>
        <w:t>1、消毒清洗质量审核；</w:t>
      </w:r>
    </w:p>
    <w:p w14:paraId="65759025">
      <w:pPr>
        <w:snapToGrid w:val="0"/>
        <w:ind w:firstLine="480"/>
        <w:rPr>
          <w:rFonts w:cs="宋体"/>
          <w:color w:val="auto"/>
        </w:rPr>
      </w:pPr>
      <w:r>
        <w:rPr>
          <w:rFonts w:hint="eastAsia" w:cs="宋体"/>
          <w:color w:val="auto"/>
        </w:rPr>
        <w:t>2、对回收器械的清洗消毒质量进行审核登记；</w:t>
      </w:r>
    </w:p>
    <w:p w14:paraId="21D4E3AE">
      <w:pPr>
        <w:snapToGrid w:val="0"/>
        <w:ind w:firstLine="480"/>
        <w:rPr>
          <w:rFonts w:cs="宋体"/>
          <w:color w:val="auto"/>
        </w:rPr>
      </w:pPr>
      <w:r>
        <w:rPr>
          <w:rFonts w:hint="eastAsia" w:cs="宋体"/>
          <w:color w:val="auto"/>
        </w:rPr>
        <w:t>3、配包：依据系统提示，提供图文并茂的器械包配置，进行配包。</w:t>
      </w:r>
    </w:p>
    <w:p w14:paraId="5B6E309D">
      <w:pPr>
        <w:snapToGrid w:val="0"/>
        <w:ind w:firstLine="480"/>
        <w:rPr>
          <w:rFonts w:cs="宋体"/>
          <w:color w:val="auto"/>
        </w:rPr>
      </w:pPr>
      <w:r>
        <w:rPr>
          <w:rFonts w:hint="eastAsia" w:cs="宋体"/>
          <w:color w:val="auto"/>
        </w:rPr>
        <w:t>4、配包质量审核：对配包的正确性进行检查，合格的情况下打印：器械包包外标签码及包外基本信息。</w:t>
      </w:r>
    </w:p>
    <w:p w14:paraId="4B760C18">
      <w:pPr>
        <w:snapToGrid w:val="0"/>
        <w:ind w:firstLine="482"/>
        <w:rPr>
          <w:rFonts w:cs="宋体"/>
          <w:b/>
          <w:bCs/>
          <w:color w:val="auto"/>
        </w:rPr>
      </w:pPr>
      <w:r>
        <w:rPr>
          <w:rFonts w:hint="eastAsia" w:cs="宋体"/>
          <w:b/>
          <w:bCs/>
          <w:color w:val="auto"/>
        </w:rPr>
        <w:t>灭菌模块</w:t>
      </w:r>
    </w:p>
    <w:p w14:paraId="4E82B0C1">
      <w:pPr>
        <w:numPr>
          <w:ilvl w:val="0"/>
          <w:numId w:val="144"/>
        </w:numPr>
        <w:snapToGrid w:val="0"/>
        <w:ind w:firstLine="480" w:firstLineChars="200"/>
        <w:rPr>
          <w:rFonts w:cs="宋体"/>
          <w:color w:val="auto"/>
        </w:rPr>
      </w:pPr>
      <w:r>
        <w:rPr>
          <w:rFonts w:hint="eastAsia" w:cs="宋体"/>
          <w:color w:val="auto"/>
        </w:rPr>
        <w:t>灭菌准备：灭菌前进行灭菌准备工作，将器械包信息与灭菌车关联。</w:t>
      </w:r>
    </w:p>
    <w:p w14:paraId="69F40593">
      <w:pPr>
        <w:numPr>
          <w:ilvl w:val="0"/>
          <w:numId w:val="144"/>
        </w:numPr>
        <w:snapToGrid w:val="0"/>
        <w:ind w:firstLine="480" w:firstLineChars="200"/>
        <w:rPr>
          <w:rFonts w:cs="宋体"/>
          <w:color w:val="auto"/>
        </w:rPr>
      </w:pPr>
      <w:r>
        <w:rPr>
          <w:rFonts w:hint="eastAsia" w:cs="宋体"/>
          <w:color w:val="auto"/>
        </w:rPr>
        <w:t>灭菌：对器械包的灭菌操作进行记录，包括灭菌设备、灭菌方式、灭菌程序，锅次记录等。</w:t>
      </w:r>
    </w:p>
    <w:p w14:paraId="6A3A84E9">
      <w:pPr>
        <w:numPr>
          <w:ilvl w:val="0"/>
          <w:numId w:val="144"/>
        </w:numPr>
        <w:snapToGrid w:val="0"/>
        <w:ind w:firstLine="480" w:firstLineChars="200"/>
        <w:rPr>
          <w:rFonts w:cs="宋体"/>
          <w:color w:val="auto"/>
        </w:rPr>
      </w:pPr>
      <w:r>
        <w:rPr>
          <w:rFonts w:hint="eastAsia" w:cs="宋体"/>
          <w:color w:val="auto"/>
        </w:rPr>
        <w:t>设备灭菌质量审核：依据测试包的结果判定灭菌过程是否合格，对审核结果进行记录。（3M灭菌结果自动判定、记录需3M厂家提供数据接口）。</w:t>
      </w:r>
    </w:p>
    <w:p w14:paraId="488DB8D1">
      <w:pPr>
        <w:numPr>
          <w:ilvl w:val="0"/>
          <w:numId w:val="144"/>
        </w:numPr>
        <w:snapToGrid w:val="0"/>
        <w:ind w:firstLine="480" w:firstLineChars="200"/>
        <w:rPr>
          <w:rFonts w:cs="宋体"/>
          <w:color w:val="auto"/>
        </w:rPr>
      </w:pPr>
      <w:r>
        <w:rPr>
          <w:rFonts w:hint="eastAsia" w:cs="宋体"/>
          <w:color w:val="auto"/>
        </w:rPr>
        <w:t>灭菌设备监控：对灭菌设备在整个灭菌过程中的监测数据进行实施监控并记录（需设备厂家开放设备接口，提供对接数据，及必要的硬件设施）。</w:t>
      </w:r>
    </w:p>
    <w:p w14:paraId="3190FB84">
      <w:pPr>
        <w:snapToGrid w:val="0"/>
        <w:ind w:firstLine="482"/>
        <w:rPr>
          <w:rFonts w:cs="宋体"/>
          <w:b/>
          <w:bCs/>
          <w:color w:val="auto"/>
        </w:rPr>
      </w:pPr>
      <w:r>
        <w:rPr>
          <w:rFonts w:hint="eastAsia" w:cs="宋体"/>
          <w:b/>
          <w:bCs/>
          <w:color w:val="auto"/>
        </w:rPr>
        <w:t>发放模块</w:t>
      </w:r>
    </w:p>
    <w:p w14:paraId="763306BE">
      <w:pPr>
        <w:numPr>
          <w:ilvl w:val="0"/>
          <w:numId w:val="145"/>
        </w:numPr>
        <w:snapToGrid w:val="0"/>
        <w:ind w:firstLine="480" w:firstLineChars="200"/>
        <w:rPr>
          <w:rFonts w:cs="宋体"/>
          <w:color w:val="auto"/>
        </w:rPr>
      </w:pPr>
      <w:r>
        <w:rPr>
          <w:rFonts w:hint="eastAsia" w:cs="宋体"/>
          <w:color w:val="auto"/>
        </w:rPr>
        <w:t>无菌包发放：对无菌包的发放进行管理，依据无菌包的一/二维条形码，记录每个包发放到的科室。</w:t>
      </w:r>
    </w:p>
    <w:p w14:paraId="458DE830">
      <w:pPr>
        <w:numPr>
          <w:ilvl w:val="0"/>
          <w:numId w:val="145"/>
        </w:numPr>
        <w:snapToGrid w:val="0"/>
        <w:ind w:firstLine="480" w:firstLineChars="200"/>
        <w:rPr>
          <w:rFonts w:cs="宋体"/>
          <w:color w:val="auto"/>
        </w:rPr>
      </w:pPr>
      <w:r>
        <w:rPr>
          <w:rFonts w:hint="eastAsia" w:cs="宋体"/>
          <w:color w:val="auto"/>
        </w:rPr>
        <w:t>一次性无菌物品发放：对一次性无菌物品的发放信息记录</w:t>
      </w:r>
    </w:p>
    <w:p w14:paraId="496ADC49">
      <w:pPr>
        <w:snapToGrid w:val="0"/>
        <w:ind w:firstLine="482"/>
        <w:rPr>
          <w:rFonts w:cs="宋体"/>
          <w:b/>
          <w:bCs/>
          <w:color w:val="auto"/>
        </w:rPr>
      </w:pPr>
      <w:r>
        <w:rPr>
          <w:rFonts w:hint="eastAsia" w:cs="宋体"/>
          <w:b/>
          <w:bCs/>
          <w:color w:val="auto"/>
        </w:rPr>
        <w:t>仓管模块</w:t>
      </w:r>
    </w:p>
    <w:p w14:paraId="5B23904F">
      <w:pPr>
        <w:numPr>
          <w:ilvl w:val="0"/>
          <w:numId w:val="146"/>
        </w:numPr>
        <w:snapToGrid w:val="0"/>
        <w:ind w:firstLine="480" w:firstLineChars="200"/>
        <w:rPr>
          <w:rFonts w:cs="宋体"/>
          <w:color w:val="auto"/>
        </w:rPr>
      </w:pPr>
      <w:r>
        <w:rPr>
          <w:rFonts w:hint="eastAsia" w:cs="宋体"/>
          <w:color w:val="auto"/>
        </w:rPr>
        <w:t>库存管理：对物品的库存进行管理，包括器械、一次性物品、耗材等。</w:t>
      </w:r>
    </w:p>
    <w:p w14:paraId="19D36BC2">
      <w:pPr>
        <w:numPr>
          <w:ilvl w:val="0"/>
          <w:numId w:val="146"/>
        </w:numPr>
        <w:snapToGrid w:val="0"/>
        <w:ind w:firstLine="480" w:firstLineChars="200"/>
        <w:rPr>
          <w:rFonts w:cs="宋体"/>
          <w:color w:val="auto"/>
        </w:rPr>
      </w:pPr>
      <w:r>
        <w:rPr>
          <w:rFonts w:hint="eastAsia" w:cs="宋体"/>
          <w:color w:val="auto"/>
        </w:rPr>
        <w:t>有效期管理</w:t>
      </w:r>
      <w:r>
        <w:rPr>
          <w:rFonts w:hint="eastAsia" w:cs="宋体"/>
          <w:color w:val="auto"/>
        </w:rPr>
        <w:tab/>
      </w:r>
      <w:r>
        <w:rPr>
          <w:rFonts w:hint="eastAsia" w:cs="宋体"/>
          <w:color w:val="auto"/>
        </w:rPr>
        <w:t>：对无菌包及一次性物品的有效期进行管理，过期包预先提示过期物品不允许发放、使用等。</w:t>
      </w:r>
    </w:p>
    <w:p w14:paraId="261F0B3B">
      <w:pPr>
        <w:numPr>
          <w:ilvl w:val="0"/>
          <w:numId w:val="146"/>
        </w:numPr>
        <w:snapToGrid w:val="0"/>
        <w:ind w:firstLine="480" w:firstLineChars="200"/>
        <w:rPr>
          <w:rFonts w:cs="宋体"/>
          <w:color w:val="auto"/>
        </w:rPr>
      </w:pPr>
      <w:r>
        <w:rPr>
          <w:rFonts w:hint="eastAsia" w:cs="宋体"/>
          <w:color w:val="auto"/>
        </w:rPr>
        <w:t>入库管理：对物品的入库操作进行记录，包括入库单的查询、入库记录</w:t>
      </w:r>
    </w:p>
    <w:p w14:paraId="030965EF">
      <w:pPr>
        <w:numPr>
          <w:ilvl w:val="0"/>
          <w:numId w:val="146"/>
        </w:numPr>
        <w:snapToGrid w:val="0"/>
        <w:ind w:firstLine="480" w:firstLineChars="200"/>
        <w:rPr>
          <w:rFonts w:cs="宋体"/>
          <w:color w:val="auto"/>
        </w:rPr>
      </w:pPr>
      <w:r>
        <w:rPr>
          <w:rFonts w:hint="eastAsia" w:cs="宋体"/>
          <w:color w:val="auto"/>
        </w:rPr>
        <w:t>出库管理：对物品的出库操作进行记录，包括出库单的查询、出库记录。</w:t>
      </w:r>
    </w:p>
    <w:p w14:paraId="416E01B9">
      <w:pPr>
        <w:snapToGrid w:val="0"/>
        <w:ind w:firstLine="482"/>
        <w:rPr>
          <w:rFonts w:cs="宋体"/>
          <w:b/>
          <w:bCs/>
          <w:color w:val="auto"/>
        </w:rPr>
      </w:pPr>
      <w:r>
        <w:rPr>
          <w:rFonts w:hint="eastAsia" w:cs="宋体"/>
          <w:b/>
          <w:bCs/>
          <w:color w:val="auto"/>
        </w:rPr>
        <w:t>临床科室模块</w:t>
      </w:r>
    </w:p>
    <w:p w14:paraId="746C9634">
      <w:pPr>
        <w:numPr>
          <w:ilvl w:val="0"/>
          <w:numId w:val="147"/>
        </w:numPr>
        <w:snapToGrid w:val="0"/>
        <w:ind w:firstLine="480" w:firstLineChars="200"/>
        <w:rPr>
          <w:rFonts w:cs="宋体"/>
          <w:color w:val="auto"/>
        </w:rPr>
      </w:pPr>
      <w:r>
        <w:rPr>
          <w:rFonts w:hint="eastAsia" w:cs="宋体"/>
          <w:color w:val="auto"/>
        </w:rPr>
        <w:t>使用管理模块：对器械包的使用情况进行记录，将器械包信息与病人信息关联、对特殊感染病人有标记功能；</w:t>
      </w:r>
    </w:p>
    <w:p w14:paraId="422BBB78">
      <w:pPr>
        <w:numPr>
          <w:ilvl w:val="0"/>
          <w:numId w:val="147"/>
        </w:numPr>
        <w:snapToGrid w:val="0"/>
        <w:ind w:firstLine="480" w:firstLineChars="200"/>
        <w:rPr>
          <w:rFonts w:cs="宋体"/>
          <w:color w:val="auto"/>
        </w:rPr>
      </w:pPr>
      <w:r>
        <w:rPr>
          <w:rFonts w:hint="eastAsia" w:cs="宋体"/>
          <w:color w:val="auto"/>
        </w:rPr>
        <w:t>器械包接收模块：记录科室接收器械包信息，与消毒供应中心发放信息对应、能查看临床科室标记的特殊感染病人使用后对应的包信息并有特殊提醒。</w:t>
      </w:r>
    </w:p>
    <w:p w14:paraId="44DF7D24">
      <w:pPr>
        <w:snapToGrid w:val="0"/>
        <w:ind w:firstLine="482"/>
        <w:rPr>
          <w:rFonts w:cs="宋体"/>
          <w:b/>
          <w:bCs/>
          <w:color w:val="auto"/>
        </w:rPr>
      </w:pPr>
      <w:r>
        <w:rPr>
          <w:rFonts w:hint="eastAsia" w:cs="宋体"/>
          <w:b/>
          <w:bCs/>
          <w:color w:val="auto"/>
        </w:rPr>
        <w:t>追溯管理</w:t>
      </w:r>
    </w:p>
    <w:p w14:paraId="4A44EB62">
      <w:pPr>
        <w:snapToGrid w:val="0"/>
        <w:ind w:firstLine="480"/>
        <w:rPr>
          <w:rFonts w:cs="宋体"/>
          <w:color w:val="auto"/>
        </w:rPr>
      </w:pPr>
      <w:r>
        <w:rPr>
          <w:rFonts w:hint="eastAsia" w:cs="宋体"/>
          <w:color w:val="auto"/>
        </w:rPr>
        <w:t>1、器械包追溯</w:t>
      </w:r>
      <w:r>
        <w:rPr>
          <w:rFonts w:hint="eastAsia" w:cs="宋体"/>
          <w:color w:val="auto"/>
        </w:rPr>
        <w:tab/>
      </w:r>
      <w:r>
        <w:rPr>
          <w:rFonts w:hint="eastAsia" w:cs="宋体"/>
          <w:color w:val="auto"/>
        </w:rPr>
        <w:t>：根据器械包条码追溯器械包生产信息。2、病人追溯：根据病人信息追溯病人使用器械包信息。</w:t>
      </w:r>
    </w:p>
    <w:p w14:paraId="4E0F4464">
      <w:pPr>
        <w:snapToGrid w:val="0"/>
        <w:ind w:firstLine="480"/>
        <w:rPr>
          <w:rFonts w:cs="宋体"/>
          <w:color w:val="auto"/>
        </w:rPr>
      </w:pPr>
      <w:r>
        <w:rPr>
          <w:rFonts w:hint="eastAsia" w:cs="宋体"/>
          <w:color w:val="auto"/>
        </w:rPr>
        <w:t>3、综合追溯：根据多种条件，连续查询多种维度的数据，进行纵向分析。</w:t>
      </w:r>
    </w:p>
    <w:p w14:paraId="77401A6D">
      <w:pPr>
        <w:snapToGrid w:val="0"/>
        <w:ind w:firstLine="482"/>
        <w:rPr>
          <w:rFonts w:cs="宋体"/>
          <w:b/>
          <w:bCs/>
          <w:color w:val="auto"/>
        </w:rPr>
      </w:pPr>
      <w:r>
        <w:rPr>
          <w:rFonts w:hint="eastAsia" w:cs="宋体"/>
          <w:b/>
          <w:bCs/>
          <w:color w:val="auto"/>
        </w:rPr>
        <w:t>报表模块</w:t>
      </w:r>
    </w:p>
    <w:p w14:paraId="40218F32">
      <w:pPr>
        <w:snapToGrid w:val="0"/>
        <w:ind w:firstLine="480"/>
        <w:rPr>
          <w:rFonts w:cs="宋体"/>
          <w:color w:val="auto"/>
        </w:rPr>
      </w:pPr>
      <w:r>
        <w:rPr>
          <w:rFonts w:hint="eastAsia" w:cs="宋体"/>
          <w:color w:val="auto"/>
        </w:rPr>
        <w:t>日常报表管理：提供消毒供应中心报表、临床科室报表、有效期报表、工作量报表等。</w:t>
      </w:r>
    </w:p>
    <w:p w14:paraId="724446F8">
      <w:pPr>
        <w:pStyle w:val="13"/>
        <w:bidi w:val="0"/>
        <w:ind w:left="1008" w:leftChars="0" w:hanging="1008" w:firstLineChars="0"/>
        <w:rPr>
          <w:color w:val="auto"/>
        </w:rPr>
      </w:pPr>
      <w:r>
        <w:rPr>
          <w:rFonts w:hint="eastAsia"/>
          <w:color w:val="auto"/>
          <w:lang w:val="en-US" w:eastAsia="zh-CN"/>
        </w:rPr>
        <w:t xml:space="preserve"> </w:t>
      </w:r>
      <w:r>
        <w:rPr>
          <w:rFonts w:hint="eastAsia"/>
          <w:color w:val="auto"/>
        </w:rPr>
        <w:t>医疗管理</w:t>
      </w:r>
      <w:r>
        <w:rPr>
          <w:rFonts w:hint="eastAsia"/>
          <w:color w:val="auto"/>
        </w:rPr>
        <w:tab/>
      </w:r>
    </w:p>
    <w:p w14:paraId="31D2C42E">
      <w:pPr>
        <w:pStyle w:val="14"/>
        <w:bidi w:val="0"/>
        <w:rPr>
          <w:color w:val="auto"/>
        </w:rPr>
      </w:pPr>
      <w:r>
        <w:rPr>
          <w:rFonts w:hint="eastAsia"/>
          <w:color w:val="auto"/>
          <w:lang w:val="en-US" w:eastAsia="zh-CN"/>
        </w:rPr>
        <w:t xml:space="preserve"> </w:t>
      </w:r>
      <w:r>
        <w:rPr>
          <w:rFonts w:hint="eastAsia"/>
          <w:color w:val="auto"/>
        </w:rPr>
        <w:t>医务科管理系统</w:t>
      </w:r>
    </w:p>
    <w:p w14:paraId="449B84CC">
      <w:pPr>
        <w:bidi w:val="0"/>
        <w:rPr>
          <w:color w:val="auto"/>
        </w:rPr>
      </w:pPr>
      <w:r>
        <w:rPr>
          <w:color w:val="auto"/>
        </w:rPr>
        <w:t>集成医政管理、医师考核、医疗纠纷处理及质控功能，支持三级公立医院绩效考核指标管理，实现从执业授权到病历质控的全方位医疗行为监管与数据分析。</w:t>
      </w:r>
    </w:p>
    <w:p w14:paraId="517FEFE9">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0CDDC03">
      <w:pPr>
        <w:pStyle w:val="341"/>
        <w:spacing w:beforeLines="0"/>
        <w:ind w:firstLine="482"/>
        <w:rPr>
          <w:rFonts w:hint="eastAsia" w:ascii="宋体" w:hAnsi="宋体" w:cs="仿宋"/>
          <w:b/>
          <w:bCs/>
          <w:color w:val="auto"/>
          <w:sz w:val="24"/>
          <w:szCs w:val="24"/>
        </w:rPr>
      </w:pPr>
      <w:bookmarkStart w:id="294" w:name="_Toc106373140"/>
      <w:r>
        <w:rPr>
          <w:rFonts w:hint="eastAsia" w:ascii="宋体" w:hAnsi="宋体" w:cs="仿宋"/>
          <w:b/>
          <w:bCs/>
          <w:color w:val="auto"/>
          <w:sz w:val="24"/>
          <w:szCs w:val="24"/>
        </w:rPr>
        <w:t>医政管理</w:t>
      </w:r>
      <w:bookmarkEnd w:id="294"/>
    </w:p>
    <w:p w14:paraId="5BFF6411">
      <w:pPr>
        <w:pStyle w:val="341"/>
        <w:spacing w:beforeLines="0"/>
        <w:ind w:firstLine="480"/>
        <w:rPr>
          <w:rFonts w:hint="eastAsia" w:ascii="宋体" w:hAnsi="宋体"/>
          <w:color w:val="auto"/>
          <w:sz w:val="24"/>
          <w:szCs w:val="24"/>
        </w:rPr>
      </w:pPr>
      <w:r>
        <w:rPr>
          <w:rFonts w:hint="eastAsia" w:ascii="宋体" w:hAnsi="宋体"/>
          <w:color w:val="auto"/>
          <w:sz w:val="24"/>
          <w:szCs w:val="24"/>
        </w:rPr>
        <w:t>医生档案管理</w:t>
      </w:r>
    </w:p>
    <w:p w14:paraId="51C66A94">
      <w:pPr>
        <w:pStyle w:val="94"/>
        <w:numPr>
          <w:ilvl w:val="0"/>
          <w:numId w:val="148"/>
        </w:numPr>
        <w:ind w:left="0" w:firstLine="480"/>
        <w:rPr>
          <w:color w:val="auto"/>
          <w:sz w:val="24"/>
        </w:rPr>
      </w:pPr>
      <w:r>
        <w:rPr>
          <w:rFonts w:hint="eastAsia"/>
          <w:color w:val="auto"/>
          <w:sz w:val="24"/>
        </w:rPr>
        <w:t>包括医生档案管理并与信息系统权限管理（抗生素分级、手术分级等）相关联。</w:t>
      </w:r>
    </w:p>
    <w:p w14:paraId="0F5DA3DC">
      <w:pPr>
        <w:pStyle w:val="341"/>
        <w:spacing w:beforeLines="0"/>
        <w:ind w:firstLine="480"/>
        <w:rPr>
          <w:rFonts w:hint="eastAsia" w:ascii="宋体" w:hAnsi="宋体"/>
          <w:color w:val="auto"/>
          <w:sz w:val="24"/>
          <w:szCs w:val="24"/>
        </w:rPr>
      </w:pPr>
      <w:bookmarkStart w:id="295" w:name="_Toc106373141"/>
      <w:r>
        <w:rPr>
          <w:rFonts w:hint="eastAsia" w:ascii="宋体" w:hAnsi="宋体"/>
          <w:color w:val="auto"/>
          <w:sz w:val="24"/>
          <w:szCs w:val="24"/>
        </w:rPr>
        <w:t>医师考核管理</w:t>
      </w:r>
    </w:p>
    <w:p w14:paraId="2EFCADCA">
      <w:pPr>
        <w:pStyle w:val="94"/>
        <w:numPr>
          <w:ilvl w:val="0"/>
          <w:numId w:val="148"/>
        </w:numPr>
        <w:ind w:left="0" w:firstLine="480"/>
        <w:rPr>
          <w:color w:val="auto"/>
          <w:sz w:val="24"/>
        </w:rPr>
      </w:pPr>
      <w:r>
        <w:rPr>
          <w:rFonts w:hint="eastAsia"/>
          <w:color w:val="auto"/>
          <w:sz w:val="24"/>
        </w:rPr>
        <w:t>包括科室每月绩效考核、员工晋升与定级考核、医师日常行为记分（纠纷扣分、表扬加分、配合医务情况评分）、医师定期考核、离退休人员返聘考核功能。</w:t>
      </w:r>
    </w:p>
    <w:p w14:paraId="3568859C">
      <w:pPr>
        <w:pStyle w:val="341"/>
        <w:spacing w:beforeLines="0"/>
        <w:ind w:firstLine="480"/>
        <w:rPr>
          <w:rFonts w:hint="eastAsia" w:ascii="宋体" w:hAnsi="宋体"/>
          <w:color w:val="auto"/>
          <w:sz w:val="24"/>
          <w:szCs w:val="24"/>
        </w:rPr>
      </w:pPr>
      <w:r>
        <w:rPr>
          <w:rFonts w:hint="eastAsia" w:ascii="宋体" w:hAnsi="宋体"/>
          <w:color w:val="auto"/>
          <w:sz w:val="24"/>
          <w:szCs w:val="24"/>
        </w:rPr>
        <w:t>依法执业管理</w:t>
      </w:r>
    </w:p>
    <w:p w14:paraId="392D542D">
      <w:pPr>
        <w:pStyle w:val="94"/>
        <w:numPr>
          <w:ilvl w:val="0"/>
          <w:numId w:val="148"/>
        </w:numPr>
        <w:ind w:left="0" w:firstLine="480"/>
        <w:rPr>
          <w:color w:val="auto"/>
          <w:sz w:val="24"/>
        </w:rPr>
      </w:pPr>
      <w:r>
        <w:rPr>
          <w:rFonts w:hint="eastAsia"/>
          <w:color w:val="auto"/>
          <w:sz w:val="24"/>
        </w:rPr>
        <w:t>包括执业考试及注册、授权管理（手术级别授权、技能操作授权、抗菌药物及精神、麻药品授权）功能。</w:t>
      </w:r>
    </w:p>
    <w:p w14:paraId="00B43B38">
      <w:pPr>
        <w:pStyle w:val="341"/>
        <w:spacing w:beforeLines="0"/>
        <w:ind w:firstLine="480"/>
        <w:rPr>
          <w:rFonts w:hint="eastAsia" w:ascii="宋体" w:hAnsi="宋体"/>
          <w:color w:val="auto"/>
          <w:sz w:val="24"/>
          <w:szCs w:val="24"/>
        </w:rPr>
      </w:pPr>
      <w:r>
        <w:rPr>
          <w:rFonts w:hint="eastAsia" w:ascii="宋体" w:hAnsi="宋体"/>
          <w:color w:val="auto"/>
          <w:sz w:val="24"/>
          <w:szCs w:val="24"/>
        </w:rPr>
        <w:t>医师培训</w:t>
      </w:r>
    </w:p>
    <w:p w14:paraId="46FC0F50">
      <w:pPr>
        <w:pStyle w:val="94"/>
        <w:numPr>
          <w:ilvl w:val="0"/>
          <w:numId w:val="148"/>
        </w:numPr>
        <w:ind w:left="0" w:firstLine="480"/>
        <w:rPr>
          <w:color w:val="auto"/>
          <w:sz w:val="24"/>
        </w:rPr>
      </w:pPr>
      <w:r>
        <w:rPr>
          <w:rFonts w:hint="eastAsia"/>
          <w:color w:val="auto"/>
          <w:sz w:val="24"/>
        </w:rPr>
        <w:t>包括业务学习培训、三基培训、对外配合培训的管理，记录并发布相关信息。</w:t>
      </w:r>
    </w:p>
    <w:p w14:paraId="3C849529">
      <w:pPr>
        <w:pStyle w:val="341"/>
        <w:spacing w:beforeLines="0"/>
        <w:ind w:firstLine="480"/>
        <w:rPr>
          <w:rFonts w:hint="eastAsia" w:ascii="宋体" w:hAnsi="宋体" w:cs="仿宋"/>
          <w:b/>
          <w:bCs/>
          <w:color w:val="auto"/>
          <w:sz w:val="24"/>
          <w:szCs w:val="24"/>
        </w:rPr>
      </w:pPr>
      <w:r>
        <w:rPr>
          <w:rFonts w:hint="eastAsia" w:ascii="宋体" w:hAnsi="宋体" w:cs="仿宋"/>
          <w:b/>
          <w:bCs/>
          <w:color w:val="auto"/>
          <w:sz w:val="24"/>
          <w:szCs w:val="24"/>
        </w:rPr>
        <w:t>医疗纠纷管理</w:t>
      </w:r>
      <w:bookmarkEnd w:id="295"/>
    </w:p>
    <w:p w14:paraId="49CAA2EC">
      <w:pPr>
        <w:pStyle w:val="341"/>
        <w:spacing w:beforeLines="0"/>
        <w:ind w:firstLine="480"/>
        <w:rPr>
          <w:rFonts w:hint="eastAsia" w:ascii="宋体" w:hAnsi="宋体"/>
          <w:color w:val="auto"/>
          <w:sz w:val="24"/>
          <w:szCs w:val="24"/>
        </w:rPr>
      </w:pPr>
      <w:bookmarkStart w:id="296" w:name="_Toc106373142"/>
      <w:r>
        <w:rPr>
          <w:rFonts w:hint="eastAsia" w:ascii="宋体" w:hAnsi="宋体"/>
          <w:color w:val="auto"/>
          <w:sz w:val="24"/>
          <w:szCs w:val="24"/>
        </w:rPr>
        <w:t>投诉/纠纷查询</w:t>
      </w:r>
    </w:p>
    <w:p w14:paraId="6C9AFC5E">
      <w:pPr>
        <w:pStyle w:val="94"/>
        <w:numPr>
          <w:ilvl w:val="0"/>
          <w:numId w:val="148"/>
        </w:numPr>
        <w:ind w:left="0" w:firstLine="480"/>
        <w:rPr>
          <w:color w:val="auto"/>
          <w:sz w:val="24"/>
        </w:rPr>
      </w:pPr>
      <w:r>
        <w:rPr>
          <w:rFonts w:hint="eastAsia"/>
          <w:color w:val="auto"/>
          <w:sz w:val="24"/>
        </w:rPr>
        <w:t>实现投诉/纠纷基本信息的查询。</w:t>
      </w:r>
    </w:p>
    <w:p w14:paraId="7D718AC7">
      <w:pPr>
        <w:pStyle w:val="341"/>
        <w:spacing w:beforeLines="0"/>
        <w:ind w:firstLine="480"/>
        <w:rPr>
          <w:rFonts w:hint="eastAsia" w:ascii="宋体" w:hAnsi="宋体"/>
          <w:color w:val="auto"/>
          <w:sz w:val="24"/>
          <w:szCs w:val="24"/>
        </w:rPr>
      </w:pPr>
      <w:r>
        <w:rPr>
          <w:rFonts w:hint="eastAsia" w:ascii="宋体" w:hAnsi="宋体"/>
          <w:color w:val="auto"/>
          <w:sz w:val="24"/>
          <w:szCs w:val="24"/>
        </w:rPr>
        <w:t>投诉/纠纷处理</w:t>
      </w:r>
    </w:p>
    <w:p w14:paraId="18B6FAC9">
      <w:pPr>
        <w:pStyle w:val="94"/>
        <w:numPr>
          <w:ilvl w:val="0"/>
          <w:numId w:val="148"/>
        </w:numPr>
        <w:ind w:left="0" w:firstLine="480"/>
        <w:rPr>
          <w:color w:val="auto"/>
          <w:sz w:val="24"/>
        </w:rPr>
      </w:pPr>
      <w:r>
        <w:rPr>
          <w:rFonts w:hint="eastAsia"/>
          <w:color w:val="auto"/>
          <w:sz w:val="24"/>
        </w:rPr>
        <w:t>实现投诉/纠纷处理信息的查询。</w:t>
      </w:r>
    </w:p>
    <w:p w14:paraId="663D3B27">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文件管理</w:t>
      </w:r>
      <w:bookmarkEnd w:id="296"/>
    </w:p>
    <w:p w14:paraId="4FAD52C1">
      <w:pPr>
        <w:pStyle w:val="341"/>
        <w:spacing w:beforeLines="0"/>
        <w:ind w:firstLine="480"/>
        <w:rPr>
          <w:rFonts w:hint="eastAsia" w:ascii="宋体" w:hAnsi="宋体"/>
          <w:color w:val="auto"/>
          <w:sz w:val="24"/>
          <w:szCs w:val="24"/>
        </w:rPr>
      </w:pPr>
      <w:bookmarkStart w:id="297" w:name="_Toc106373143"/>
      <w:r>
        <w:rPr>
          <w:rFonts w:hint="eastAsia" w:ascii="宋体" w:hAnsi="宋体"/>
          <w:color w:val="auto"/>
          <w:sz w:val="24"/>
          <w:szCs w:val="24"/>
        </w:rPr>
        <w:t>文书管理</w:t>
      </w:r>
    </w:p>
    <w:p w14:paraId="50C50B33">
      <w:pPr>
        <w:pStyle w:val="94"/>
        <w:numPr>
          <w:ilvl w:val="0"/>
          <w:numId w:val="148"/>
        </w:numPr>
        <w:ind w:left="0" w:firstLine="480"/>
        <w:rPr>
          <w:color w:val="auto"/>
          <w:sz w:val="24"/>
        </w:rPr>
      </w:pPr>
      <w:r>
        <w:rPr>
          <w:rFonts w:hint="eastAsia"/>
          <w:color w:val="auto"/>
          <w:sz w:val="24"/>
        </w:rPr>
        <w:t>实现文件的上传、删除、下载等维护管理。支持文本文件、word、PDF、图片等附件。</w:t>
      </w:r>
    </w:p>
    <w:p w14:paraId="666D9289">
      <w:pPr>
        <w:pStyle w:val="341"/>
        <w:spacing w:beforeLines="0"/>
        <w:ind w:firstLine="480"/>
        <w:rPr>
          <w:rFonts w:hint="eastAsia" w:ascii="宋体" w:hAnsi="宋体"/>
          <w:color w:val="auto"/>
          <w:sz w:val="24"/>
          <w:szCs w:val="24"/>
        </w:rPr>
      </w:pPr>
      <w:r>
        <w:rPr>
          <w:rFonts w:hint="eastAsia" w:ascii="宋体" w:hAnsi="宋体"/>
          <w:color w:val="auto"/>
          <w:sz w:val="24"/>
          <w:szCs w:val="24"/>
        </w:rPr>
        <w:t>上下级通知管理</w:t>
      </w:r>
    </w:p>
    <w:p w14:paraId="5DF2A7DF">
      <w:pPr>
        <w:pStyle w:val="94"/>
        <w:numPr>
          <w:ilvl w:val="0"/>
          <w:numId w:val="148"/>
        </w:numPr>
        <w:ind w:left="0" w:firstLine="480"/>
        <w:rPr>
          <w:color w:val="auto"/>
          <w:sz w:val="24"/>
        </w:rPr>
      </w:pPr>
      <w:r>
        <w:rPr>
          <w:rFonts w:hint="eastAsia"/>
          <w:color w:val="auto"/>
          <w:sz w:val="24"/>
        </w:rPr>
        <w:t>实现文件的上传、删除、下载等维护管理。支持文本文件、word、PDF、图片等附件。</w:t>
      </w:r>
    </w:p>
    <w:p w14:paraId="4997D137">
      <w:pPr>
        <w:pStyle w:val="341"/>
        <w:spacing w:beforeLines="0"/>
        <w:ind w:firstLine="480"/>
        <w:rPr>
          <w:rFonts w:hint="eastAsia" w:ascii="宋体" w:hAnsi="宋体"/>
          <w:color w:val="auto"/>
          <w:sz w:val="24"/>
          <w:szCs w:val="24"/>
        </w:rPr>
      </w:pPr>
      <w:r>
        <w:rPr>
          <w:rFonts w:hint="eastAsia" w:ascii="宋体" w:hAnsi="宋体"/>
          <w:color w:val="auto"/>
          <w:sz w:val="24"/>
          <w:szCs w:val="24"/>
        </w:rPr>
        <w:t>公文管理</w:t>
      </w:r>
    </w:p>
    <w:p w14:paraId="45C6F267">
      <w:pPr>
        <w:pStyle w:val="94"/>
        <w:numPr>
          <w:ilvl w:val="0"/>
          <w:numId w:val="148"/>
        </w:numPr>
        <w:ind w:left="0" w:firstLine="480"/>
        <w:rPr>
          <w:color w:val="auto"/>
          <w:sz w:val="24"/>
        </w:rPr>
      </w:pPr>
      <w:r>
        <w:rPr>
          <w:rFonts w:hint="eastAsia"/>
          <w:color w:val="auto"/>
          <w:sz w:val="24"/>
        </w:rPr>
        <w:t>实现文件的上传、删除、下载等维护管理。支持文本文件、word、PDF、图片等附件。</w:t>
      </w:r>
    </w:p>
    <w:p w14:paraId="6A9C559B">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质量控制</w:t>
      </w:r>
      <w:bookmarkEnd w:id="297"/>
      <w:bookmarkStart w:id="298" w:name="_Toc2702"/>
      <w:bookmarkStart w:id="299" w:name="_Toc2820"/>
    </w:p>
    <w:bookmarkEnd w:id="298"/>
    <w:bookmarkEnd w:id="299"/>
    <w:p w14:paraId="005E8105">
      <w:pPr>
        <w:pStyle w:val="341"/>
        <w:spacing w:beforeLines="0"/>
        <w:ind w:firstLine="480"/>
        <w:rPr>
          <w:rFonts w:hint="eastAsia" w:ascii="宋体" w:hAnsi="宋体"/>
          <w:color w:val="auto"/>
          <w:sz w:val="24"/>
          <w:szCs w:val="24"/>
        </w:rPr>
      </w:pPr>
      <w:r>
        <w:rPr>
          <w:rFonts w:hint="eastAsia" w:ascii="宋体" w:hAnsi="宋体"/>
          <w:color w:val="auto"/>
          <w:sz w:val="24"/>
          <w:szCs w:val="24"/>
        </w:rPr>
        <w:t>每月医疗质量核查</w:t>
      </w:r>
    </w:p>
    <w:p w14:paraId="36C8C77B">
      <w:pPr>
        <w:pStyle w:val="94"/>
        <w:numPr>
          <w:ilvl w:val="0"/>
          <w:numId w:val="148"/>
        </w:numPr>
        <w:ind w:left="0" w:firstLine="480"/>
        <w:rPr>
          <w:color w:val="auto"/>
          <w:sz w:val="24"/>
        </w:rPr>
      </w:pPr>
      <w:r>
        <w:rPr>
          <w:rFonts w:hint="eastAsia"/>
          <w:color w:val="auto"/>
          <w:sz w:val="24"/>
        </w:rPr>
        <w:t>实现月末发布下月质控重点内容、月末科室上交自查报告、每月第一周下科室进行上月质控内容检查、月中对核查结果进行反馈。</w:t>
      </w:r>
    </w:p>
    <w:p w14:paraId="29109B1D">
      <w:pPr>
        <w:pStyle w:val="341"/>
        <w:spacing w:beforeLines="0"/>
        <w:ind w:firstLine="480"/>
        <w:rPr>
          <w:rFonts w:hint="eastAsia" w:ascii="宋体" w:hAnsi="宋体"/>
          <w:color w:val="auto"/>
          <w:sz w:val="24"/>
          <w:szCs w:val="24"/>
        </w:rPr>
      </w:pPr>
      <w:r>
        <w:rPr>
          <w:rFonts w:hint="eastAsia" w:ascii="宋体" w:hAnsi="宋体"/>
          <w:color w:val="auto"/>
          <w:sz w:val="24"/>
          <w:szCs w:val="24"/>
        </w:rPr>
        <w:t>病历质量检查</w:t>
      </w:r>
    </w:p>
    <w:p w14:paraId="70D2434B">
      <w:pPr>
        <w:pStyle w:val="94"/>
        <w:numPr>
          <w:ilvl w:val="0"/>
          <w:numId w:val="148"/>
        </w:numPr>
        <w:ind w:left="0" w:firstLine="480"/>
        <w:rPr>
          <w:color w:val="auto"/>
          <w:sz w:val="24"/>
        </w:rPr>
      </w:pPr>
      <w:r>
        <w:rPr>
          <w:rFonts w:hint="eastAsia"/>
          <w:color w:val="auto"/>
          <w:sz w:val="24"/>
        </w:rPr>
        <w:t>对病历按时归档情况、运行病历及归档病历质量检查；病历首页检查。</w:t>
      </w:r>
    </w:p>
    <w:p w14:paraId="2FE6A2E8">
      <w:pPr>
        <w:pStyle w:val="341"/>
        <w:spacing w:beforeLines="0"/>
        <w:ind w:firstLine="480"/>
        <w:rPr>
          <w:rFonts w:hint="eastAsia" w:ascii="宋体" w:hAnsi="宋体"/>
          <w:color w:val="auto"/>
          <w:sz w:val="24"/>
          <w:szCs w:val="24"/>
        </w:rPr>
      </w:pPr>
      <w:r>
        <w:rPr>
          <w:rFonts w:hint="eastAsia" w:ascii="宋体" w:hAnsi="宋体"/>
          <w:color w:val="auto"/>
          <w:sz w:val="24"/>
          <w:szCs w:val="24"/>
        </w:rPr>
        <w:t>不良事件处理</w:t>
      </w:r>
    </w:p>
    <w:p w14:paraId="6311117D">
      <w:pPr>
        <w:pStyle w:val="94"/>
        <w:numPr>
          <w:ilvl w:val="0"/>
          <w:numId w:val="148"/>
        </w:numPr>
        <w:ind w:left="0" w:firstLine="480"/>
        <w:rPr>
          <w:color w:val="auto"/>
          <w:sz w:val="24"/>
        </w:rPr>
      </w:pPr>
      <w:r>
        <w:rPr>
          <w:rFonts w:hint="eastAsia"/>
          <w:color w:val="auto"/>
          <w:sz w:val="24"/>
        </w:rPr>
        <w:t>包括不良事件登记；每季度和每年进行不良事件分析；非计划手术分析；住院超30天分析。</w:t>
      </w:r>
    </w:p>
    <w:p w14:paraId="2B1FBAA0">
      <w:pPr>
        <w:pStyle w:val="341"/>
        <w:spacing w:beforeLines="0"/>
        <w:ind w:firstLine="480"/>
        <w:rPr>
          <w:rFonts w:hint="eastAsia" w:ascii="宋体" w:hAnsi="宋体"/>
          <w:color w:val="auto"/>
          <w:sz w:val="24"/>
          <w:szCs w:val="24"/>
        </w:rPr>
      </w:pPr>
      <w:r>
        <w:rPr>
          <w:rFonts w:hint="eastAsia" w:ascii="宋体" w:hAnsi="宋体"/>
          <w:color w:val="auto"/>
          <w:sz w:val="24"/>
          <w:szCs w:val="24"/>
        </w:rPr>
        <w:t>单病种及临床路径督查</w:t>
      </w:r>
    </w:p>
    <w:p w14:paraId="1483931C">
      <w:pPr>
        <w:pStyle w:val="94"/>
        <w:numPr>
          <w:ilvl w:val="0"/>
          <w:numId w:val="148"/>
        </w:numPr>
        <w:ind w:left="0" w:firstLine="480"/>
        <w:rPr>
          <w:color w:val="auto"/>
          <w:sz w:val="24"/>
        </w:rPr>
      </w:pPr>
      <w:r>
        <w:rPr>
          <w:rFonts w:hint="eastAsia"/>
          <w:color w:val="auto"/>
          <w:sz w:val="24"/>
        </w:rPr>
        <w:t>检查每月单病种及临床路径科室完成情况并发通报；每半年对单病种及临床路径存在的问题进行分析。</w:t>
      </w:r>
    </w:p>
    <w:p w14:paraId="25BCAB1A">
      <w:pPr>
        <w:pStyle w:val="341"/>
        <w:spacing w:beforeLines="0"/>
        <w:ind w:firstLine="480"/>
        <w:rPr>
          <w:rFonts w:hint="eastAsia" w:ascii="宋体" w:hAnsi="宋体"/>
          <w:color w:val="auto"/>
          <w:sz w:val="24"/>
          <w:szCs w:val="24"/>
        </w:rPr>
      </w:pPr>
      <w:r>
        <w:rPr>
          <w:rFonts w:hint="eastAsia" w:ascii="宋体" w:hAnsi="宋体"/>
          <w:color w:val="auto"/>
          <w:sz w:val="24"/>
          <w:szCs w:val="24"/>
        </w:rPr>
        <w:t>医疗风险预警</w:t>
      </w:r>
    </w:p>
    <w:p w14:paraId="583609F4">
      <w:pPr>
        <w:pStyle w:val="94"/>
        <w:numPr>
          <w:ilvl w:val="0"/>
          <w:numId w:val="148"/>
        </w:numPr>
        <w:ind w:left="0" w:firstLine="480"/>
        <w:rPr>
          <w:color w:val="auto"/>
          <w:sz w:val="24"/>
        </w:rPr>
      </w:pPr>
      <w:r>
        <w:rPr>
          <w:rFonts w:hint="eastAsia"/>
          <w:color w:val="auto"/>
          <w:sz w:val="24"/>
        </w:rPr>
        <w:t>根据卒中、胸痛、VET 深静脉血栓、医嘱（病危/一级护理）、手术分级、年龄等维度进行分值提取或计算，对高风险患者进行综合评分并预警。</w:t>
      </w:r>
    </w:p>
    <w:p w14:paraId="05D4454B">
      <w:pPr>
        <w:pStyle w:val="341"/>
        <w:spacing w:beforeLines="0"/>
        <w:ind w:firstLine="480"/>
        <w:rPr>
          <w:rFonts w:hint="eastAsia" w:ascii="宋体" w:hAnsi="宋体"/>
          <w:color w:val="auto"/>
          <w:sz w:val="24"/>
          <w:szCs w:val="24"/>
        </w:rPr>
      </w:pPr>
      <w:r>
        <w:rPr>
          <w:rFonts w:hint="eastAsia" w:ascii="宋体" w:hAnsi="宋体"/>
          <w:color w:val="auto"/>
          <w:sz w:val="24"/>
          <w:szCs w:val="24"/>
        </w:rPr>
        <w:t>计划</w:t>
      </w:r>
    </w:p>
    <w:p w14:paraId="2ECB5E5A">
      <w:pPr>
        <w:pStyle w:val="94"/>
        <w:numPr>
          <w:ilvl w:val="0"/>
          <w:numId w:val="148"/>
        </w:numPr>
        <w:ind w:left="0" w:firstLine="480"/>
        <w:rPr>
          <w:color w:val="auto"/>
          <w:sz w:val="24"/>
        </w:rPr>
      </w:pPr>
      <w:r>
        <w:rPr>
          <w:rFonts w:hint="eastAsia"/>
          <w:color w:val="auto"/>
          <w:sz w:val="24"/>
        </w:rPr>
        <w:t>提供查询功能；</w:t>
      </w:r>
    </w:p>
    <w:p w14:paraId="256CF8F4">
      <w:pPr>
        <w:pStyle w:val="94"/>
        <w:numPr>
          <w:ilvl w:val="0"/>
          <w:numId w:val="148"/>
        </w:numPr>
        <w:ind w:left="0" w:firstLine="480"/>
        <w:rPr>
          <w:color w:val="auto"/>
          <w:sz w:val="24"/>
        </w:rPr>
      </w:pPr>
      <w:r>
        <w:rPr>
          <w:rFonts w:hint="eastAsia"/>
          <w:color w:val="auto"/>
          <w:sz w:val="24"/>
        </w:rPr>
        <w:t>提供对计划的数据进行增删改查；</w:t>
      </w:r>
    </w:p>
    <w:p w14:paraId="5AAA0552">
      <w:pPr>
        <w:pStyle w:val="94"/>
        <w:numPr>
          <w:ilvl w:val="0"/>
          <w:numId w:val="148"/>
        </w:numPr>
        <w:ind w:left="0" w:firstLine="480"/>
        <w:rPr>
          <w:color w:val="auto"/>
          <w:sz w:val="24"/>
        </w:rPr>
      </w:pPr>
      <w:r>
        <w:rPr>
          <w:rFonts w:hint="eastAsia"/>
          <w:color w:val="auto"/>
          <w:sz w:val="24"/>
        </w:rPr>
        <w:t>提供对质量次数的维护功能；</w:t>
      </w:r>
    </w:p>
    <w:p w14:paraId="5579C267">
      <w:pPr>
        <w:pStyle w:val="341"/>
        <w:spacing w:beforeLines="0"/>
        <w:ind w:firstLine="480"/>
        <w:rPr>
          <w:rFonts w:hint="eastAsia" w:ascii="宋体" w:hAnsi="宋体"/>
          <w:color w:val="auto"/>
          <w:sz w:val="24"/>
          <w:szCs w:val="24"/>
        </w:rPr>
      </w:pPr>
      <w:bookmarkStart w:id="300" w:name="_Toc20583"/>
      <w:bookmarkStart w:id="301" w:name="_Toc4658"/>
      <w:bookmarkStart w:id="302" w:name="_Toc8286"/>
      <w:r>
        <w:rPr>
          <w:rFonts w:hint="eastAsia" w:ascii="宋体" w:hAnsi="宋体"/>
          <w:color w:val="auto"/>
          <w:sz w:val="24"/>
          <w:szCs w:val="24"/>
        </w:rPr>
        <w:t>计划明细</w:t>
      </w:r>
      <w:bookmarkEnd w:id="300"/>
      <w:bookmarkEnd w:id="301"/>
      <w:bookmarkEnd w:id="302"/>
    </w:p>
    <w:p w14:paraId="54265CF9">
      <w:pPr>
        <w:pStyle w:val="94"/>
        <w:numPr>
          <w:ilvl w:val="0"/>
          <w:numId w:val="148"/>
        </w:numPr>
        <w:ind w:left="0" w:firstLine="480"/>
        <w:rPr>
          <w:color w:val="auto"/>
          <w:sz w:val="24"/>
        </w:rPr>
      </w:pPr>
      <w:r>
        <w:rPr>
          <w:rFonts w:hint="eastAsia"/>
          <w:color w:val="auto"/>
          <w:sz w:val="24"/>
        </w:rPr>
        <w:t>提供对质量计划的基本信息（质量计划名称）维护功能</w:t>
      </w:r>
    </w:p>
    <w:p w14:paraId="436CCF93">
      <w:pPr>
        <w:pStyle w:val="94"/>
        <w:numPr>
          <w:ilvl w:val="0"/>
          <w:numId w:val="148"/>
        </w:numPr>
        <w:ind w:left="0" w:firstLine="480"/>
        <w:rPr>
          <w:color w:val="auto"/>
          <w:sz w:val="24"/>
        </w:rPr>
      </w:pPr>
      <w:r>
        <w:rPr>
          <w:rFonts w:hint="eastAsia"/>
          <w:color w:val="auto"/>
          <w:sz w:val="24"/>
        </w:rPr>
        <w:t>提供对质量计划的检查人员维护功能；</w:t>
      </w:r>
    </w:p>
    <w:p w14:paraId="2E2AC364">
      <w:pPr>
        <w:pStyle w:val="94"/>
        <w:numPr>
          <w:ilvl w:val="0"/>
          <w:numId w:val="148"/>
        </w:numPr>
        <w:ind w:left="0" w:firstLine="480"/>
        <w:rPr>
          <w:color w:val="auto"/>
          <w:sz w:val="24"/>
        </w:rPr>
      </w:pPr>
      <w:r>
        <w:rPr>
          <w:rFonts w:hint="eastAsia"/>
          <w:color w:val="auto"/>
          <w:sz w:val="24"/>
        </w:rPr>
        <w:t>提供对质量计划的检查指标维护的功能；</w:t>
      </w:r>
    </w:p>
    <w:p w14:paraId="4E5D3F8E">
      <w:pPr>
        <w:pStyle w:val="94"/>
        <w:numPr>
          <w:ilvl w:val="0"/>
          <w:numId w:val="148"/>
        </w:numPr>
        <w:ind w:left="0" w:firstLine="480"/>
        <w:rPr>
          <w:color w:val="auto"/>
          <w:sz w:val="24"/>
        </w:rPr>
      </w:pPr>
      <w:r>
        <w:rPr>
          <w:rFonts w:hint="eastAsia"/>
          <w:color w:val="auto"/>
          <w:sz w:val="24"/>
        </w:rPr>
        <w:t>提供提交功能，提交后才可以进行检查，提交后不能修改；</w:t>
      </w:r>
    </w:p>
    <w:p w14:paraId="36F53F44">
      <w:pPr>
        <w:pStyle w:val="341"/>
        <w:spacing w:beforeLines="0"/>
        <w:ind w:firstLine="480"/>
        <w:rPr>
          <w:rFonts w:hint="eastAsia" w:ascii="宋体" w:hAnsi="宋体"/>
          <w:color w:val="auto"/>
          <w:sz w:val="24"/>
          <w:szCs w:val="24"/>
        </w:rPr>
      </w:pPr>
      <w:bookmarkStart w:id="303" w:name="_Toc11991"/>
      <w:bookmarkStart w:id="304" w:name="_Toc5319"/>
      <w:r>
        <w:rPr>
          <w:rFonts w:hint="eastAsia" w:ascii="宋体" w:hAnsi="宋体"/>
          <w:color w:val="auto"/>
          <w:sz w:val="24"/>
          <w:szCs w:val="24"/>
        </w:rPr>
        <w:t>计划科室</w:t>
      </w:r>
      <w:bookmarkEnd w:id="303"/>
      <w:bookmarkEnd w:id="304"/>
    </w:p>
    <w:p w14:paraId="54A58AD6">
      <w:pPr>
        <w:pStyle w:val="94"/>
        <w:numPr>
          <w:ilvl w:val="0"/>
          <w:numId w:val="148"/>
        </w:numPr>
        <w:ind w:left="0" w:firstLine="480"/>
        <w:rPr>
          <w:color w:val="auto"/>
          <w:sz w:val="24"/>
        </w:rPr>
      </w:pPr>
      <w:r>
        <w:rPr>
          <w:rFonts w:hint="eastAsia"/>
          <w:color w:val="auto"/>
          <w:sz w:val="24"/>
        </w:rPr>
        <w:t>提供对质量计划中的科室维护功能；</w:t>
      </w:r>
    </w:p>
    <w:p w14:paraId="577E56E7">
      <w:pPr>
        <w:pStyle w:val="341"/>
        <w:spacing w:beforeLines="0"/>
        <w:ind w:firstLine="480"/>
        <w:rPr>
          <w:rFonts w:hint="eastAsia" w:ascii="宋体" w:hAnsi="宋体"/>
          <w:color w:val="auto"/>
          <w:sz w:val="24"/>
          <w:szCs w:val="24"/>
        </w:rPr>
      </w:pPr>
      <w:bookmarkStart w:id="305" w:name="_Toc20818"/>
      <w:bookmarkStart w:id="306" w:name="_Toc6923"/>
      <w:r>
        <w:rPr>
          <w:rFonts w:hint="eastAsia" w:ascii="宋体" w:hAnsi="宋体"/>
          <w:color w:val="auto"/>
          <w:sz w:val="24"/>
          <w:szCs w:val="24"/>
        </w:rPr>
        <w:t>检查</w:t>
      </w:r>
      <w:bookmarkEnd w:id="305"/>
      <w:bookmarkEnd w:id="306"/>
    </w:p>
    <w:p w14:paraId="6887A18B">
      <w:pPr>
        <w:pStyle w:val="94"/>
        <w:numPr>
          <w:ilvl w:val="0"/>
          <w:numId w:val="148"/>
        </w:numPr>
        <w:ind w:left="0" w:firstLine="480"/>
        <w:rPr>
          <w:color w:val="auto"/>
          <w:sz w:val="24"/>
        </w:rPr>
      </w:pPr>
      <w:r>
        <w:rPr>
          <w:rFonts w:hint="eastAsia"/>
          <w:color w:val="auto"/>
          <w:sz w:val="24"/>
        </w:rPr>
        <w:t>去科室按照检查计划进性检查，也可以抽查科室。</w:t>
      </w:r>
    </w:p>
    <w:p w14:paraId="104A468C">
      <w:pPr>
        <w:pStyle w:val="94"/>
        <w:numPr>
          <w:ilvl w:val="0"/>
          <w:numId w:val="148"/>
        </w:numPr>
        <w:ind w:left="0" w:firstLine="480"/>
        <w:rPr>
          <w:color w:val="auto"/>
          <w:sz w:val="24"/>
        </w:rPr>
      </w:pPr>
      <w:r>
        <w:rPr>
          <w:rFonts w:hint="eastAsia"/>
          <w:color w:val="auto"/>
          <w:sz w:val="24"/>
        </w:rPr>
        <w:t>提供上传图片功能；</w:t>
      </w:r>
    </w:p>
    <w:p w14:paraId="0FE6E45B">
      <w:pPr>
        <w:pStyle w:val="341"/>
        <w:spacing w:beforeLines="0"/>
        <w:ind w:firstLine="480"/>
        <w:rPr>
          <w:rFonts w:hint="eastAsia" w:ascii="宋体" w:hAnsi="宋体"/>
          <w:color w:val="auto"/>
          <w:sz w:val="24"/>
          <w:szCs w:val="24"/>
        </w:rPr>
      </w:pPr>
      <w:bookmarkStart w:id="307" w:name="_Toc21821"/>
      <w:bookmarkStart w:id="308" w:name="_Toc15218"/>
      <w:bookmarkStart w:id="309" w:name="_Toc25068"/>
      <w:r>
        <w:rPr>
          <w:rFonts w:hint="eastAsia" w:ascii="宋体" w:hAnsi="宋体"/>
          <w:color w:val="auto"/>
          <w:sz w:val="24"/>
          <w:szCs w:val="24"/>
        </w:rPr>
        <w:t>形式分析</w:t>
      </w:r>
      <w:bookmarkEnd w:id="307"/>
      <w:bookmarkEnd w:id="308"/>
      <w:bookmarkEnd w:id="309"/>
    </w:p>
    <w:p w14:paraId="2856C801">
      <w:pPr>
        <w:pStyle w:val="94"/>
        <w:numPr>
          <w:ilvl w:val="0"/>
          <w:numId w:val="148"/>
        </w:numPr>
        <w:ind w:left="0" w:firstLine="480"/>
        <w:rPr>
          <w:color w:val="auto"/>
          <w:sz w:val="24"/>
        </w:rPr>
      </w:pPr>
      <w:r>
        <w:rPr>
          <w:rFonts w:hint="eastAsia"/>
          <w:color w:val="auto"/>
          <w:sz w:val="24"/>
        </w:rPr>
        <w:t>检查完后科室数据分析，临床科室添加检查后的扣分原因和改进意见并且签字等。</w:t>
      </w:r>
    </w:p>
    <w:p w14:paraId="758B52ED">
      <w:pPr>
        <w:pStyle w:val="94"/>
        <w:numPr>
          <w:ilvl w:val="0"/>
          <w:numId w:val="148"/>
        </w:numPr>
        <w:ind w:left="0" w:firstLine="480"/>
        <w:rPr>
          <w:color w:val="auto"/>
          <w:sz w:val="24"/>
        </w:rPr>
      </w:pPr>
      <w:r>
        <w:rPr>
          <w:rFonts w:hint="eastAsia"/>
          <w:color w:val="auto"/>
          <w:sz w:val="24"/>
        </w:rPr>
        <w:t>支持上传附件功能；</w:t>
      </w:r>
    </w:p>
    <w:p w14:paraId="2153BE33">
      <w:pPr>
        <w:pStyle w:val="341"/>
        <w:spacing w:beforeLines="0"/>
        <w:ind w:firstLine="480"/>
        <w:rPr>
          <w:rFonts w:hint="eastAsia" w:ascii="宋体" w:hAnsi="宋体"/>
          <w:color w:val="auto"/>
          <w:sz w:val="24"/>
          <w:szCs w:val="24"/>
        </w:rPr>
      </w:pPr>
      <w:bookmarkStart w:id="310" w:name="_Toc22890"/>
      <w:bookmarkStart w:id="311" w:name="_Toc10053"/>
      <w:bookmarkStart w:id="312" w:name="_Toc29996"/>
      <w:r>
        <w:rPr>
          <w:rFonts w:hint="eastAsia" w:ascii="宋体" w:hAnsi="宋体"/>
          <w:color w:val="auto"/>
          <w:sz w:val="24"/>
          <w:szCs w:val="24"/>
        </w:rPr>
        <w:t>持续改进</w:t>
      </w:r>
      <w:bookmarkEnd w:id="310"/>
      <w:bookmarkEnd w:id="311"/>
      <w:bookmarkEnd w:id="312"/>
    </w:p>
    <w:p w14:paraId="408D2603">
      <w:pPr>
        <w:pStyle w:val="94"/>
        <w:numPr>
          <w:ilvl w:val="0"/>
          <w:numId w:val="148"/>
        </w:numPr>
        <w:ind w:left="0" w:firstLine="480"/>
        <w:rPr>
          <w:color w:val="auto"/>
          <w:sz w:val="24"/>
        </w:rPr>
      </w:pPr>
      <w:r>
        <w:rPr>
          <w:rFonts w:hint="eastAsia"/>
          <w:color w:val="auto"/>
          <w:sz w:val="24"/>
        </w:rPr>
        <w:t>对于全院检查进性分析，某些项做的差的需进入质量改进，再次执行</w:t>
      </w:r>
      <w:r>
        <w:rPr>
          <w:color w:val="auto"/>
          <w:sz w:val="24"/>
        </w:rPr>
        <w:t>PDCA。</w:t>
      </w:r>
    </w:p>
    <w:p w14:paraId="779C7A87">
      <w:pPr>
        <w:pStyle w:val="94"/>
        <w:numPr>
          <w:ilvl w:val="0"/>
          <w:numId w:val="148"/>
        </w:numPr>
        <w:ind w:left="0" w:firstLine="480"/>
        <w:rPr>
          <w:color w:val="auto"/>
          <w:sz w:val="24"/>
        </w:rPr>
      </w:pPr>
      <w:r>
        <w:rPr>
          <w:rFonts w:hint="eastAsia"/>
          <w:color w:val="auto"/>
          <w:sz w:val="24"/>
        </w:rPr>
        <w:t>提供对基本信息、分析、P</w:t>
      </w:r>
      <w:r>
        <w:rPr>
          <w:color w:val="auto"/>
          <w:sz w:val="24"/>
        </w:rPr>
        <w:t>DCA</w:t>
      </w:r>
      <w:r>
        <w:rPr>
          <w:rFonts w:hint="eastAsia"/>
          <w:color w:val="auto"/>
          <w:sz w:val="24"/>
        </w:rPr>
        <w:t>、医务科评估的维护功能；</w:t>
      </w:r>
    </w:p>
    <w:p w14:paraId="687A4A00">
      <w:pPr>
        <w:pStyle w:val="94"/>
        <w:numPr>
          <w:ilvl w:val="0"/>
          <w:numId w:val="148"/>
        </w:numPr>
        <w:ind w:left="0" w:firstLine="480"/>
        <w:rPr>
          <w:color w:val="auto"/>
          <w:sz w:val="24"/>
        </w:rPr>
      </w:pPr>
      <w:r>
        <w:rPr>
          <w:rFonts w:hint="eastAsia"/>
          <w:color w:val="auto"/>
          <w:sz w:val="24"/>
        </w:rPr>
        <w:t>提供根据检查结果生成下次检查计划功能；</w:t>
      </w:r>
    </w:p>
    <w:p w14:paraId="4240A97F">
      <w:pPr>
        <w:pStyle w:val="94"/>
        <w:numPr>
          <w:ilvl w:val="0"/>
          <w:numId w:val="148"/>
        </w:numPr>
        <w:ind w:left="0" w:firstLine="480"/>
        <w:rPr>
          <w:color w:val="auto"/>
          <w:sz w:val="24"/>
        </w:rPr>
      </w:pPr>
      <w:r>
        <w:rPr>
          <w:rFonts w:hint="eastAsia"/>
          <w:color w:val="auto"/>
          <w:sz w:val="24"/>
        </w:rPr>
        <w:t>提供对检查结果的饼图统计和折线图统计功能；</w:t>
      </w:r>
    </w:p>
    <w:p w14:paraId="1DF0246D">
      <w:pPr>
        <w:pStyle w:val="341"/>
        <w:spacing w:beforeLines="0"/>
        <w:ind w:firstLine="480"/>
        <w:rPr>
          <w:rFonts w:hint="eastAsia" w:ascii="宋体" w:hAnsi="宋体"/>
          <w:color w:val="auto"/>
          <w:sz w:val="24"/>
          <w:szCs w:val="24"/>
        </w:rPr>
      </w:pPr>
      <w:bookmarkStart w:id="313" w:name="_Toc28188"/>
      <w:bookmarkStart w:id="314" w:name="_Toc17967"/>
      <w:bookmarkStart w:id="315" w:name="_Toc17087"/>
      <w:r>
        <w:rPr>
          <w:rFonts w:hint="eastAsia" w:ascii="宋体" w:hAnsi="宋体"/>
          <w:color w:val="auto"/>
          <w:sz w:val="24"/>
          <w:szCs w:val="24"/>
        </w:rPr>
        <w:t>质量检查结果</w:t>
      </w:r>
      <w:bookmarkEnd w:id="313"/>
      <w:bookmarkEnd w:id="314"/>
      <w:bookmarkEnd w:id="315"/>
    </w:p>
    <w:p w14:paraId="227B7A4C">
      <w:pPr>
        <w:pStyle w:val="94"/>
        <w:numPr>
          <w:ilvl w:val="0"/>
          <w:numId w:val="148"/>
        </w:numPr>
        <w:ind w:left="0" w:firstLine="480"/>
        <w:rPr>
          <w:color w:val="auto"/>
          <w:sz w:val="24"/>
        </w:rPr>
      </w:pPr>
      <w:r>
        <w:rPr>
          <w:rFonts w:hint="eastAsia"/>
          <w:color w:val="auto"/>
          <w:sz w:val="24"/>
        </w:rPr>
        <w:t>查看质量检查结果；</w:t>
      </w:r>
    </w:p>
    <w:p w14:paraId="453C1FC3">
      <w:pPr>
        <w:pStyle w:val="94"/>
        <w:numPr>
          <w:ilvl w:val="0"/>
          <w:numId w:val="148"/>
        </w:numPr>
        <w:ind w:left="0" w:firstLine="480"/>
        <w:rPr>
          <w:color w:val="auto"/>
          <w:sz w:val="24"/>
        </w:rPr>
      </w:pPr>
      <w:r>
        <w:rPr>
          <w:rFonts w:hint="eastAsia"/>
          <w:color w:val="auto"/>
          <w:sz w:val="24"/>
        </w:rPr>
        <w:t>提供将数据导出功能；</w:t>
      </w:r>
    </w:p>
    <w:p w14:paraId="4AF5CEBB">
      <w:pPr>
        <w:pStyle w:val="341"/>
        <w:spacing w:beforeLines="0"/>
        <w:ind w:firstLine="480"/>
        <w:rPr>
          <w:rFonts w:hint="eastAsia" w:ascii="宋体" w:hAnsi="宋体"/>
          <w:color w:val="auto"/>
          <w:sz w:val="24"/>
          <w:szCs w:val="24"/>
        </w:rPr>
      </w:pPr>
      <w:bookmarkStart w:id="316" w:name="_Toc24378"/>
      <w:bookmarkStart w:id="317" w:name="_Toc22757"/>
      <w:r>
        <w:rPr>
          <w:rFonts w:hint="eastAsia" w:ascii="宋体" w:hAnsi="宋体"/>
          <w:color w:val="auto"/>
          <w:sz w:val="24"/>
          <w:szCs w:val="24"/>
        </w:rPr>
        <w:t>形式分析结果</w:t>
      </w:r>
      <w:bookmarkEnd w:id="316"/>
      <w:bookmarkEnd w:id="317"/>
    </w:p>
    <w:p w14:paraId="36B9FACF">
      <w:pPr>
        <w:pStyle w:val="94"/>
        <w:numPr>
          <w:ilvl w:val="0"/>
          <w:numId w:val="148"/>
        </w:numPr>
        <w:ind w:left="0" w:firstLine="480"/>
        <w:rPr>
          <w:color w:val="auto"/>
          <w:sz w:val="24"/>
        </w:rPr>
      </w:pPr>
      <w:r>
        <w:rPr>
          <w:rFonts w:hint="eastAsia"/>
          <w:color w:val="auto"/>
          <w:sz w:val="24"/>
        </w:rPr>
        <w:t>查看形式分析结果；</w:t>
      </w:r>
    </w:p>
    <w:p w14:paraId="5B0624ED">
      <w:pPr>
        <w:pStyle w:val="341"/>
        <w:spacing w:beforeLines="0"/>
        <w:ind w:firstLine="482"/>
        <w:rPr>
          <w:rFonts w:hint="eastAsia" w:ascii="宋体" w:hAnsi="宋体" w:cs="仿宋"/>
          <w:b/>
          <w:bCs/>
          <w:color w:val="auto"/>
          <w:sz w:val="24"/>
          <w:szCs w:val="24"/>
        </w:rPr>
      </w:pPr>
      <w:bookmarkStart w:id="318" w:name="_Toc106373144"/>
      <w:r>
        <w:rPr>
          <w:rFonts w:hint="eastAsia" w:ascii="宋体" w:hAnsi="宋体" w:cs="仿宋"/>
          <w:b/>
          <w:bCs/>
          <w:color w:val="auto"/>
          <w:sz w:val="24"/>
          <w:szCs w:val="24"/>
        </w:rPr>
        <w:t>三级公立医院绩效考核</w:t>
      </w:r>
      <w:bookmarkEnd w:id="318"/>
    </w:p>
    <w:p w14:paraId="6E3D2D88">
      <w:pPr>
        <w:ind w:firstLine="480"/>
        <w:rPr>
          <w:rFonts w:cs="仿宋"/>
          <w:color w:val="auto"/>
        </w:rPr>
      </w:pPr>
      <w:r>
        <w:rPr>
          <w:rFonts w:hint="eastAsia" w:cs="仿宋"/>
          <w:color w:val="auto"/>
        </w:rPr>
        <w:t>包括绩效考核数据的计算和统计分析；系统提供基本的数据校验功能，同时支持按时间段查询绩效考核结果。</w:t>
      </w:r>
    </w:p>
    <w:p w14:paraId="50A559FC">
      <w:pPr>
        <w:pStyle w:val="341"/>
        <w:spacing w:beforeLines="0"/>
        <w:ind w:firstLine="482"/>
        <w:rPr>
          <w:rFonts w:hint="eastAsia" w:ascii="宋体" w:hAnsi="宋体" w:cs="仿宋"/>
          <w:b/>
          <w:bCs/>
          <w:color w:val="auto"/>
          <w:sz w:val="24"/>
          <w:szCs w:val="24"/>
        </w:rPr>
      </w:pPr>
      <w:bookmarkStart w:id="319" w:name="_Toc106373145"/>
      <w:r>
        <w:rPr>
          <w:rFonts w:hint="eastAsia" w:ascii="宋体" w:hAnsi="宋体" w:cs="仿宋"/>
          <w:b/>
          <w:bCs/>
          <w:color w:val="auto"/>
          <w:sz w:val="24"/>
          <w:szCs w:val="24"/>
        </w:rPr>
        <w:t>指标管理</w:t>
      </w:r>
      <w:bookmarkEnd w:id="319"/>
    </w:p>
    <w:p w14:paraId="066CD2A2">
      <w:pPr>
        <w:pStyle w:val="341"/>
        <w:spacing w:beforeLines="0"/>
        <w:ind w:firstLine="480"/>
        <w:rPr>
          <w:rFonts w:hint="eastAsia" w:ascii="宋体" w:hAnsi="宋体"/>
          <w:color w:val="auto"/>
          <w:sz w:val="24"/>
          <w:szCs w:val="24"/>
        </w:rPr>
      </w:pPr>
      <w:bookmarkStart w:id="320" w:name="_Toc8748"/>
      <w:bookmarkStart w:id="321" w:name="_Toc18369"/>
      <w:bookmarkStart w:id="322" w:name="_Toc159"/>
      <w:r>
        <w:rPr>
          <w:rFonts w:hint="eastAsia" w:ascii="宋体" w:hAnsi="宋体"/>
          <w:color w:val="auto"/>
          <w:sz w:val="24"/>
          <w:szCs w:val="24"/>
        </w:rPr>
        <w:t>指标体系</w:t>
      </w:r>
      <w:bookmarkEnd w:id="320"/>
      <w:bookmarkEnd w:id="321"/>
      <w:bookmarkEnd w:id="322"/>
    </w:p>
    <w:p w14:paraId="07D2EFB3">
      <w:pPr>
        <w:pStyle w:val="94"/>
        <w:numPr>
          <w:ilvl w:val="0"/>
          <w:numId w:val="148"/>
        </w:numPr>
        <w:ind w:left="0" w:firstLine="480"/>
        <w:rPr>
          <w:color w:val="auto"/>
          <w:sz w:val="24"/>
        </w:rPr>
      </w:pPr>
      <w:r>
        <w:rPr>
          <w:rFonts w:hint="eastAsia"/>
          <w:color w:val="auto"/>
          <w:sz w:val="24"/>
        </w:rPr>
        <w:t>根据模块分体系管理，包含资质管理、新技术管理、质量管理等功能；</w:t>
      </w:r>
    </w:p>
    <w:p w14:paraId="220762EE">
      <w:pPr>
        <w:pStyle w:val="94"/>
        <w:numPr>
          <w:ilvl w:val="0"/>
          <w:numId w:val="148"/>
        </w:numPr>
        <w:ind w:left="0" w:firstLine="480"/>
        <w:rPr>
          <w:color w:val="auto"/>
          <w:sz w:val="24"/>
        </w:rPr>
      </w:pPr>
      <w:r>
        <w:rPr>
          <w:rFonts w:hint="eastAsia"/>
          <w:color w:val="auto"/>
          <w:sz w:val="24"/>
        </w:rPr>
        <w:t>提供指标体系内容新增、编辑和删除功能；</w:t>
      </w:r>
    </w:p>
    <w:p w14:paraId="4F496095">
      <w:pPr>
        <w:pStyle w:val="94"/>
        <w:numPr>
          <w:ilvl w:val="0"/>
          <w:numId w:val="148"/>
        </w:numPr>
        <w:ind w:left="0" w:firstLine="480"/>
        <w:rPr>
          <w:color w:val="auto"/>
          <w:sz w:val="24"/>
        </w:rPr>
      </w:pPr>
      <w:r>
        <w:rPr>
          <w:rFonts w:hint="eastAsia"/>
          <w:color w:val="auto"/>
          <w:sz w:val="24"/>
        </w:rPr>
        <w:t>提供指标体系内容导出</w:t>
      </w:r>
      <w:r>
        <w:rPr>
          <w:color w:val="auto"/>
          <w:sz w:val="24"/>
        </w:rPr>
        <w:t>excel表功能；</w:t>
      </w:r>
    </w:p>
    <w:p w14:paraId="498A6245">
      <w:pPr>
        <w:pStyle w:val="341"/>
        <w:spacing w:beforeLines="0"/>
        <w:ind w:firstLine="480"/>
        <w:rPr>
          <w:rFonts w:hint="eastAsia" w:ascii="宋体" w:hAnsi="宋体"/>
          <w:color w:val="auto"/>
          <w:sz w:val="24"/>
          <w:szCs w:val="24"/>
        </w:rPr>
      </w:pPr>
      <w:bookmarkStart w:id="323" w:name="_Toc6121"/>
      <w:bookmarkStart w:id="324" w:name="_Toc20622"/>
      <w:bookmarkStart w:id="325" w:name="_Toc452"/>
      <w:r>
        <w:rPr>
          <w:rFonts w:hint="eastAsia" w:ascii="宋体" w:hAnsi="宋体"/>
          <w:color w:val="auto"/>
          <w:sz w:val="24"/>
          <w:szCs w:val="24"/>
        </w:rPr>
        <w:t>指标管理</w:t>
      </w:r>
      <w:bookmarkEnd w:id="323"/>
      <w:bookmarkEnd w:id="324"/>
      <w:bookmarkEnd w:id="325"/>
    </w:p>
    <w:p w14:paraId="2B40444A">
      <w:pPr>
        <w:pStyle w:val="94"/>
        <w:numPr>
          <w:ilvl w:val="0"/>
          <w:numId w:val="148"/>
        </w:numPr>
        <w:ind w:left="0" w:firstLine="480"/>
        <w:rPr>
          <w:color w:val="auto"/>
          <w:sz w:val="24"/>
        </w:rPr>
      </w:pPr>
      <w:r>
        <w:rPr>
          <w:rFonts w:hint="eastAsia"/>
          <w:color w:val="auto"/>
          <w:sz w:val="24"/>
        </w:rPr>
        <w:t>提供指标管理，检查的指标字典维护功能；</w:t>
      </w:r>
    </w:p>
    <w:p w14:paraId="2F8ED810">
      <w:pPr>
        <w:pStyle w:val="94"/>
        <w:numPr>
          <w:ilvl w:val="0"/>
          <w:numId w:val="148"/>
        </w:numPr>
        <w:ind w:left="0" w:firstLine="480"/>
        <w:rPr>
          <w:color w:val="auto"/>
          <w:sz w:val="24"/>
        </w:rPr>
      </w:pPr>
      <w:r>
        <w:rPr>
          <w:rFonts w:hint="eastAsia"/>
          <w:color w:val="auto"/>
          <w:sz w:val="24"/>
        </w:rPr>
        <w:t>提供多级指标字典维护功能；</w:t>
      </w:r>
    </w:p>
    <w:p w14:paraId="5B5FF5DA">
      <w:pPr>
        <w:pStyle w:val="94"/>
        <w:numPr>
          <w:ilvl w:val="0"/>
          <w:numId w:val="148"/>
        </w:numPr>
        <w:ind w:left="0" w:firstLine="480"/>
        <w:rPr>
          <w:color w:val="auto"/>
          <w:sz w:val="24"/>
        </w:rPr>
      </w:pPr>
      <w:r>
        <w:rPr>
          <w:rFonts w:hint="eastAsia"/>
          <w:color w:val="auto"/>
          <w:sz w:val="24"/>
        </w:rPr>
        <w:t>提供对指标项目以及内容的新增、删除、修改和查找功能；</w:t>
      </w:r>
    </w:p>
    <w:p w14:paraId="3B1F4D6F">
      <w:pPr>
        <w:pStyle w:val="14"/>
        <w:bidi w:val="0"/>
        <w:rPr>
          <w:color w:val="auto"/>
        </w:rPr>
      </w:pPr>
      <w:r>
        <w:rPr>
          <w:rFonts w:hint="eastAsia"/>
          <w:color w:val="auto"/>
        </w:rPr>
        <w:tab/>
      </w:r>
      <w:r>
        <w:rPr>
          <w:rFonts w:hint="eastAsia"/>
          <w:color w:val="auto"/>
        </w:rPr>
        <w:t>电子病历质量管系统</w:t>
      </w:r>
    </w:p>
    <w:p w14:paraId="1BA84844">
      <w:pPr>
        <w:bidi w:val="0"/>
        <w:rPr>
          <w:color w:val="auto"/>
        </w:rPr>
      </w:pPr>
      <w:r>
        <w:rPr>
          <w:color w:val="auto"/>
        </w:rPr>
        <w:t>内置时限、文档、终末及核心制度质控规则，支持三级分级质控与人工缺陷录入，通过自动评分与报表统计提升病历书写规范性和医疗质量。</w:t>
      </w:r>
    </w:p>
    <w:p w14:paraId="569833EC">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93C9F2D">
      <w:pPr>
        <w:pStyle w:val="341"/>
        <w:spacing w:beforeLines="0"/>
        <w:ind w:firstLine="482"/>
        <w:rPr>
          <w:rFonts w:hint="eastAsia" w:ascii="宋体" w:hAnsi="宋体" w:cs="仿宋"/>
          <w:b/>
          <w:bCs/>
          <w:color w:val="auto"/>
          <w:sz w:val="24"/>
          <w:szCs w:val="24"/>
        </w:rPr>
      </w:pPr>
      <w:bookmarkStart w:id="326" w:name="_Toc106373148"/>
      <w:r>
        <w:rPr>
          <w:rFonts w:hint="eastAsia" w:ascii="宋体" w:hAnsi="宋体" w:cs="仿宋"/>
          <w:b/>
          <w:bCs/>
          <w:color w:val="auto"/>
          <w:sz w:val="24"/>
          <w:szCs w:val="24"/>
        </w:rPr>
        <w:t>时限质控</w:t>
      </w:r>
      <w:bookmarkEnd w:id="326"/>
    </w:p>
    <w:p w14:paraId="64506AB6">
      <w:pPr>
        <w:pStyle w:val="94"/>
        <w:numPr>
          <w:ilvl w:val="0"/>
          <w:numId w:val="149"/>
        </w:numPr>
        <w:ind w:left="0" w:firstLine="480"/>
        <w:rPr>
          <w:color w:val="auto"/>
          <w:sz w:val="24"/>
        </w:rPr>
      </w:pPr>
      <w:bookmarkStart w:id="327" w:name="_Toc106373149"/>
      <w:r>
        <w:rPr>
          <w:color w:val="auto"/>
          <w:sz w:val="24"/>
        </w:rPr>
        <w:t>支持医生打开患者病历时，自动弹出时限质控提醒。</w:t>
      </w:r>
    </w:p>
    <w:p w14:paraId="6E877B27">
      <w:pPr>
        <w:pStyle w:val="94"/>
        <w:numPr>
          <w:ilvl w:val="0"/>
          <w:numId w:val="149"/>
        </w:numPr>
        <w:ind w:left="0" w:firstLine="480"/>
        <w:rPr>
          <w:color w:val="auto"/>
          <w:sz w:val="24"/>
        </w:rPr>
      </w:pPr>
      <w:r>
        <w:rPr>
          <w:color w:val="auto"/>
          <w:sz w:val="24"/>
        </w:rPr>
        <w:t>提供统一的时限质控概览界面，便于了解质控结果。</w:t>
      </w:r>
    </w:p>
    <w:p w14:paraId="38F46D49">
      <w:pPr>
        <w:pStyle w:val="94"/>
        <w:numPr>
          <w:ilvl w:val="0"/>
          <w:numId w:val="149"/>
        </w:numPr>
        <w:ind w:left="0" w:firstLine="480"/>
        <w:rPr>
          <w:color w:val="auto"/>
          <w:sz w:val="24"/>
        </w:rPr>
      </w:pPr>
      <w:r>
        <w:rPr>
          <w:rFonts w:hint="eastAsia"/>
          <w:color w:val="auto"/>
          <w:sz w:val="24"/>
        </w:rPr>
        <w:t>系统内置时限质控规则，可根据医院需求进行规则拓展。</w:t>
      </w:r>
    </w:p>
    <w:p w14:paraId="58E1C694">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文档质控</w:t>
      </w:r>
      <w:bookmarkEnd w:id="327"/>
    </w:p>
    <w:p w14:paraId="73E402D6">
      <w:pPr>
        <w:pStyle w:val="94"/>
        <w:numPr>
          <w:ilvl w:val="0"/>
          <w:numId w:val="150"/>
        </w:numPr>
        <w:ind w:left="0" w:firstLine="480"/>
        <w:rPr>
          <w:color w:val="auto"/>
          <w:sz w:val="24"/>
        </w:rPr>
      </w:pPr>
      <w:bookmarkStart w:id="328" w:name="_Toc106373150"/>
      <w:r>
        <w:rPr>
          <w:rFonts w:hint="eastAsia"/>
          <w:color w:val="auto"/>
          <w:sz w:val="24"/>
        </w:rPr>
        <w:t>系统内置国家《电子病历数据集数据元》标准，可根据《电子病历数据集数据元》标准进行文档质控。</w:t>
      </w:r>
    </w:p>
    <w:p w14:paraId="63A88BCE">
      <w:pPr>
        <w:pStyle w:val="94"/>
        <w:numPr>
          <w:ilvl w:val="0"/>
          <w:numId w:val="150"/>
        </w:numPr>
        <w:ind w:left="0" w:firstLine="480"/>
        <w:rPr>
          <w:color w:val="auto"/>
          <w:sz w:val="24"/>
        </w:rPr>
      </w:pPr>
      <w:r>
        <w:rPr>
          <w:color w:val="auto"/>
          <w:sz w:val="24"/>
        </w:rPr>
        <w:t>支持拓展数据集数据元标准，并进行质控。</w:t>
      </w:r>
    </w:p>
    <w:p w14:paraId="60F33D72">
      <w:pPr>
        <w:pStyle w:val="94"/>
        <w:numPr>
          <w:ilvl w:val="0"/>
          <w:numId w:val="150"/>
        </w:numPr>
        <w:ind w:left="0" w:firstLine="480"/>
        <w:rPr>
          <w:color w:val="auto"/>
          <w:sz w:val="24"/>
        </w:rPr>
      </w:pPr>
      <w:r>
        <w:rPr>
          <w:color w:val="auto"/>
          <w:sz w:val="24"/>
        </w:rPr>
        <w:t>支持定义公共质控、敏感词质控、互斥词质控。</w:t>
      </w:r>
    </w:p>
    <w:p w14:paraId="0562389F">
      <w:pPr>
        <w:pStyle w:val="94"/>
        <w:numPr>
          <w:ilvl w:val="0"/>
          <w:numId w:val="150"/>
        </w:numPr>
        <w:ind w:left="0" w:firstLine="480"/>
        <w:rPr>
          <w:color w:val="auto"/>
          <w:sz w:val="24"/>
        </w:rPr>
      </w:pPr>
      <w:r>
        <w:rPr>
          <w:color w:val="auto"/>
          <w:sz w:val="24"/>
        </w:rPr>
        <w:t>支持检查已创建的病历文档，是否</w:t>
      </w:r>
      <w:r>
        <w:rPr>
          <w:rFonts w:hint="eastAsia"/>
          <w:color w:val="auto"/>
          <w:sz w:val="24"/>
        </w:rPr>
        <w:t>缺</w:t>
      </w:r>
      <w:r>
        <w:rPr>
          <w:color w:val="auto"/>
          <w:sz w:val="24"/>
        </w:rPr>
        <w:t>项</w:t>
      </w:r>
      <w:r>
        <w:rPr>
          <w:rFonts w:hint="eastAsia"/>
          <w:color w:val="auto"/>
          <w:sz w:val="24"/>
        </w:rPr>
        <w:t>、必</w:t>
      </w:r>
      <w:r>
        <w:rPr>
          <w:color w:val="auto"/>
          <w:sz w:val="24"/>
        </w:rPr>
        <w:t>填项没填写</w:t>
      </w:r>
    </w:p>
    <w:p w14:paraId="7453307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终末质控</w:t>
      </w:r>
      <w:bookmarkEnd w:id="328"/>
    </w:p>
    <w:p w14:paraId="3B51EE7D">
      <w:pPr>
        <w:pStyle w:val="94"/>
        <w:numPr>
          <w:ilvl w:val="0"/>
          <w:numId w:val="151"/>
        </w:numPr>
        <w:ind w:left="0" w:firstLine="480"/>
        <w:rPr>
          <w:color w:val="auto"/>
          <w:sz w:val="24"/>
        </w:rPr>
      </w:pPr>
      <w:bookmarkStart w:id="329" w:name="_Toc106373151"/>
      <w:r>
        <w:rPr>
          <w:color w:val="auto"/>
          <w:sz w:val="24"/>
        </w:rPr>
        <w:t>支持对</w:t>
      </w:r>
      <w:r>
        <w:rPr>
          <w:rFonts w:hint="eastAsia"/>
          <w:color w:val="auto"/>
          <w:sz w:val="24"/>
        </w:rPr>
        <w:t>患者</w:t>
      </w:r>
      <w:r>
        <w:rPr>
          <w:color w:val="auto"/>
          <w:sz w:val="24"/>
        </w:rPr>
        <w:t>的病历文档</w:t>
      </w:r>
      <w:r>
        <w:rPr>
          <w:rFonts w:hint="eastAsia"/>
          <w:color w:val="auto"/>
          <w:sz w:val="24"/>
        </w:rPr>
        <w:t>进行</w:t>
      </w:r>
      <w:r>
        <w:rPr>
          <w:color w:val="auto"/>
          <w:sz w:val="24"/>
        </w:rPr>
        <w:t>自动评分和人工评分，并且计算出病历等级</w:t>
      </w:r>
    </w:p>
    <w:p w14:paraId="70A3B49F">
      <w:pPr>
        <w:pStyle w:val="94"/>
        <w:numPr>
          <w:ilvl w:val="0"/>
          <w:numId w:val="151"/>
        </w:numPr>
        <w:ind w:left="0" w:firstLine="480"/>
        <w:rPr>
          <w:color w:val="auto"/>
          <w:sz w:val="24"/>
        </w:rPr>
      </w:pPr>
      <w:r>
        <w:rPr>
          <w:color w:val="auto"/>
          <w:sz w:val="24"/>
        </w:rPr>
        <w:t>支持定义评分标准，如：《病案首页评分标准》。</w:t>
      </w:r>
    </w:p>
    <w:p w14:paraId="5AE086CD">
      <w:pPr>
        <w:pStyle w:val="94"/>
        <w:numPr>
          <w:ilvl w:val="0"/>
          <w:numId w:val="151"/>
        </w:numPr>
        <w:ind w:left="0" w:firstLine="480"/>
        <w:rPr>
          <w:color w:val="auto"/>
          <w:sz w:val="24"/>
        </w:rPr>
      </w:pPr>
      <w:r>
        <w:rPr>
          <w:rFonts w:hint="eastAsia"/>
          <w:color w:val="auto"/>
          <w:sz w:val="24"/>
        </w:rPr>
        <w:t>能够抓取病案质量监测指标（2021版27个监测指标）</w:t>
      </w:r>
    </w:p>
    <w:p w14:paraId="589E8389">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核心制度质控</w:t>
      </w:r>
      <w:bookmarkEnd w:id="329"/>
    </w:p>
    <w:p w14:paraId="3617F759">
      <w:pPr>
        <w:ind w:firstLine="480"/>
        <w:rPr>
          <w:rFonts w:cs="仿宋"/>
          <w:color w:val="auto"/>
        </w:rPr>
      </w:pPr>
      <w:r>
        <w:rPr>
          <w:rFonts w:hint="eastAsia" w:cs="仿宋"/>
          <w:color w:val="auto"/>
        </w:rPr>
        <w:t>支持根据医院需求、科室、定义不同的核心制度质控规则。</w:t>
      </w:r>
    </w:p>
    <w:p w14:paraId="75B1DF40">
      <w:pPr>
        <w:ind w:firstLine="480"/>
        <w:rPr>
          <w:rFonts w:cs="仿宋"/>
          <w:color w:val="auto"/>
        </w:rPr>
      </w:pPr>
      <w:r>
        <w:rPr>
          <w:rFonts w:hint="eastAsia" w:cs="仿宋"/>
          <w:color w:val="auto"/>
        </w:rPr>
        <w:t>支持根据核心制度质控规则提取未满足要求的患者名单。</w:t>
      </w:r>
    </w:p>
    <w:p w14:paraId="490C977D">
      <w:pPr>
        <w:pStyle w:val="341"/>
        <w:spacing w:beforeLines="0"/>
        <w:ind w:firstLine="482"/>
        <w:rPr>
          <w:rFonts w:hint="eastAsia" w:ascii="宋体" w:hAnsi="宋体" w:cs="仿宋"/>
          <w:b/>
          <w:bCs/>
          <w:color w:val="auto"/>
          <w:sz w:val="24"/>
          <w:szCs w:val="24"/>
        </w:rPr>
      </w:pPr>
      <w:bookmarkStart w:id="330" w:name="_Toc106373152"/>
      <w:r>
        <w:rPr>
          <w:rFonts w:hint="eastAsia" w:ascii="宋体" w:hAnsi="宋体" w:cs="仿宋"/>
          <w:b/>
          <w:bCs/>
          <w:color w:val="auto"/>
          <w:sz w:val="24"/>
          <w:szCs w:val="24"/>
        </w:rPr>
        <w:t>分级质控</w:t>
      </w:r>
      <w:bookmarkEnd w:id="330"/>
    </w:p>
    <w:p w14:paraId="4FB25334">
      <w:pPr>
        <w:ind w:firstLine="480"/>
        <w:rPr>
          <w:rFonts w:cs="仿宋"/>
          <w:color w:val="auto"/>
        </w:rPr>
      </w:pPr>
      <w:r>
        <w:rPr>
          <w:rFonts w:hint="eastAsia" w:cs="仿宋"/>
          <w:color w:val="auto"/>
        </w:rPr>
        <w:t>一级质控：</w:t>
      </w:r>
    </w:p>
    <w:p w14:paraId="4C81D050">
      <w:pPr>
        <w:ind w:firstLine="960" w:firstLineChars="400"/>
        <w:rPr>
          <w:rFonts w:cs="仿宋"/>
          <w:color w:val="auto"/>
        </w:rPr>
      </w:pPr>
      <w:r>
        <w:rPr>
          <w:rFonts w:hint="eastAsia" w:cs="仿宋"/>
          <w:color w:val="auto"/>
        </w:rPr>
        <w:t>事中质控：医生在书写病历时，随时可以查看当前病历的质控信息。</w:t>
      </w:r>
    </w:p>
    <w:p w14:paraId="6BEFF4EA">
      <w:pPr>
        <w:ind w:firstLine="960" w:firstLineChars="400"/>
        <w:rPr>
          <w:rFonts w:cs="仿宋"/>
          <w:color w:val="auto"/>
        </w:rPr>
      </w:pPr>
      <w:r>
        <w:rPr>
          <w:rFonts w:hint="eastAsia" w:cs="仿宋"/>
          <w:color w:val="auto"/>
        </w:rPr>
        <w:t>医师质控：医师可对自己负责的患者进行质控。科室质控：科主任可对本科室所有患者进行质控。</w:t>
      </w:r>
    </w:p>
    <w:p w14:paraId="3666C42C">
      <w:pPr>
        <w:ind w:firstLine="480"/>
        <w:rPr>
          <w:rFonts w:cs="仿宋"/>
          <w:color w:val="auto"/>
        </w:rPr>
      </w:pPr>
      <w:r>
        <w:rPr>
          <w:rFonts w:hint="eastAsia" w:cs="仿宋"/>
          <w:color w:val="auto"/>
        </w:rPr>
        <w:t>二级质控：病案室或质控专员可对已出院患者进行质控。</w:t>
      </w:r>
    </w:p>
    <w:p w14:paraId="2E352A66">
      <w:pPr>
        <w:ind w:firstLine="480"/>
        <w:rPr>
          <w:rFonts w:cs="仿宋"/>
          <w:color w:val="auto"/>
        </w:rPr>
      </w:pPr>
      <w:r>
        <w:rPr>
          <w:rFonts w:hint="eastAsia" w:cs="仿宋"/>
          <w:color w:val="auto"/>
        </w:rPr>
        <w:t>三级质控：病案室或医务科或质控专员定期/不定期对患者进行抽查质控</w:t>
      </w:r>
    </w:p>
    <w:p w14:paraId="7CBD87F1">
      <w:pPr>
        <w:pStyle w:val="341"/>
        <w:spacing w:beforeLines="0"/>
        <w:ind w:firstLine="482"/>
        <w:rPr>
          <w:rFonts w:hint="eastAsia" w:ascii="宋体" w:hAnsi="宋体" w:cs="仿宋"/>
          <w:b/>
          <w:bCs/>
          <w:color w:val="auto"/>
          <w:sz w:val="24"/>
          <w:szCs w:val="24"/>
        </w:rPr>
      </w:pPr>
      <w:bookmarkStart w:id="331" w:name="_Toc106373153"/>
      <w:r>
        <w:rPr>
          <w:rFonts w:hint="eastAsia" w:ascii="宋体" w:hAnsi="宋体" w:cs="仿宋"/>
          <w:b/>
          <w:bCs/>
          <w:color w:val="auto"/>
          <w:sz w:val="24"/>
          <w:szCs w:val="24"/>
        </w:rPr>
        <w:t>人工质控</w:t>
      </w:r>
      <w:bookmarkEnd w:id="331"/>
    </w:p>
    <w:p w14:paraId="3D6404DF">
      <w:pPr>
        <w:ind w:firstLine="480"/>
        <w:rPr>
          <w:rFonts w:cs="仿宋"/>
          <w:color w:val="auto"/>
        </w:rPr>
      </w:pPr>
      <w:r>
        <w:rPr>
          <w:rFonts w:hint="eastAsia" w:cs="仿宋"/>
          <w:color w:val="auto"/>
        </w:rPr>
        <w:t>支持质控员可针对病历存在的缺陷手工录入缺陷内容以及扣分原因。</w:t>
      </w:r>
    </w:p>
    <w:p w14:paraId="018F3360">
      <w:pPr>
        <w:ind w:firstLine="480"/>
        <w:rPr>
          <w:rFonts w:cs="仿宋"/>
          <w:color w:val="auto"/>
        </w:rPr>
      </w:pPr>
      <w:r>
        <w:rPr>
          <w:rFonts w:hint="eastAsia" w:cs="仿宋"/>
          <w:color w:val="auto"/>
        </w:rPr>
        <w:t>支持质控员可根据评分标准进行单项扣分、多项扣分以及单项否决评分。</w:t>
      </w:r>
    </w:p>
    <w:p w14:paraId="7F91646D">
      <w:pPr>
        <w:pStyle w:val="341"/>
        <w:spacing w:beforeLines="0"/>
        <w:ind w:firstLine="482"/>
        <w:rPr>
          <w:rFonts w:hint="eastAsia" w:ascii="宋体" w:hAnsi="宋体" w:cs="仿宋"/>
          <w:b/>
          <w:bCs/>
          <w:color w:val="auto"/>
          <w:sz w:val="24"/>
          <w:szCs w:val="24"/>
        </w:rPr>
      </w:pPr>
      <w:bookmarkStart w:id="332" w:name="_Toc106373154"/>
      <w:r>
        <w:rPr>
          <w:rFonts w:hint="eastAsia" w:ascii="宋体" w:hAnsi="宋体" w:cs="仿宋"/>
          <w:b/>
          <w:bCs/>
          <w:color w:val="auto"/>
          <w:sz w:val="24"/>
          <w:szCs w:val="24"/>
        </w:rPr>
        <w:t>质控报表</w:t>
      </w:r>
      <w:bookmarkEnd w:id="332"/>
    </w:p>
    <w:p w14:paraId="55DEEE4E">
      <w:pPr>
        <w:ind w:firstLine="480"/>
        <w:rPr>
          <w:rFonts w:cs="仿宋"/>
          <w:color w:val="auto"/>
        </w:rPr>
      </w:pPr>
      <w:r>
        <w:rPr>
          <w:rFonts w:hint="eastAsia" w:cs="仿宋"/>
          <w:color w:val="auto"/>
        </w:rPr>
        <w:t>支持时限质控统计查询、文档质控统计查询、终末质控统计查询等。</w:t>
      </w:r>
    </w:p>
    <w:p w14:paraId="71A164A6">
      <w:pPr>
        <w:ind w:firstLine="480"/>
        <w:rPr>
          <w:rFonts w:cs="仿宋"/>
          <w:color w:val="auto"/>
        </w:rPr>
      </w:pPr>
      <w:r>
        <w:rPr>
          <w:rFonts w:hint="eastAsia" w:cs="仿宋"/>
          <w:color w:val="auto"/>
        </w:rPr>
        <w:t>支持查看质控明细，包括患者姓名、年龄、卡号、床号、就诊时间、质控信息、签名医师、签名时间、质控消息等。</w:t>
      </w:r>
    </w:p>
    <w:p w14:paraId="767C6CEC">
      <w:pPr>
        <w:pStyle w:val="14"/>
        <w:bidi w:val="0"/>
        <w:rPr>
          <w:color w:val="auto"/>
        </w:rPr>
      </w:pPr>
      <w:r>
        <w:rPr>
          <w:rFonts w:hint="eastAsia"/>
          <w:color w:val="auto"/>
        </w:rPr>
        <w:tab/>
      </w:r>
      <w:r>
        <w:rPr>
          <w:rFonts w:hint="eastAsia"/>
          <w:color w:val="auto"/>
        </w:rPr>
        <w:t>医嘱闭环管理系统</w:t>
      </w:r>
    </w:p>
    <w:p w14:paraId="54FA950D">
      <w:pPr>
        <w:ind w:firstLine="480"/>
        <w:rPr>
          <w:color w:val="auto"/>
        </w:rPr>
      </w:pPr>
      <w:r>
        <w:rPr>
          <w:rFonts w:hint="eastAsia" w:cs="仿宋"/>
          <w:color w:val="auto"/>
        </w:rPr>
        <w:t>提供统一的闭环定义及闭环概览界面。支持根据医院情况定义流程节点。支持定义节点名称字体、状态颜色、节点信息字体。</w:t>
      </w:r>
    </w:p>
    <w:p w14:paraId="1A708AF0">
      <w:pPr>
        <w:pStyle w:val="14"/>
        <w:bidi w:val="0"/>
        <w:rPr>
          <w:color w:val="auto"/>
        </w:rPr>
      </w:pPr>
      <w:r>
        <w:rPr>
          <w:rFonts w:hint="eastAsia"/>
          <w:color w:val="auto"/>
        </w:rPr>
        <w:tab/>
      </w:r>
      <w:r>
        <w:rPr>
          <w:rFonts w:hint="eastAsia"/>
          <w:color w:val="auto"/>
        </w:rPr>
        <w:t>单病种管理系统</w:t>
      </w:r>
    </w:p>
    <w:p w14:paraId="36E54CE7">
      <w:pPr>
        <w:bidi w:val="0"/>
        <w:rPr>
          <w:color w:val="auto"/>
        </w:rPr>
      </w:pPr>
      <w:r>
        <w:rPr>
          <w:color w:val="auto"/>
        </w:rPr>
        <w:t>自动化提取单病种数据并支持国家平台上报，内置评分工具与漏报查询，助力医院标准化诊疗和临床路径管理。</w:t>
      </w:r>
    </w:p>
    <w:p w14:paraId="2720A128">
      <w:pPr>
        <w:bidi w:val="0"/>
        <w:rPr>
          <w:color w:val="auto"/>
        </w:rPr>
      </w:pPr>
      <w:r>
        <w:rPr>
          <w:rFonts w:hint="eastAsia"/>
          <w:color w:val="auto"/>
          <w:lang w:val="en-US" w:eastAsia="zh-CN"/>
        </w:rPr>
        <w:t>系统数量满足医院使用需求。</w:t>
      </w:r>
    </w:p>
    <w:p w14:paraId="6DE007FB">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75EF00B">
      <w:pPr>
        <w:bidi w:val="0"/>
        <w:rPr>
          <w:b/>
          <w:bCs/>
          <w:color w:val="auto"/>
        </w:rPr>
      </w:pPr>
      <w:bookmarkStart w:id="333" w:name="_Toc153618338"/>
      <w:r>
        <w:rPr>
          <w:rFonts w:hint="eastAsia"/>
          <w:b/>
          <w:bCs/>
          <w:color w:val="auto"/>
        </w:rPr>
        <w:t>报告</w:t>
      </w:r>
      <w:bookmarkEnd w:id="333"/>
    </w:p>
    <w:p w14:paraId="408B9C75">
      <w:pPr>
        <w:pStyle w:val="94"/>
        <w:numPr>
          <w:ilvl w:val="0"/>
          <w:numId w:val="152"/>
        </w:numPr>
        <w:ind w:left="0" w:firstLine="480"/>
        <w:rPr>
          <w:color w:val="auto"/>
          <w:sz w:val="24"/>
        </w:rPr>
      </w:pPr>
      <w:r>
        <w:rPr>
          <w:rFonts w:hint="eastAsia"/>
          <w:color w:val="auto"/>
          <w:sz w:val="24"/>
        </w:rPr>
        <w:t>支持国家要求的</w:t>
      </w:r>
      <w:r>
        <w:rPr>
          <w:color w:val="auto"/>
          <w:sz w:val="24"/>
        </w:rPr>
        <w:t>单病种数据上报</w:t>
      </w:r>
      <w:r>
        <w:rPr>
          <w:rFonts w:hint="eastAsia"/>
          <w:color w:val="auto"/>
          <w:sz w:val="24"/>
        </w:rPr>
        <w:t>。</w:t>
      </w:r>
    </w:p>
    <w:p w14:paraId="18505376">
      <w:pPr>
        <w:pStyle w:val="94"/>
        <w:numPr>
          <w:ilvl w:val="0"/>
          <w:numId w:val="152"/>
        </w:numPr>
        <w:ind w:left="0" w:firstLine="480"/>
        <w:rPr>
          <w:color w:val="auto"/>
          <w:sz w:val="24"/>
        </w:rPr>
      </w:pPr>
      <w:r>
        <w:rPr>
          <w:color w:val="auto"/>
          <w:sz w:val="24"/>
        </w:rPr>
        <w:t>支持单病种病人根据规则自动提取</w:t>
      </w:r>
      <w:r>
        <w:rPr>
          <w:rFonts w:hint="eastAsia"/>
          <w:color w:val="auto"/>
          <w:sz w:val="24"/>
        </w:rPr>
        <w:t>。</w:t>
      </w:r>
    </w:p>
    <w:p w14:paraId="43F64EE3">
      <w:pPr>
        <w:pStyle w:val="94"/>
        <w:numPr>
          <w:ilvl w:val="0"/>
          <w:numId w:val="152"/>
        </w:numPr>
        <w:ind w:left="0" w:firstLine="480"/>
        <w:rPr>
          <w:color w:val="auto"/>
          <w:sz w:val="24"/>
        </w:rPr>
      </w:pPr>
      <w:r>
        <w:rPr>
          <w:color w:val="auto"/>
          <w:sz w:val="24"/>
        </w:rPr>
        <w:t>支持患者基本信息自动导入到单病种报告卡中</w:t>
      </w:r>
      <w:r>
        <w:rPr>
          <w:rFonts w:hint="eastAsia"/>
          <w:color w:val="auto"/>
          <w:sz w:val="24"/>
        </w:rPr>
        <w:t>。</w:t>
      </w:r>
    </w:p>
    <w:p w14:paraId="675879E2">
      <w:pPr>
        <w:pStyle w:val="94"/>
        <w:numPr>
          <w:ilvl w:val="0"/>
          <w:numId w:val="152"/>
        </w:numPr>
        <w:ind w:left="0" w:firstLine="480"/>
        <w:rPr>
          <w:color w:val="auto"/>
          <w:sz w:val="24"/>
        </w:rPr>
      </w:pPr>
      <w:r>
        <w:rPr>
          <w:rFonts w:hint="eastAsia"/>
          <w:color w:val="auto"/>
          <w:sz w:val="24"/>
        </w:rPr>
        <w:t>支持对已填报信息自动效验。</w:t>
      </w:r>
    </w:p>
    <w:p w14:paraId="439D63B1">
      <w:pPr>
        <w:pStyle w:val="94"/>
        <w:numPr>
          <w:ilvl w:val="0"/>
          <w:numId w:val="152"/>
        </w:numPr>
        <w:ind w:left="0" w:firstLine="480"/>
        <w:rPr>
          <w:color w:val="auto"/>
          <w:sz w:val="24"/>
        </w:rPr>
      </w:pPr>
      <w:r>
        <w:rPr>
          <w:rFonts w:hint="eastAsia"/>
          <w:color w:val="auto"/>
          <w:sz w:val="24"/>
        </w:rPr>
        <w:t>支持评分工具按评分标准自动化评分。</w:t>
      </w:r>
    </w:p>
    <w:p w14:paraId="1B930E09">
      <w:pPr>
        <w:pStyle w:val="94"/>
        <w:numPr>
          <w:ilvl w:val="0"/>
          <w:numId w:val="152"/>
        </w:numPr>
        <w:ind w:left="0" w:firstLine="480"/>
        <w:rPr>
          <w:color w:val="auto"/>
          <w:sz w:val="24"/>
        </w:rPr>
      </w:pPr>
      <w:r>
        <w:rPr>
          <w:color w:val="auto"/>
          <w:sz w:val="24"/>
        </w:rPr>
        <w:t>支持VTE病人数据手工提取</w:t>
      </w:r>
      <w:r>
        <w:rPr>
          <w:rFonts w:hint="eastAsia"/>
          <w:color w:val="auto"/>
          <w:sz w:val="24"/>
        </w:rPr>
        <w:t>。</w:t>
      </w:r>
    </w:p>
    <w:p w14:paraId="4FD1B754">
      <w:pPr>
        <w:pStyle w:val="94"/>
        <w:numPr>
          <w:ilvl w:val="0"/>
          <w:numId w:val="152"/>
        </w:numPr>
        <w:ind w:left="0" w:firstLine="480"/>
        <w:rPr>
          <w:color w:val="auto"/>
          <w:sz w:val="24"/>
        </w:rPr>
      </w:pPr>
      <w:r>
        <w:rPr>
          <w:color w:val="auto"/>
          <w:sz w:val="24"/>
        </w:rPr>
        <w:t>支持单病种报告选择不上报原因后</w:t>
      </w:r>
      <w:r>
        <w:rPr>
          <w:rFonts w:hint="eastAsia"/>
          <w:color w:val="auto"/>
          <w:sz w:val="24"/>
        </w:rPr>
        <w:t>，</w:t>
      </w:r>
      <w:r>
        <w:rPr>
          <w:color w:val="auto"/>
          <w:sz w:val="24"/>
        </w:rPr>
        <w:t>本次不上报</w:t>
      </w:r>
      <w:r>
        <w:rPr>
          <w:rFonts w:hint="eastAsia"/>
          <w:color w:val="auto"/>
          <w:sz w:val="24"/>
        </w:rPr>
        <w:t>。</w:t>
      </w:r>
    </w:p>
    <w:p w14:paraId="71D1BE5A">
      <w:pPr>
        <w:pStyle w:val="411"/>
        <w:ind w:firstLine="482"/>
        <w:rPr>
          <w:color w:val="auto"/>
        </w:rPr>
      </w:pPr>
      <w:bookmarkStart w:id="334" w:name="_Toc153618339"/>
      <w:r>
        <w:rPr>
          <w:rFonts w:hint="eastAsia"/>
          <w:color w:val="auto"/>
        </w:rPr>
        <w:t>审核</w:t>
      </w:r>
      <w:bookmarkEnd w:id="334"/>
    </w:p>
    <w:p w14:paraId="74DBD957">
      <w:pPr>
        <w:pStyle w:val="94"/>
        <w:numPr>
          <w:ilvl w:val="0"/>
          <w:numId w:val="153"/>
        </w:numPr>
        <w:ind w:left="0" w:firstLine="480"/>
        <w:rPr>
          <w:color w:val="auto"/>
          <w:sz w:val="24"/>
        </w:rPr>
      </w:pPr>
      <w:r>
        <w:rPr>
          <w:rFonts w:hint="eastAsia"/>
          <w:color w:val="auto"/>
          <w:sz w:val="24"/>
        </w:rPr>
        <w:t>支持</w:t>
      </w:r>
      <w:r>
        <w:rPr>
          <w:color w:val="auto"/>
          <w:sz w:val="24"/>
        </w:rPr>
        <w:t>单病种报告单个审核</w:t>
      </w:r>
      <w:r>
        <w:rPr>
          <w:rFonts w:hint="eastAsia"/>
          <w:color w:val="auto"/>
          <w:sz w:val="24"/>
        </w:rPr>
        <w:t>。</w:t>
      </w:r>
    </w:p>
    <w:p w14:paraId="6C9B24F0">
      <w:pPr>
        <w:pStyle w:val="94"/>
        <w:numPr>
          <w:ilvl w:val="0"/>
          <w:numId w:val="153"/>
        </w:numPr>
        <w:ind w:left="0" w:firstLine="480"/>
        <w:rPr>
          <w:color w:val="auto"/>
          <w:sz w:val="24"/>
        </w:rPr>
      </w:pPr>
      <w:r>
        <w:rPr>
          <w:color w:val="auto"/>
          <w:sz w:val="24"/>
        </w:rPr>
        <w:t>支持单病种报告批量审核</w:t>
      </w:r>
      <w:r>
        <w:rPr>
          <w:rFonts w:hint="eastAsia"/>
          <w:color w:val="auto"/>
          <w:sz w:val="24"/>
        </w:rPr>
        <w:t>。</w:t>
      </w:r>
    </w:p>
    <w:p w14:paraId="527A7EC1">
      <w:pPr>
        <w:pStyle w:val="411"/>
        <w:ind w:firstLine="482"/>
        <w:rPr>
          <w:color w:val="auto"/>
        </w:rPr>
      </w:pPr>
      <w:bookmarkStart w:id="335" w:name="_Toc153618340"/>
      <w:r>
        <w:rPr>
          <w:rFonts w:hint="eastAsia"/>
          <w:color w:val="auto"/>
        </w:rPr>
        <w:t>上传</w:t>
      </w:r>
      <w:bookmarkEnd w:id="335"/>
    </w:p>
    <w:p w14:paraId="235728FB">
      <w:pPr>
        <w:ind w:firstLine="480"/>
        <w:rPr>
          <w:color w:val="auto"/>
        </w:rPr>
      </w:pPr>
      <w:r>
        <w:rPr>
          <w:color w:val="auto"/>
        </w:rPr>
        <w:t>支持与国家</w:t>
      </w:r>
      <w:r>
        <w:rPr>
          <w:rFonts w:hint="eastAsia"/>
          <w:color w:val="auto"/>
        </w:rPr>
        <w:t>单病种平台对接，</w:t>
      </w:r>
      <w:r>
        <w:rPr>
          <w:color w:val="auto"/>
        </w:rPr>
        <w:t>实现自动上报</w:t>
      </w:r>
      <w:r>
        <w:rPr>
          <w:rFonts w:hint="eastAsia"/>
          <w:color w:val="auto"/>
        </w:rPr>
        <w:t>。</w:t>
      </w:r>
    </w:p>
    <w:p w14:paraId="281467BD">
      <w:pPr>
        <w:pStyle w:val="411"/>
        <w:ind w:firstLine="482"/>
        <w:rPr>
          <w:color w:val="auto"/>
        </w:rPr>
      </w:pPr>
      <w:bookmarkStart w:id="336" w:name="_Toc153618341"/>
      <w:r>
        <w:rPr>
          <w:rFonts w:hint="eastAsia"/>
          <w:color w:val="auto"/>
        </w:rPr>
        <w:t>查询统计</w:t>
      </w:r>
      <w:bookmarkEnd w:id="336"/>
    </w:p>
    <w:p w14:paraId="0FFEEA4C">
      <w:pPr>
        <w:pStyle w:val="94"/>
        <w:numPr>
          <w:ilvl w:val="0"/>
          <w:numId w:val="154"/>
        </w:numPr>
        <w:ind w:left="0" w:firstLine="480"/>
        <w:rPr>
          <w:color w:val="auto"/>
          <w:sz w:val="24"/>
        </w:rPr>
      </w:pPr>
      <w:r>
        <w:rPr>
          <w:rFonts w:hint="eastAsia"/>
          <w:color w:val="auto"/>
          <w:sz w:val="24"/>
        </w:rPr>
        <w:t>支持</w:t>
      </w:r>
      <w:r>
        <w:rPr>
          <w:color w:val="auto"/>
          <w:sz w:val="24"/>
        </w:rPr>
        <w:t>单病种</w:t>
      </w:r>
      <w:r>
        <w:rPr>
          <w:rFonts w:hint="eastAsia"/>
          <w:color w:val="auto"/>
          <w:sz w:val="24"/>
        </w:rPr>
        <w:t>已报</w:t>
      </w:r>
      <w:r>
        <w:rPr>
          <w:color w:val="auto"/>
          <w:sz w:val="24"/>
        </w:rPr>
        <w:t>查询</w:t>
      </w:r>
      <w:r>
        <w:rPr>
          <w:rFonts w:hint="eastAsia"/>
          <w:color w:val="auto"/>
          <w:sz w:val="24"/>
        </w:rPr>
        <w:t>。</w:t>
      </w:r>
    </w:p>
    <w:p w14:paraId="2F85EAEB">
      <w:pPr>
        <w:pStyle w:val="94"/>
        <w:numPr>
          <w:ilvl w:val="0"/>
          <w:numId w:val="154"/>
        </w:numPr>
        <w:ind w:left="0" w:firstLine="480"/>
        <w:rPr>
          <w:color w:val="auto"/>
          <w:sz w:val="24"/>
        </w:rPr>
      </w:pPr>
      <w:r>
        <w:rPr>
          <w:color w:val="auto"/>
          <w:sz w:val="24"/>
        </w:rPr>
        <w:t>支持单病种漏报查询</w:t>
      </w:r>
    </w:p>
    <w:p w14:paraId="126A7F54">
      <w:pPr>
        <w:pStyle w:val="94"/>
        <w:numPr>
          <w:ilvl w:val="0"/>
          <w:numId w:val="154"/>
        </w:numPr>
        <w:ind w:left="0" w:firstLine="480"/>
        <w:rPr>
          <w:color w:val="auto"/>
          <w:sz w:val="24"/>
        </w:rPr>
      </w:pPr>
      <w:r>
        <w:rPr>
          <w:color w:val="auto"/>
          <w:sz w:val="24"/>
        </w:rPr>
        <w:t>支持单病种不上报查询</w:t>
      </w:r>
      <w:r>
        <w:rPr>
          <w:rFonts w:hint="eastAsia"/>
          <w:color w:val="auto"/>
          <w:sz w:val="24"/>
        </w:rPr>
        <w:t>。</w:t>
      </w:r>
    </w:p>
    <w:p w14:paraId="68B92AF0">
      <w:pPr>
        <w:pStyle w:val="94"/>
        <w:numPr>
          <w:ilvl w:val="0"/>
          <w:numId w:val="154"/>
        </w:numPr>
        <w:ind w:left="0" w:firstLine="480"/>
        <w:rPr>
          <w:color w:val="auto"/>
          <w:sz w:val="24"/>
        </w:rPr>
      </w:pPr>
      <w:r>
        <w:rPr>
          <w:color w:val="auto"/>
          <w:sz w:val="24"/>
        </w:rPr>
        <w:t>支持单病种按病种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、统计分析。</w:t>
      </w:r>
    </w:p>
    <w:p w14:paraId="180505AE">
      <w:pPr>
        <w:pStyle w:val="14"/>
        <w:bidi w:val="0"/>
        <w:rPr>
          <w:color w:val="auto"/>
        </w:rPr>
      </w:pPr>
      <w:r>
        <w:rPr>
          <w:rFonts w:hint="eastAsia"/>
          <w:color w:val="auto"/>
        </w:rPr>
        <w:tab/>
      </w:r>
      <w:r>
        <w:rPr>
          <w:rFonts w:hint="eastAsia"/>
          <w:color w:val="auto"/>
        </w:rPr>
        <w:t>不良事件上报系统</w:t>
      </w:r>
    </w:p>
    <w:p w14:paraId="664A0C14">
      <w:pPr>
        <w:bidi w:val="0"/>
        <w:rPr>
          <w:rFonts w:hint="eastAsia"/>
          <w:color w:val="auto"/>
          <w:lang w:val="en-US" w:eastAsia="zh-CN"/>
        </w:rPr>
      </w:pPr>
      <w:r>
        <w:rPr>
          <w:color w:val="auto"/>
        </w:rPr>
        <w:t>覆盖药品、医疗、护理等11类事件上报，支持自动校验与分级处理，通过闭环管理流程提升事件响应效率与风险防控能力。</w:t>
      </w:r>
    </w:p>
    <w:p w14:paraId="52B2752D">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F0F2C02">
      <w:pPr>
        <w:bidi w:val="0"/>
        <w:rPr>
          <w:b/>
          <w:bCs/>
          <w:color w:val="auto"/>
        </w:rPr>
      </w:pPr>
      <w:bookmarkStart w:id="337" w:name="_Toc153618343"/>
      <w:r>
        <w:rPr>
          <w:rFonts w:hint="eastAsia"/>
          <w:b/>
          <w:bCs/>
          <w:color w:val="auto"/>
        </w:rPr>
        <w:t>药品事件</w:t>
      </w:r>
      <w:bookmarkEnd w:id="337"/>
    </w:p>
    <w:p w14:paraId="06E77769">
      <w:pPr>
        <w:pStyle w:val="94"/>
        <w:numPr>
          <w:ilvl w:val="0"/>
          <w:numId w:val="155"/>
        </w:numPr>
        <w:ind w:left="0" w:firstLine="480"/>
        <w:rPr>
          <w:color w:val="auto"/>
          <w:sz w:val="24"/>
        </w:rPr>
      </w:pPr>
      <w:r>
        <w:rPr>
          <w:rFonts w:hint="eastAsia"/>
          <w:color w:val="auto"/>
          <w:sz w:val="24"/>
        </w:rPr>
        <w:t>药品不良事件</w:t>
      </w:r>
    </w:p>
    <w:p w14:paraId="531DE106">
      <w:pPr>
        <w:pStyle w:val="94"/>
        <w:numPr>
          <w:ilvl w:val="0"/>
          <w:numId w:val="156"/>
        </w:numPr>
        <w:ind w:left="0" w:firstLine="480"/>
        <w:rPr>
          <w:color w:val="auto"/>
          <w:sz w:val="24"/>
        </w:rPr>
      </w:pPr>
      <w:r>
        <w:rPr>
          <w:color w:val="auto"/>
          <w:sz w:val="24"/>
        </w:rPr>
        <w:t>支持患者信息自动导入</w:t>
      </w:r>
    </w:p>
    <w:p w14:paraId="2FFDB585">
      <w:pPr>
        <w:pStyle w:val="94"/>
        <w:numPr>
          <w:ilvl w:val="0"/>
          <w:numId w:val="156"/>
        </w:numPr>
        <w:ind w:left="0" w:firstLine="480"/>
        <w:rPr>
          <w:color w:val="auto"/>
          <w:sz w:val="24"/>
        </w:rPr>
      </w:pPr>
      <w:r>
        <w:rPr>
          <w:color w:val="auto"/>
          <w:sz w:val="24"/>
        </w:rPr>
        <w:t>支持自动效验上报内容是否合格。</w:t>
      </w:r>
    </w:p>
    <w:p w14:paraId="163ECE3A">
      <w:pPr>
        <w:pStyle w:val="94"/>
        <w:numPr>
          <w:ilvl w:val="0"/>
          <w:numId w:val="156"/>
        </w:numPr>
        <w:ind w:left="0" w:firstLine="480"/>
        <w:rPr>
          <w:color w:val="auto"/>
          <w:sz w:val="24"/>
        </w:rPr>
      </w:pPr>
      <w:r>
        <w:rPr>
          <w:color w:val="auto"/>
          <w:sz w:val="24"/>
        </w:rPr>
        <w:t>支持填报医院信息、事件报告相关信息、所报告不良事件类别及情况、填报人类别、使用药品信息、临床信息、临床处理信息、护士评价、医师评价、药师评价、药品不良反应分类、涉及药品及器材的名称、事件当事人可能相关因素、预防方法与措施、事件当事人情况、事件报告人服务岗位、是否属医院主动特别报告的四个事件、事件报告人署名信息。</w:t>
      </w:r>
    </w:p>
    <w:p w14:paraId="704359F5">
      <w:pPr>
        <w:pStyle w:val="94"/>
        <w:numPr>
          <w:ilvl w:val="0"/>
          <w:numId w:val="155"/>
        </w:numPr>
        <w:ind w:left="0" w:firstLine="480"/>
        <w:rPr>
          <w:color w:val="auto"/>
          <w:sz w:val="24"/>
        </w:rPr>
      </w:pPr>
      <w:r>
        <w:rPr>
          <w:color w:val="auto"/>
          <w:sz w:val="24"/>
        </w:rPr>
        <w:t>输液反应事件</w:t>
      </w:r>
    </w:p>
    <w:p w14:paraId="20870397">
      <w:pPr>
        <w:pStyle w:val="94"/>
        <w:numPr>
          <w:ilvl w:val="0"/>
          <w:numId w:val="157"/>
        </w:numPr>
        <w:ind w:left="0" w:firstLine="480"/>
        <w:rPr>
          <w:color w:val="auto"/>
          <w:sz w:val="24"/>
        </w:rPr>
      </w:pPr>
      <w:r>
        <w:rPr>
          <w:color w:val="auto"/>
          <w:sz w:val="24"/>
        </w:rPr>
        <w:t>支持患者信息自动导入</w:t>
      </w:r>
    </w:p>
    <w:p w14:paraId="360D9305">
      <w:pPr>
        <w:pStyle w:val="94"/>
        <w:numPr>
          <w:ilvl w:val="0"/>
          <w:numId w:val="157"/>
        </w:numPr>
        <w:ind w:left="0" w:firstLine="480"/>
        <w:rPr>
          <w:color w:val="auto"/>
          <w:sz w:val="24"/>
        </w:rPr>
      </w:pPr>
      <w:r>
        <w:rPr>
          <w:color w:val="auto"/>
          <w:sz w:val="24"/>
        </w:rPr>
        <w:t>支持自动效验上报内容是否合格。</w:t>
      </w:r>
    </w:p>
    <w:p w14:paraId="3A852ABC">
      <w:pPr>
        <w:pStyle w:val="94"/>
        <w:numPr>
          <w:ilvl w:val="0"/>
          <w:numId w:val="157"/>
        </w:numPr>
        <w:ind w:left="0" w:firstLine="480"/>
        <w:rPr>
          <w:color w:val="auto"/>
          <w:sz w:val="24"/>
        </w:rPr>
      </w:pPr>
      <w:r>
        <w:rPr>
          <w:rFonts w:hint="eastAsia"/>
          <w:color w:val="auto"/>
          <w:sz w:val="24"/>
        </w:rPr>
        <w:t>支持填报医院信息、事件报告相关信息、所报告不良事件的类别及情况、使用药品制剂种类、事件过程特征、处理情况、相关可能的因素、涉及药品及器材的名称、事件当事人可能相关因素、预防方法及措施、事件当事人情况、事件报告人服务岗位</w:t>
      </w:r>
      <w:r>
        <w:rPr>
          <w:color w:val="auto"/>
          <w:sz w:val="24"/>
        </w:rPr>
        <w:t>、是否属医院主动特别报告的四个事件、事件报告人署名信息。</w:t>
      </w:r>
    </w:p>
    <w:p w14:paraId="7AA2BCAB">
      <w:pPr>
        <w:pStyle w:val="94"/>
        <w:numPr>
          <w:ilvl w:val="0"/>
          <w:numId w:val="155"/>
        </w:numPr>
        <w:ind w:left="0" w:firstLine="480"/>
        <w:rPr>
          <w:color w:val="auto"/>
          <w:sz w:val="24"/>
        </w:rPr>
      </w:pPr>
      <w:r>
        <w:rPr>
          <w:color w:val="auto"/>
          <w:sz w:val="24"/>
        </w:rPr>
        <w:t>药物调剂错误事件</w:t>
      </w:r>
    </w:p>
    <w:p w14:paraId="46276074">
      <w:pPr>
        <w:pStyle w:val="94"/>
        <w:numPr>
          <w:ilvl w:val="0"/>
          <w:numId w:val="158"/>
        </w:numPr>
        <w:ind w:left="0" w:firstLine="480"/>
        <w:rPr>
          <w:color w:val="auto"/>
          <w:sz w:val="24"/>
        </w:rPr>
      </w:pPr>
      <w:r>
        <w:rPr>
          <w:color w:val="auto"/>
          <w:sz w:val="24"/>
        </w:rPr>
        <w:t>支持患者信息自动导入</w:t>
      </w:r>
    </w:p>
    <w:p w14:paraId="0A4E27FC">
      <w:pPr>
        <w:pStyle w:val="94"/>
        <w:numPr>
          <w:ilvl w:val="0"/>
          <w:numId w:val="158"/>
        </w:numPr>
        <w:ind w:left="0" w:firstLine="480"/>
        <w:rPr>
          <w:color w:val="auto"/>
          <w:sz w:val="24"/>
        </w:rPr>
      </w:pPr>
      <w:r>
        <w:rPr>
          <w:color w:val="auto"/>
          <w:sz w:val="24"/>
        </w:rPr>
        <w:t>支持自动效验上报内容是否合格。</w:t>
      </w:r>
    </w:p>
    <w:p w14:paraId="4DACE1DA">
      <w:pPr>
        <w:pStyle w:val="94"/>
        <w:numPr>
          <w:ilvl w:val="0"/>
          <w:numId w:val="158"/>
        </w:numPr>
        <w:ind w:left="0" w:firstLine="480"/>
        <w:rPr>
          <w:color w:val="auto"/>
          <w:sz w:val="24"/>
        </w:rPr>
      </w:pPr>
      <w:r>
        <w:rPr>
          <w:rFonts w:hint="eastAsia"/>
          <w:color w:val="auto"/>
          <w:sz w:val="24"/>
        </w:rPr>
        <w:t>支持填报医院信息、事件报告相关信息、所报告不良事件的类别及情况、事件内容、相关可能的因素、预防方法及措施、事件当事人情况、事件报告人服务岗位</w:t>
      </w:r>
      <w:r>
        <w:rPr>
          <w:color w:val="auto"/>
          <w:sz w:val="24"/>
        </w:rPr>
        <w:t>、是否属医院主动特别报告的四个事件、事件报告人署名信息。</w:t>
      </w:r>
    </w:p>
    <w:p w14:paraId="7C51AE86">
      <w:pPr>
        <w:pStyle w:val="94"/>
        <w:numPr>
          <w:ilvl w:val="0"/>
          <w:numId w:val="155"/>
        </w:numPr>
        <w:ind w:left="0" w:firstLine="480"/>
        <w:rPr>
          <w:color w:val="auto"/>
          <w:sz w:val="24"/>
        </w:rPr>
      </w:pPr>
      <w:r>
        <w:rPr>
          <w:color w:val="auto"/>
          <w:sz w:val="24"/>
        </w:rPr>
        <w:t>药品传送错误事件</w:t>
      </w:r>
    </w:p>
    <w:p w14:paraId="3E11423B">
      <w:pPr>
        <w:pStyle w:val="94"/>
        <w:numPr>
          <w:ilvl w:val="0"/>
          <w:numId w:val="159"/>
        </w:numPr>
        <w:ind w:left="0" w:firstLine="480"/>
        <w:rPr>
          <w:color w:val="auto"/>
          <w:sz w:val="24"/>
        </w:rPr>
      </w:pPr>
      <w:r>
        <w:rPr>
          <w:color w:val="auto"/>
          <w:sz w:val="24"/>
        </w:rPr>
        <w:t>支持患者信息自动导入</w:t>
      </w:r>
    </w:p>
    <w:p w14:paraId="379258F0">
      <w:pPr>
        <w:pStyle w:val="94"/>
        <w:numPr>
          <w:ilvl w:val="0"/>
          <w:numId w:val="159"/>
        </w:numPr>
        <w:ind w:left="0" w:firstLine="480"/>
        <w:rPr>
          <w:color w:val="auto"/>
          <w:sz w:val="24"/>
        </w:rPr>
      </w:pPr>
      <w:r>
        <w:rPr>
          <w:color w:val="auto"/>
          <w:sz w:val="24"/>
        </w:rPr>
        <w:t>支持自动效验上报内容是否合格。</w:t>
      </w:r>
    </w:p>
    <w:p w14:paraId="2E056ADF">
      <w:pPr>
        <w:pStyle w:val="94"/>
        <w:numPr>
          <w:ilvl w:val="0"/>
          <w:numId w:val="159"/>
        </w:numPr>
        <w:ind w:left="0" w:firstLine="480"/>
        <w:rPr>
          <w:color w:val="auto"/>
          <w:sz w:val="24"/>
        </w:rPr>
      </w:pPr>
      <w:r>
        <w:rPr>
          <w:rFonts w:hint="eastAsia"/>
          <w:color w:val="auto"/>
          <w:sz w:val="24"/>
        </w:rPr>
        <w:t>支持填报医院信息、事件报告相关信息、所报告不良事件的类别及情况、事件内容、涉及药品及器材名称、相关可能的因素、预防方法及措施、事件当事人情况、事件报告人服务岗位</w:t>
      </w:r>
      <w:r>
        <w:rPr>
          <w:color w:val="auto"/>
          <w:sz w:val="24"/>
        </w:rPr>
        <w:t>、是否属医院主动特别报告的四个事件、事件报告人署名信息。</w:t>
      </w:r>
    </w:p>
    <w:p w14:paraId="025E2FBA">
      <w:pPr>
        <w:bidi w:val="0"/>
        <w:rPr>
          <w:b/>
          <w:bCs/>
          <w:color w:val="auto"/>
        </w:rPr>
      </w:pPr>
      <w:bookmarkStart w:id="338" w:name="_Toc153618344"/>
      <w:r>
        <w:rPr>
          <w:rFonts w:hint="eastAsia"/>
          <w:b/>
          <w:bCs/>
          <w:color w:val="auto"/>
        </w:rPr>
        <w:t>医疗事件</w:t>
      </w:r>
      <w:bookmarkEnd w:id="338"/>
    </w:p>
    <w:p w14:paraId="5667A79C">
      <w:pPr>
        <w:pStyle w:val="94"/>
        <w:numPr>
          <w:ilvl w:val="0"/>
          <w:numId w:val="160"/>
        </w:numPr>
        <w:ind w:left="0" w:firstLine="480"/>
        <w:rPr>
          <w:color w:val="auto"/>
          <w:sz w:val="24"/>
        </w:rPr>
      </w:pPr>
      <w:r>
        <w:rPr>
          <w:rFonts w:hint="eastAsia"/>
          <w:color w:val="auto"/>
          <w:sz w:val="24"/>
        </w:rPr>
        <w:t>方法/技术错误事件</w:t>
      </w:r>
    </w:p>
    <w:p w14:paraId="7C1F2CA0">
      <w:pPr>
        <w:pStyle w:val="94"/>
        <w:numPr>
          <w:ilvl w:val="0"/>
          <w:numId w:val="161"/>
        </w:numPr>
        <w:ind w:left="0" w:firstLine="480"/>
        <w:rPr>
          <w:color w:val="auto"/>
          <w:sz w:val="24"/>
        </w:rPr>
      </w:pPr>
      <w:r>
        <w:rPr>
          <w:color w:val="auto"/>
          <w:sz w:val="24"/>
        </w:rPr>
        <w:t>支持患者信息自动导入</w:t>
      </w:r>
      <w:r>
        <w:rPr>
          <w:rFonts w:hint="eastAsia"/>
          <w:color w:val="auto"/>
          <w:sz w:val="24"/>
          <w:lang w:eastAsia="zh-CN"/>
        </w:rPr>
        <w:t>。</w:t>
      </w:r>
    </w:p>
    <w:p w14:paraId="0FD178AF">
      <w:pPr>
        <w:pStyle w:val="94"/>
        <w:numPr>
          <w:ilvl w:val="0"/>
          <w:numId w:val="161"/>
        </w:numPr>
        <w:ind w:left="0" w:firstLine="480"/>
        <w:rPr>
          <w:color w:val="auto"/>
          <w:sz w:val="24"/>
        </w:rPr>
      </w:pPr>
      <w:r>
        <w:rPr>
          <w:color w:val="auto"/>
          <w:sz w:val="24"/>
        </w:rPr>
        <w:t>支持自动效验上报内容是否合格。</w:t>
      </w:r>
    </w:p>
    <w:p w14:paraId="14E93E13">
      <w:pPr>
        <w:pStyle w:val="94"/>
        <w:numPr>
          <w:ilvl w:val="0"/>
          <w:numId w:val="161"/>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涉及药品及器材名称、相关可能的因素、预防方法及措施、事件当事人情况、事件报告人服务岗位</w:t>
      </w:r>
      <w:r>
        <w:rPr>
          <w:color w:val="auto"/>
          <w:sz w:val="24"/>
        </w:rPr>
        <w:t>、是否属医院主动特别报告的四个事件、事件报告人署名信息。</w:t>
      </w:r>
    </w:p>
    <w:p w14:paraId="5D7E0745">
      <w:pPr>
        <w:pStyle w:val="94"/>
        <w:numPr>
          <w:ilvl w:val="0"/>
          <w:numId w:val="160"/>
        </w:numPr>
        <w:ind w:left="0" w:firstLine="480"/>
        <w:rPr>
          <w:color w:val="auto"/>
          <w:sz w:val="24"/>
        </w:rPr>
      </w:pPr>
      <w:r>
        <w:rPr>
          <w:color w:val="auto"/>
          <w:sz w:val="24"/>
        </w:rPr>
        <w:t>麻醉事件</w:t>
      </w:r>
    </w:p>
    <w:p w14:paraId="4D712D34">
      <w:pPr>
        <w:pStyle w:val="94"/>
        <w:numPr>
          <w:ilvl w:val="0"/>
          <w:numId w:val="162"/>
        </w:numPr>
        <w:ind w:left="0" w:firstLine="480"/>
        <w:rPr>
          <w:color w:val="auto"/>
          <w:sz w:val="24"/>
        </w:rPr>
      </w:pPr>
      <w:r>
        <w:rPr>
          <w:color w:val="auto"/>
          <w:sz w:val="24"/>
        </w:rPr>
        <w:t>支持患者信息自动导入</w:t>
      </w:r>
      <w:r>
        <w:rPr>
          <w:rFonts w:hint="eastAsia"/>
          <w:color w:val="auto"/>
          <w:sz w:val="24"/>
          <w:lang w:eastAsia="zh-CN"/>
        </w:rPr>
        <w:t>。</w:t>
      </w:r>
    </w:p>
    <w:p w14:paraId="081B34E0">
      <w:pPr>
        <w:pStyle w:val="94"/>
        <w:numPr>
          <w:ilvl w:val="0"/>
          <w:numId w:val="162"/>
        </w:numPr>
        <w:ind w:left="0" w:firstLine="480"/>
        <w:rPr>
          <w:color w:val="auto"/>
          <w:sz w:val="24"/>
        </w:rPr>
      </w:pPr>
      <w:r>
        <w:rPr>
          <w:color w:val="auto"/>
          <w:sz w:val="24"/>
        </w:rPr>
        <w:t>支持自动效验上报内容是否合格。</w:t>
      </w:r>
    </w:p>
    <w:p w14:paraId="683A7333">
      <w:pPr>
        <w:pStyle w:val="94"/>
        <w:numPr>
          <w:ilvl w:val="0"/>
          <w:numId w:val="162"/>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可能产生的相关事件、涉及药品及器材名称、相关可能的因素、预防方法及措施、事件当事人情况、事件报告人服务岗位</w:t>
      </w:r>
      <w:r>
        <w:rPr>
          <w:color w:val="auto"/>
          <w:sz w:val="24"/>
        </w:rPr>
        <w:t>、是否属医院主动特别报告的四个事件、事件报告人署名信息。</w:t>
      </w:r>
    </w:p>
    <w:p w14:paraId="3B55F48F">
      <w:pPr>
        <w:pStyle w:val="94"/>
        <w:numPr>
          <w:ilvl w:val="0"/>
          <w:numId w:val="160"/>
        </w:numPr>
        <w:ind w:left="0" w:firstLine="480"/>
        <w:rPr>
          <w:color w:val="auto"/>
          <w:sz w:val="24"/>
        </w:rPr>
      </w:pPr>
      <w:r>
        <w:rPr>
          <w:color w:val="auto"/>
          <w:sz w:val="24"/>
        </w:rPr>
        <w:t>治疗错误事件</w:t>
      </w:r>
    </w:p>
    <w:p w14:paraId="49C78096">
      <w:pPr>
        <w:pStyle w:val="94"/>
        <w:numPr>
          <w:ilvl w:val="0"/>
          <w:numId w:val="163"/>
        </w:numPr>
        <w:ind w:left="0" w:firstLine="480"/>
        <w:rPr>
          <w:color w:val="auto"/>
          <w:sz w:val="24"/>
        </w:rPr>
      </w:pPr>
      <w:r>
        <w:rPr>
          <w:color w:val="auto"/>
          <w:sz w:val="24"/>
        </w:rPr>
        <w:t>支持患者信息自动导入</w:t>
      </w:r>
      <w:r>
        <w:rPr>
          <w:rFonts w:hint="eastAsia"/>
          <w:color w:val="auto"/>
          <w:sz w:val="24"/>
          <w:lang w:eastAsia="zh-CN"/>
        </w:rPr>
        <w:t>。</w:t>
      </w:r>
    </w:p>
    <w:p w14:paraId="0FF7E15E">
      <w:pPr>
        <w:pStyle w:val="94"/>
        <w:numPr>
          <w:ilvl w:val="0"/>
          <w:numId w:val="163"/>
        </w:numPr>
        <w:ind w:left="0" w:firstLine="480"/>
        <w:rPr>
          <w:color w:val="auto"/>
          <w:sz w:val="24"/>
        </w:rPr>
      </w:pPr>
      <w:r>
        <w:rPr>
          <w:color w:val="auto"/>
          <w:sz w:val="24"/>
        </w:rPr>
        <w:t>支持自动效验上报内容是否合格。</w:t>
      </w:r>
    </w:p>
    <w:p w14:paraId="6A6F255B">
      <w:pPr>
        <w:pStyle w:val="94"/>
        <w:numPr>
          <w:ilvl w:val="0"/>
          <w:numId w:val="163"/>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可能产生的相关事件、涉及药品及器材名称、相关可能的因素、预防方法及措施、事件当事人情况、事件报告人服务岗位</w:t>
      </w:r>
      <w:r>
        <w:rPr>
          <w:color w:val="auto"/>
          <w:sz w:val="24"/>
        </w:rPr>
        <w:t>、是否属医院主动特别报告的四个事件、事件报告人署名信息。</w:t>
      </w:r>
    </w:p>
    <w:p w14:paraId="445731B9">
      <w:pPr>
        <w:pStyle w:val="94"/>
        <w:numPr>
          <w:ilvl w:val="0"/>
          <w:numId w:val="160"/>
        </w:numPr>
        <w:ind w:left="0" w:firstLine="480"/>
        <w:rPr>
          <w:color w:val="auto"/>
          <w:sz w:val="24"/>
        </w:rPr>
      </w:pPr>
      <w:r>
        <w:rPr>
          <w:color w:val="auto"/>
          <w:sz w:val="24"/>
        </w:rPr>
        <w:t>手术事件</w:t>
      </w:r>
    </w:p>
    <w:p w14:paraId="6513A56D">
      <w:pPr>
        <w:pStyle w:val="94"/>
        <w:numPr>
          <w:ilvl w:val="0"/>
          <w:numId w:val="164"/>
        </w:numPr>
        <w:ind w:left="0" w:firstLine="480"/>
        <w:rPr>
          <w:color w:val="auto"/>
          <w:sz w:val="24"/>
        </w:rPr>
      </w:pPr>
      <w:r>
        <w:rPr>
          <w:color w:val="auto"/>
          <w:sz w:val="24"/>
        </w:rPr>
        <w:t>支持患者信息自动导入</w:t>
      </w:r>
      <w:r>
        <w:rPr>
          <w:rFonts w:hint="eastAsia"/>
          <w:color w:val="auto"/>
          <w:sz w:val="24"/>
          <w:lang w:eastAsia="zh-CN"/>
        </w:rPr>
        <w:t>。</w:t>
      </w:r>
    </w:p>
    <w:p w14:paraId="41AA42C3">
      <w:pPr>
        <w:pStyle w:val="94"/>
        <w:numPr>
          <w:ilvl w:val="0"/>
          <w:numId w:val="164"/>
        </w:numPr>
        <w:ind w:left="0" w:firstLine="480"/>
        <w:rPr>
          <w:color w:val="auto"/>
          <w:sz w:val="24"/>
        </w:rPr>
      </w:pPr>
      <w:r>
        <w:rPr>
          <w:color w:val="auto"/>
          <w:sz w:val="24"/>
        </w:rPr>
        <w:t>支持自动效验上报内容是否合格。</w:t>
      </w:r>
    </w:p>
    <w:p w14:paraId="52598DCE">
      <w:pPr>
        <w:pStyle w:val="94"/>
        <w:numPr>
          <w:ilvl w:val="0"/>
          <w:numId w:val="164"/>
        </w:numPr>
        <w:ind w:left="0" w:firstLine="480"/>
        <w:rPr>
          <w:color w:val="auto"/>
          <w:sz w:val="24"/>
        </w:rPr>
      </w:pPr>
      <w:r>
        <w:rPr>
          <w:rFonts w:hint="eastAsia"/>
          <w:color w:val="auto"/>
          <w:sz w:val="24"/>
        </w:rPr>
        <w:t>支持填报医院信息、事件报告相关信息、手术类别、所报告不良事件的类别及情况、发生不良事件/错误的名称、发生不良事件的主要事由/要素、可能产生的相关事件、涉及药品及器材名称、相关可能的因素、预防方法及措施、事件当事人情况、事件报告人服务岗位</w:t>
      </w:r>
      <w:r>
        <w:rPr>
          <w:color w:val="auto"/>
          <w:sz w:val="24"/>
        </w:rPr>
        <w:t>、是否属医院主动特别报告的四个事件、事件报告人署名信息。</w:t>
      </w:r>
    </w:p>
    <w:p w14:paraId="5331F04C">
      <w:pPr>
        <w:bidi w:val="0"/>
        <w:rPr>
          <w:b/>
          <w:bCs/>
          <w:color w:val="auto"/>
        </w:rPr>
      </w:pPr>
      <w:bookmarkStart w:id="339" w:name="_Toc153618345"/>
      <w:r>
        <w:rPr>
          <w:rFonts w:hint="eastAsia"/>
          <w:b/>
          <w:bCs/>
          <w:color w:val="auto"/>
        </w:rPr>
        <w:t>护理事件</w:t>
      </w:r>
      <w:bookmarkEnd w:id="339"/>
    </w:p>
    <w:p w14:paraId="4EB5461D">
      <w:pPr>
        <w:pStyle w:val="94"/>
        <w:numPr>
          <w:ilvl w:val="0"/>
          <w:numId w:val="165"/>
        </w:numPr>
        <w:ind w:left="0" w:firstLine="480"/>
        <w:rPr>
          <w:color w:val="auto"/>
          <w:sz w:val="24"/>
        </w:rPr>
      </w:pPr>
      <w:r>
        <w:rPr>
          <w:rFonts w:hint="eastAsia"/>
          <w:color w:val="auto"/>
          <w:sz w:val="24"/>
        </w:rPr>
        <w:t>婴儿抱错事件</w:t>
      </w:r>
    </w:p>
    <w:p w14:paraId="15768D43">
      <w:pPr>
        <w:pStyle w:val="94"/>
        <w:numPr>
          <w:ilvl w:val="0"/>
          <w:numId w:val="166"/>
        </w:numPr>
        <w:ind w:left="0" w:firstLine="480"/>
        <w:rPr>
          <w:color w:val="auto"/>
          <w:sz w:val="24"/>
        </w:rPr>
      </w:pPr>
      <w:r>
        <w:rPr>
          <w:color w:val="auto"/>
          <w:sz w:val="24"/>
        </w:rPr>
        <w:t>支持患者信息自动导入</w:t>
      </w:r>
    </w:p>
    <w:p w14:paraId="0F182DD5">
      <w:pPr>
        <w:pStyle w:val="94"/>
        <w:numPr>
          <w:ilvl w:val="0"/>
          <w:numId w:val="166"/>
        </w:numPr>
        <w:ind w:left="0" w:firstLine="480"/>
        <w:rPr>
          <w:color w:val="auto"/>
          <w:sz w:val="24"/>
        </w:rPr>
      </w:pPr>
      <w:r>
        <w:rPr>
          <w:color w:val="auto"/>
          <w:sz w:val="24"/>
        </w:rPr>
        <w:t>支持自动效验上报内容是否合格。</w:t>
      </w:r>
    </w:p>
    <w:p w14:paraId="4B68DF3C">
      <w:pPr>
        <w:pStyle w:val="94"/>
        <w:numPr>
          <w:ilvl w:val="0"/>
          <w:numId w:val="166"/>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可能产生的相关事件、涉及药品及器材名称、相关可能的因素、预防方法及措施、事件当事人情况、事件报告人服务岗位</w:t>
      </w:r>
      <w:r>
        <w:rPr>
          <w:color w:val="auto"/>
          <w:sz w:val="24"/>
        </w:rPr>
        <w:t>、是否属医院主动特别报告的四个事件、事件报告人署名信息。</w:t>
      </w:r>
    </w:p>
    <w:p w14:paraId="01D9E0AD">
      <w:pPr>
        <w:pStyle w:val="94"/>
        <w:numPr>
          <w:ilvl w:val="0"/>
          <w:numId w:val="165"/>
        </w:numPr>
        <w:ind w:left="0" w:firstLine="480"/>
        <w:rPr>
          <w:color w:val="auto"/>
          <w:sz w:val="24"/>
        </w:rPr>
      </w:pPr>
      <w:r>
        <w:rPr>
          <w:color w:val="auto"/>
          <w:sz w:val="24"/>
        </w:rPr>
        <w:t>其他导管事件</w:t>
      </w:r>
    </w:p>
    <w:p w14:paraId="0208F743">
      <w:pPr>
        <w:pStyle w:val="94"/>
        <w:numPr>
          <w:ilvl w:val="0"/>
          <w:numId w:val="167"/>
        </w:numPr>
        <w:ind w:left="0" w:firstLine="480"/>
        <w:rPr>
          <w:color w:val="auto"/>
          <w:sz w:val="24"/>
        </w:rPr>
      </w:pPr>
      <w:r>
        <w:rPr>
          <w:color w:val="auto"/>
          <w:sz w:val="24"/>
        </w:rPr>
        <w:t>支持患者信息自动导入</w:t>
      </w:r>
    </w:p>
    <w:p w14:paraId="22AD1CFB">
      <w:pPr>
        <w:pStyle w:val="94"/>
        <w:numPr>
          <w:ilvl w:val="0"/>
          <w:numId w:val="167"/>
        </w:numPr>
        <w:ind w:left="0" w:firstLine="480"/>
        <w:rPr>
          <w:color w:val="auto"/>
          <w:sz w:val="24"/>
        </w:rPr>
      </w:pPr>
      <w:r>
        <w:rPr>
          <w:color w:val="auto"/>
          <w:sz w:val="24"/>
        </w:rPr>
        <w:t>支持自动效验上报内容是否合格。</w:t>
      </w:r>
    </w:p>
    <w:p w14:paraId="17EC1379">
      <w:pPr>
        <w:pStyle w:val="94"/>
        <w:numPr>
          <w:ilvl w:val="0"/>
          <w:numId w:val="167"/>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支持填报医院信息、事件报告相关信息、所报告不良事件的类别及情况、发生不良事件/错误的名称、发生不良事件的主要事由/要素、相关可能的因素、预防方法及措施、事件当事人情况、事件报告人服务岗位</w:t>
      </w:r>
      <w:r>
        <w:rPr>
          <w:color w:val="auto"/>
          <w:sz w:val="24"/>
        </w:rPr>
        <w:t>、是否属医院主动特别报告的四个事件、事件报告人署名信息。</w:t>
      </w:r>
    </w:p>
    <w:p w14:paraId="29C3D392">
      <w:pPr>
        <w:pStyle w:val="94"/>
        <w:numPr>
          <w:ilvl w:val="0"/>
          <w:numId w:val="165"/>
        </w:numPr>
        <w:ind w:left="0" w:firstLine="480"/>
        <w:rPr>
          <w:color w:val="auto"/>
          <w:sz w:val="24"/>
        </w:rPr>
      </w:pPr>
      <w:r>
        <w:rPr>
          <w:rFonts w:hint="eastAsia"/>
          <w:color w:val="auto"/>
          <w:sz w:val="24"/>
        </w:rPr>
        <w:t>跌倒坠床</w:t>
      </w:r>
      <w:r>
        <w:rPr>
          <w:color w:val="auto"/>
          <w:sz w:val="24"/>
        </w:rPr>
        <w:t>事件</w:t>
      </w:r>
    </w:p>
    <w:p w14:paraId="09A40D6C">
      <w:pPr>
        <w:pStyle w:val="94"/>
        <w:numPr>
          <w:ilvl w:val="0"/>
          <w:numId w:val="168"/>
        </w:numPr>
        <w:ind w:left="0" w:firstLine="480"/>
        <w:rPr>
          <w:color w:val="auto"/>
          <w:sz w:val="24"/>
        </w:rPr>
      </w:pPr>
      <w:r>
        <w:rPr>
          <w:color w:val="auto"/>
          <w:sz w:val="24"/>
        </w:rPr>
        <w:t>支持患者信息自动导入</w:t>
      </w:r>
    </w:p>
    <w:p w14:paraId="7F7C4831">
      <w:pPr>
        <w:pStyle w:val="94"/>
        <w:numPr>
          <w:ilvl w:val="0"/>
          <w:numId w:val="168"/>
        </w:numPr>
        <w:ind w:left="0" w:firstLine="480"/>
        <w:rPr>
          <w:color w:val="auto"/>
          <w:sz w:val="24"/>
        </w:rPr>
      </w:pPr>
      <w:r>
        <w:rPr>
          <w:color w:val="auto"/>
          <w:sz w:val="24"/>
        </w:rPr>
        <w:t>支持自动效验上报内容是否合格。</w:t>
      </w:r>
    </w:p>
    <w:p w14:paraId="6F573F76">
      <w:pPr>
        <w:pStyle w:val="94"/>
        <w:numPr>
          <w:ilvl w:val="0"/>
          <w:numId w:val="168"/>
        </w:numPr>
        <w:ind w:left="0" w:firstLine="480"/>
        <w:rPr>
          <w:color w:val="auto"/>
          <w:sz w:val="24"/>
        </w:rPr>
      </w:pPr>
      <w:r>
        <w:rPr>
          <w:rFonts w:hint="eastAsia"/>
          <w:color w:val="auto"/>
          <w:sz w:val="24"/>
        </w:rPr>
        <w:t>支持填报医院信息、事件报告相关信息、所报告不良事件的类别及情况、</w:t>
      </w:r>
      <w:r>
        <w:rPr>
          <w:color w:val="auto"/>
          <w:sz w:val="24"/>
        </w:rPr>
        <w:t>跌倒事件发生的患者特征</w:t>
      </w:r>
      <w:r>
        <w:rPr>
          <w:rFonts w:hint="eastAsia"/>
          <w:color w:val="auto"/>
          <w:sz w:val="24"/>
        </w:rPr>
        <w:t>、发生不良事件的主要事由/要素、</w:t>
      </w:r>
      <w:r>
        <w:rPr>
          <w:color w:val="auto"/>
          <w:sz w:val="24"/>
        </w:rPr>
        <w:t>跌倒损伤严重程度分级</w:t>
      </w:r>
      <w:r>
        <w:rPr>
          <w:rFonts w:hint="eastAsia"/>
          <w:color w:val="auto"/>
          <w:sz w:val="24"/>
        </w:rPr>
        <w:t>、涉及药品及器材的名称、相关可能的因素、预防方法及措施、事件当事人情况、事件报告人服务岗位</w:t>
      </w:r>
      <w:r>
        <w:rPr>
          <w:color w:val="auto"/>
          <w:sz w:val="24"/>
        </w:rPr>
        <w:t>、是否属医院主动特别报告的四个事件、事件报告人署名信息。</w:t>
      </w:r>
    </w:p>
    <w:p w14:paraId="7F17FA49">
      <w:pPr>
        <w:pStyle w:val="94"/>
        <w:numPr>
          <w:ilvl w:val="0"/>
          <w:numId w:val="165"/>
        </w:numPr>
        <w:ind w:left="0" w:firstLine="480"/>
        <w:rPr>
          <w:color w:val="auto"/>
          <w:sz w:val="24"/>
        </w:rPr>
      </w:pPr>
      <w:r>
        <w:rPr>
          <w:color w:val="auto"/>
          <w:sz w:val="24"/>
        </w:rPr>
        <w:t>压疮事件</w:t>
      </w:r>
    </w:p>
    <w:p w14:paraId="4AB39686">
      <w:pPr>
        <w:pStyle w:val="94"/>
        <w:numPr>
          <w:ilvl w:val="0"/>
          <w:numId w:val="169"/>
        </w:numPr>
        <w:ind w:left="0" w:firstLine="480"/>
        <w:rPr>
          <w:color w:val="auto"/>
          <w:sz w:val="24"/>
        </w:rPr>
      </w:pPr>
      <w:r>
        <w:rPr>
          <w:color w:val="auto"/>
          <w:sz w:val="24"/>
        </w:rPr>
        <w:t>支持患者信息自动导入</w:t>
      </w:r>
    </w:p>
    <w:p w14:paraId="6C3A464E">
      <w:pPr>
        <w:pStyle w:val="94"/>
        <w:numPr>
          <w:ilvl w:val="0"/>
          <w:numId w:val="169"/>
        </w:numPr>
        <w:ind w:left="0" w:firstLine="480"/>
        <w:rPr>
          <w:color w:val="auto"/>
          <w:sz w:val="24"/>
        </w:rPr>
      </w:pPr>
      <w:r>
        <w:rPr>
          <w:color w:val="auto"/>
          <w:sz w:val="24"/>
        </w:rPr>
        <w:t>支持自动效验上报内容是否合格。</w:t>
      </w:r>
    </w:p>
    <w:p w14:paraId="304EEF8B">
      <w:pPr>
        <w:pStyle w:val="94"/>
        <w:numPr>
          <w:ilvl w:val="0"/>
          <w:numId w:val="169"/>
        </w:numPr>
        <w:ind w:left="0" w:firstLine="480"/>
        <w:rPr>
          <w:color w:val="auto"/>
          <w:sz w:val="24"/>
        </w:rPr>
      </w:pPr>
      <w:r>
        <w:rPr>
          <w:rFonts w:hint="eastAsia"/>
          <w:color w:val="auto"/>
          <w:sz w:val="24"/>
        </w:rPr>
        <w:t>支持填报医院信息、事件报告相关信息、所报告不良事件的类别及情况、压疮发生前的干预措施、压疮发生后的干预措施、评估与干预中可能的缺陷、涉及药品及器材的名称、相关可能的因素、预防方法及措施、事件当事人情况、事件报告人服务岗位</w:t>
      </w:r>
      <w:r>
        <w:rPr>
          <w:color w:val="auto"/>
          <w:sz w:val="24"/>
        </w:rPr>
        <w:t>、是否属医院主动特别报告的四个事件、事件报告人署名信息。</w:t>
      </w:r>
    </w:p>
    <w:p w14:paraId="3A08BAED">
      <w:pPr>
        <w:pStyle w:val="94"/>
        <w:numPr>
          <w:ilvl w:val="0"/>
          <w:numId w:val="165"/>
        </w:numPr>
        <w:ind w:left="0" w:firstLine="480"/>
        <w:rPr>
          <w:color w:val="auto"/>
          <w:sz w:val="24"/>
        </w:rPr>
      </w:pPr>
      <w:r>
        <w:rPr>
          <w:color w:val="auto"/>
          <w:sz w:val="24"/>
        </w:rPr>
        <w:t>其他医护事件</w:t>
      </w:r>
    </w:p>
    <w:p w14:paraId="767D46D3">
      <w:pPr>
        <w:pStyle w:val="94"/>
        <w:numPr>
          <w:ilvl w:val="0"/>
          <w:numId w:val="170"/>
        </w:numPr>
        <w:ind w:left="0" w:firstLine="480"/>
        <w:rPr>
          <w:color w:val="auto"/>
          <w:sz w:val="24"/>
        </w:rPr>
      </w:pPr>
      <w:r>
        <w:rPr>
          <w:color w:val="auto"/>
          <w:sz w:val="24"/>
        </w:rPr>
        <w:t>支持患者信息自动导入</w:t>
      </w:r>
    </w:p>
    <w:p w14:paraId="5D0463CB">
      <w:pPr>
        <w:pStyle w:val="94"/>
        <w:numPr>
          <w:ilvl w:val="0"/>
          <w:numId w:val="170"/>
        </w:numPr>
        <w:ind w:left="0" w:firstLine="480"/>
        <w:rPr>
          <w:color w:val="auto"/>
          <w:sz w:val="24"/>
        </w:rPr>
      </w:pPr>
      <w:r>
        <w:rPr>
          <w:color w:val="auto"/>
          <w:sz w:val="24"/>
        </w:rPr>
        <w:t>支持自动效验上报内容是否合格。</w:t>
      </w:r>
    </w:p>
    <w:p w14:paraId="3064822C">
      <w:pPr>
        <w:pStyle w:val="94"/>
        <w:numPr>
          <w:ilvl w:val="0"/>
          <w:numId w:val="170"/>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涉及药品及器材的名称、相关可能的因素、预防方法及措施、事件当事人情况、事件报告人服务岗位</w:t>
      </w:r>
      <w:r>
        <w:rPr>
          <w:color w:val="auto"/>
          <w:sz w:val="24"/>
        </w:rPr>
        <w:t>、是否属医院主动特别报告的四个事件、事件报告人署名信息。</w:t>
      </w:r>
    </w:p>
    <w:p w14:paraId="50B74BE7">
      <w:pPr>
        <w:bidi w:val="0"/>
        <w:rPr>
          <w:rFonts w:hint="eastAsia" w:ascii="宋体" w:hAnsi="宋体" w:eastAsia="宋体" w:cs="Times New Roman"/>
          <w:b/>
          <w:bCs/>
          <w:color w:val="auto"/>
        </w:rPr>
      </w:pPr>
      <w:bookmarkStart w:id="340" w:name="_Toc153618346"/>
      <w:r>
        <w:rPr>
          <w:rFonts w:hint="eastAsia" w:ascii="宋体" w:hAnsi="宋体" w:eastAsia="宋体" w:cs="Times New Roman"/>
          <w:b/>
          <w:bCs/>
          <w:color w:val="auto"/>
        </w:rPr>
        <w:t>输血事件</w:t>
      </w:r>
      <w:bookmarkEnd w:id="340"/>
    </w:p>
    <w:p w14:paraId="718544B6">
      <w:pPr>
        <w:pStyle w:val="94"/>
        <w:numPr>
          <w:ilvl w:val="0"/>
          <w:numId w:val="171"/>
        </w:numPr>
        <w:ind w:left="0" w:firstLine="480"/>
        <w:rPr>
          <w:color w:val="auto"/>
          <w:sz w:val="24"/>
        </w:rPr>
      </w:pPr>
      <w:r>
        <w:rPr>
          <w:color w:val="auto"/>
          <w:sz w:val="24"/>
        </w:rPr>
        <w:t>支持患者信息自动导入</w:t>
      </w:r>
    </w:p>
    <w:p w14:paraId="74D1D824">
      <w:pPr>
        <w:pStyle w:val="94"/>
        <w:numPr>
          <w:ilvl w:val="0"/>
          <w:numId w:val="171"/>
        </w:numPr>
        <w:ind w:left="0" w:firstLine="480"/>
        <w:rPr>
          <w:color w:val="auto"/>
          <w:sz w:val="24"/>
        </w:rPr>
      </w:pPr>
      <w:r>
        <w:rPr>
          <w:color w:val="auto"/>
          <w:sz w:val="24"/>
        </w:rPr>
        <w:t>支持自动效验上报内容是否合格。</w:t>
      </w:r>
    </w:p>
    <w:p w14:paraId="08063AC7">
      <w:pPr>
        <w:pStyle w:val="94"/>
        <w:numPr>
          <w:ilvl w:val="0"/>
          <w:numId w:val="171"/>
        </w:numPr>
        <w:ind w:left="0" w:firstLine="480"/>
        <w:rPr>
          <w:color w:val="auto"/>
          <w:sz w:val="24"/>
        </w:rPr>
      </w:pPr>
      <w:r>
        <w:rPr>
          <w:rFonts w:hint="eastAsia"/>
          <w:color w:val="auto"/>
          <w:sz w:val="24"/>
        </w:rPr>
        <w:t>支持填报医院信息、事件报告相关信息、输入何种血时发生事件或错误、发生不良事件/错误的名称、发生不良事件的主要事由、涉及药品及器材的名称、相关可能的因素、预防方法及措施、事件当事人情况、事件报告人服务岗位</w:t>
      </w:r>
      <w:r>
        <w:rPr>
          <w:color w:val="auto"/>
          <w:sz w:val="24"/>
        </w:rPr>
        <w:t>、是否属医院主动特别报告的四个事件、事件报告人署名信息。</w:t>
      </w:r>
    </w:p>
    <w:p w14:paraId="5DF9D7D7">
      <w:pPr>
        <w:bidi w:val="0"/>
        <w:rPr>
          <w:rFonts w:hint="eastAsia" w:ascii="宋体" w:hAnsi="宋体" w:eastAsia="宋体" w:cs="Times New Roman"/>
          <w:b/>
          <w:bCs/>
          <w:color w:val="auto"/>
        </w:rPr>
      </w:pPr>
      <w:bookmarkStart w:id="341" w:name="_Toc153618347"/>
      <w:r>
        <w:rPr>
          <w:rFonts w:hint="eastAsia" w:ascii="宋体" w:hAnsi="宋体" w:eastAsia="宋体" w:cs="Times New Roman"/>
          <w:b/>
          <w:bCs/>
          <w:color w:val="auto"/>
        </w:rPr>
        <w:t>医疗器械</w:t>
      </w:r>
      <w:bookmarkEnd w:id="341"/>
    </w:p>
    <w:p w14:paraId="2E98EA67">
      <w:pPr>
        <w:pStyle w:val="94"/>
        <w:numPr>
          <w:ilvl w:val="0"/>
          <w:numId w:val="172"/>
        </w:numPr>
        <w:ind w:left="0" w:firstLine="480"/>
        <w:rPr>
          <w:color w:val="auto"/>
          <w:sz w:val="24"/>
        </w:rPr>
      </w:pPr>
      <w:r>
        <w:rPr>
          <w:color w:val="auto"/>
          <w:sz w:val="24"/>
        </w:rPr>
        <w:t>支持患者信息自动导入</w:t>
      </w:r>
    </w:p>
    <w:p w14:paraId="16B54892">
      <w:pPr>
        <w:pStyle w:val="94"/>
        <w:numPr>
          <w:ilvl w:val="0"/>
          <w:numId w:val="172"/>
        </w:numPr>
        <w:ind w:left="0" w:firstLine="480"/>
        <w:rPr>
          <w:color w:val="auto"/>
          <w:sz w:val="24"/>
        </w:rPr>
      </w:pPr>
      <w:r>
        <w:rPr>
          <w:color w:val="auto"/>
          <w:sz w:val="24"/>
        </w:rPr>
        <w:t>支持自动效验上报内容是否合格。</w:t>
      </w:r>
    </w:p>
    <w:p w14:paraId="5B4BB664">
      <w:pPr>
        <w:pStyle w:val="94"/>
        <w:numPr>
          <w:ilvl w:val="0"/>
          <w:numId w:val="172"/>
        </w:numPr>
        <w:ind w:left="0" w:firstLine="480"/>
        <w:rPr>
          <w:color w:val="auto"/>
          <w:sz w:val="24"/>
        </w:rPr>
      </w:pPr>
      <w:r>
        <w:rPr>
          <w:rFonts w:hint="eastAsia"/>
          <w:color w:val="auto"/>
          <w:sz w:val="24"/>
        </w:rPr>
        <w:t>支持填报医院信息、事件报告相关信息、所报告不良事件的类别及情况、发生不良事件/错误的名称、发生不良事件的主要事由/要素、涉及药品及器材的名称、相关可能的因素、预防方法及措施、事件当事人情况、事件报告人服务岗位</w:t>
      </w:r>
      <w:r>
        <w:rPr>
          <w:color w:val="auto"/>
          <w:sz w:val="24"/>
        </w:rPr>
        <w:t>、是否属医院主动特别报告的四个事件、事件报告人署名信息。</w:t>
      </w:r>
    </w:p>
    <w:p w14:paraId="4C5F6378">
      <w:pPr>
        <w:bidi w:val="0"/>
        <w:rPr>
          <w:rFonts w:hint="eastAsia" w:ascii="宋体" w:hAnsi="宋体" w:eastAsia="宋体" w:cs="Times New Roman"/>
          <w:b/>
          <w:bCs/>
          <w:color w:val="auto"/>
        </w:rPr>
      </w:pPr>
      <w:bookmarkStart w:id="342" w:name="_Toc153618348"/>
      <w:r>
        <w:rPr>
          <w:rFonts w:hint="eastAsia" w:ascii="宋体" w:hAnsi="宋体" w:eastAsia="宋体" w:cs="Times New Roman"/>
          <w:b/>
          <w:bCs/>
          <w:color w:val="auto"/>
        </w:rPr>
        <w:t>治安消防</w:t>
      </w:r>
      <w:bookmarkEnd w:id="342"/>
    </w:p>
    <w:p w14:paraId="0B92C208">
      <w:pPr>
        <w:pStyle w:val="94"/>
        <w:numPr>
          <w:ilvl w:val="0"/>
          <w:numId w:val="173"/>
        </w:numPr>
        <w:ind w:left="0" w:firstLine="480"/>
        <w:rPr>
          <w:color w:val="auto"/>
          <w:sz w:val="24"/>
        </w:rPr>
      </w:pPr>
      <w:r>
        <w:rPr>
          <w:rFonts w:hint="eastAsia"/>
          <w:color w:val="auto"/>
          <w:sz w:val="24"/>
        </w:rPr>
        <w:t>患者走失事件</w:t>
      </w:r>
    </w:p>
    <w:p w14:paraId="337ACF35">
      <w:pPr>
        <w:pStyle w:val="94"/>
        <w:numPr>
          <w:ilvl w:val="0"/>
          <w:numId w:val="174"/>
        </w:numPr>
        <w:ind w:left="0" w:firstLine="480"/>
        <w:rPr>
          <w:color w:val="auto"/>
          <w:sz w:val="24"/>
        </w:rPr>
      </w:pPr>
      <w:r>
        <w:rPr>
          <w:color w:val="auto"/>
          <w:sz w:val="24"/>
        </w:rPr>
        <w:t>支持患者信息自动导入</w:t>
      </w:r>
    </w:p>
    <w:p w14:paraId="41306AC3">
      <w:pPr>
        <w:pStyle w:val="94"/>
        <w:numPr>
          <w:ilvl w:val="0"/>
          <w:numId w:val="174"/>
        </w:numPr>
        <w:ind w:left="0" w:firstLine="480"/>
        <w:rPr>
          <w:color w:val="auto"/>
          <w:sz w:val="24"/>
        </w:rPr>
      </w:pPr>
      <w:r>
        <w:rPr>
          <w:color w:val="auto"/>
          <w:sz w:val="24"/>
        </w:rPr>
        <w:t>支持自动效验上报内容是否合格。</w:t>
      </w:r>
    </w:p>
    <w:p w14:paraId="3CB11A28">
      <w:pPr>
        <w:pStyle w:val="94"/>
        <w:numPr>
          <w:ilvl w:val="0"/>
          <w:numId w:val="174"/>
        </w:numPr>
        <w:ind w:left="0" w:firstLine="480"/>
        <w:rPr>
          <w:color w:val="auto"/>
          <w:sz w:val="24"/>
        </w:rPr>
      </w:pPr>
      <w:r>
        <w:rPr>
          <w:rFonts w:hint="eastAsia"/>
          <w:color w:val="auto"/>
          <w:sz w:val="24"/>
        </w:rPr>
        <w:t>支持填报医院信息、事件报告相关信息、所报告不良事件的类别及情况、住院患者走失特征、患者走失可能涉及的高风险因素、可能涉及影响认知功能的药物、患者走失发生后应急程序、走失后结局、相关可能的因素、预防方法及措施、事件当事人情况、事件报告人服务岗位</w:t>
      </w:r>
      <w:r>
        <w:rPr>
          <w:color w:val="auto"/>
          <w:sz w:val="24"/>
        </w:rPr>
        <w:t>、是否属医院主动特别报告的四个事件、事件报告人署名信息。</w:t>
      </w:r>
    </w:p>
    <w:p w14:paraId="31202196">
      <w:pPr>
        <w:pStyle w:val="94"/>
        <w:numPr>
          <w:ilvl w:val="0"/>
          <w:numId w:val="173"/>
        </w:numPr>
        <w:ind w:left="0" w:firstLine="480"/>
        <w:rPr>
          <w:color w:val="auto"/>
          <w:sz w:val="24"/>
        </w:rPr>
      </w:pPr>
      <w:r>
        <w:rPr>
          <w:color w:val="auto"/>
          <w:sz w:val="24"/>
        </w:rPr>
        <w:t>患者自杀事件</w:t>
      </w:r>
    </w:p>
    <w:p w14:paraId="5270F428">
      <w:pPr>
        <w:pStyle w:val="94"/>
        <w:numPr>
          <w:ilvl w:val="0"/>
          <w:numId w:val="175"/>
        </w:numPr>
        <w:ind w:left="0" w:firstLine="480"/>
        <w:rPr>
          <w:color w:val="auto"/>
          <w:sz w:val="24"/>
        </w:rPr>
      </w:pPr>
      <w:r>
        <w:rPr>
          <w:color w:val="auto"/>
          <w:sz w:val="24"/>
        </w:rPr>
        <w:t>支持患者信息自动导入</w:t>
      </w:r>
    </w:p>
    <w:p w14:paraId="673DA886">
      <w:pPr>
        <w:pStyle w:val="94"/>
        <w:numPr>
          <w:ilvl w:val="0"/>
          <w:numId w:val="175"/>
        </w:numPr>
        <w:ind w:left="0" w:firstLine="480"/>
        <w:rPr>
          <w:color w:val="auto"/>
          <w:sz w:val="24"/>
        </w:rPr>
      </w:pPr>
      <w:r>
        <w:rPr>
          <w:color w:val="auto"/>
          <w:sz w:val="24"/>
        </w:rPr>
        <w:t>支持自动效验上报内容是否合格。</w:t>
      </w:r>
    </w:p>
    <w:p w14:paraId="2E169F55">
      <w:pPr>
        <w:pStyle w:val="94"/>
        <w:numPr>
          <w:ilvl w:val="0"/>
          <w:numId w:val="175"/>
        </w:numPr>
        <w:ind w:left="0" w:firstLine="480"/>
        <w:rPr>
          <w:color w:val="auto"/>
          <w:sz w:val="24"/>
        </w:rPr>
      </w:pPr>
      <w:r>
        <w:rPr>
          <w:rFonts w:hint="eastAsia"/>
          <w:color w:val="auto"/>
          <w:sz w:val="24"/>
        </w:rPr>
        <w:t>支持填报医院信息、事件报告相关信息、所报告不良事件的类别及情况、当事人类别、病人原有的慢性疾病及危险因子、识别自杀可能涉及的高风险因素、</w:t>
      </w:r>
      <w:r>
        <w:rPr>
          <w:color w:val="auto"/>
          <w:sz w:val="24"/>
        </w:rPr>
        <w:t>对自杀高风险患者可能的预防措施、患者院内可能采取的自杀方式、可能选择的自杀地点、患者自杀发生后应急程序、自杀后结局</w:t>
      </w:r>
      <w:r>
        <w:rPr>
          <w:rFonts w:hint="eastAsia"/>
          <w:color w:val="auto"/>
          <w:sz w:val="24"/>
        </w:rPr>
        <w:t>、相关可能的因素、预防方法及措施、事件当事人情况、事件报告人服务岗位</w:t>
      </w:r>
      <w:r>
        <w:rPr>
          <w:color w:val="auto"/>
          <w:sz w:val="24"/>
        </w:rPr>
        <w:t>、是否属医院主动特别报告的四个事件、事件报告人署名信息。</w:t>
      </w:r>
    </w:p>
    <w:p w14:paraId="2BDC96CF">
      <w:pPr>
        <w:pStyle w:val="411"/>
        <w:ind w:firstLine="482"/>
        <w:rPr>
          <w:color w:val="auto"/>
        </w:rPr>
      </w:pPr>
      <w:bookmarkStart w:id="343" w:name="_Toc153618349"/>
      <w:r>
        <w:rPr>
          <w:rFonts w:hint="eastAsia"/>
          <w:color w:val="auto"/>
        </w:rPr>
        <w:t>我报告的不良事件</w:t>
      </w:r>
      <w:bookmarkEnd w:id="343"/>
    </w:p>
    <w:p w14:paraId="0016B4B8">
      <w:pPr>
        <w:pStyle w:val="94"/>
        <w:numPr>
          <w:ilvl w:val="0"/>
          <w:numId w:val="176"/>
        </w:numPr>
        <w:ind w:left="0" w:firstLine="480"/>
        <w:rPr>
          <w:color w:val="auto"/>
          <w:sz w:val="24"/>
        </w:rPr>
      </w:pPr>
      <w:r>
        <w:rPr>
          <w:rFonts w:hint="eastAsia"/>
          <w:color w:val="auto"/>
          <w:sz w:val="24"/>
        </w:rPr>
        <w:t>可以查询编辑删除找回本人报告的不良事件。</w:t>
      </w:r>
      <w:r>
        <w:rPr>
          <w:color w:val="auto"/>
          <w:sz w:val="24"/>
        </w:rPr>
        <w:t xml:space="preserve"> </w:t>
      </w:r>
    </w:p>
    <w:p w14:paraId="65205BAC">
      <w:pPr>
        <w:pStyle w:val="94"/>
        <w:numPr>
          <w:ilvl w:val="0"/>
          <w:numId w:val="176"/>
        </w:numPr>
        <w:ind w:left="0" w:firstLine="480"/>
        <w:rPr>
          <w:color w:val="auto"/>
          <w:sz w:val="24"/>
        </w:rPr>
      </w:pPr>
      <w:r>
        <w:rPr>
          <w:rFonts w:hint="eastAsia"/>
          <w:color w:val="auto"/>
          <w:sz w:val="24"/>
        </w:rPr>
        <w:t>支持根据报告日期、事件名称、患者姓名、事件状态、发生时间、事件摘要等信息进行查询。</w:t>
      </w:r>
    </w:p>
    <w:p w14:paraId="4C4815AD">
      <w:pPr>
        <w:pStyle w:val="94"/>
        <w:numPr>
          <w:ilvl w:val="0"/>
          <w:numId w:val="176"/>
        </w:numPr>
        <w:ind w:left="0" w:firstLine="480"/>
        <w:rPr>
          <w:color w:val="auto"/>
          <w:sz w:val="24"/>
        </w:rPr>
      </w:pPr>
      <w:r>
        <w:rPr>
          <w:rFonts w:hint="eastAsia"/>
          <w:color w:val="auto"/>
          <w:sz w:val="24"/>
        </w:rPr>
        <w:t>支持查看不良事件上报历史记录。</w:t>
      </w:r>
    </w:p>
    <w:p w14:paraId="7EC13E3C">
      <w:pPr>
        <w:pStyle w:val="94"/>
        <w:numPr>
          <w:ilvl w:val="0"/>
          <w:numId w:val="176"/>
        </w:numPr>
        <w:ind w:left="0" w:firstLine="480"/>
        <w:rPr>
          <w:color w:val="auto"/>
          <w:sz w:val="24"/>
        </w:rPr>
      </w:pPr>
      <w:r>
        <w:rPr>
          <w:color w:val="auto"/>
          <w:sz w:val="24"/>
        </w:rPr>
        <w:t>支持根据颜色区分不良事件上报状态。</w:t>
      </w:r>
    </w:p>
    <w:p w14:paraId="3F9AC4E3">
      <w:pPr>
        <w:pStyle w:val="411"/>
        <w:ind w:firstLine="482"/>
        <w:rPr>
          <w:color w:val="auto"/>
        </w:rPr>
      </w:pPr>
      <w:bookmarkStart w:id="344" w:name="_Toc153618350"/>
      <w:r>
        <w:rPr>
          <w:rFonts w:hint="eastAsia"/>
          <w:color w:val="auto"/>
        </w:rPr>
        <w:t>不良事件处理</w:t>
      </w:r>
      <w:bookmarkEnd w:id="344"/>
    </w:p>
    <w:p w14:paraId="343C880C">
      <w:pPr>
        <w:ind w:firstLine="480"/>
        <w:rPr>
          <w:color w:val="auto"/>
        </w:rPr>
      </w:pPr>
      <w:r>
        <w:rPr>
          <w:rFonts w:hint="eastAsia"/>
          <w:color w:val="auto"/>
        </w:rPr>
        <w:t>对不良事件进行督办、分析、审核、归档等各类操作</w:t>
      </w:r>
    </w:p>
    <w:p w14:paraId="6C14478B">
      <w:pPr>
        <w:pStyle w:val="94"/>
        <w:numPr>
          <w:ilvl w:val="0"/>
          <w:numId w:val="177"/>
        </w:numPr>
        <w:ind w:left="0" w:firstLine="480"/>
        <w:rPr>
          <w:color w:val="auto"/>
          <w:sz w:val="24"/>
        </w:rPr>
      </w:pPr>
      <w:r>
        <w:rPr>
          <w:rFonts w:hint="eastAsia"/>
          <w:color w:val="auto"/>
          <w:sz w:val="24"/>
        </w:rPr>
        <w:t>支持权限控制：范围权限（医疗单位、科室、不良事件），内嵌权限（删除、审核、督办、分析、归档等）；</w:t>
      </w:r>
    </w:p>
    <w:p w14:paraId="174F1269">
      <w:pPr>
        <w:pStyle w:val="94"/>
        <w:numPr>
          <w:ilvl w:val="0"/>
          <w:numId w:val="177"/>
        </w:numPr>
        <w:ind w:left="0" w:firstLine="480"/>
        <w:rPr>
          <w:color w:val="auto"/>
          <w:sz w:val="24"/>
        </w:rPr>
      </w:pPr>
      <w:r>
        <w:rPr>
          <w:rFonts w:hint="eastAsia"/>
          <w:color w:val="auto"/>
          <w:sz w:val="24"/>
        </w:rPr>
        <w:t>支持不良事件查询，可根据多种查询条件进行查询；</w:t>
      </w:r>
    </w:p>
    <w:p w14:paraId="4CC2E956">
      <w:pPr>
        <w:pStyle w:val="94"/>
        <w:numPr>
          <w:ilvl w:val="0"/>
          <w:numId w:val="177"/>
        </w:numPr>
        <w:ind w:left="0" w:firstLine="480"/>
        <w:rPr>
          <w:color w:val="auto"/>
          <w:sz w:val="24"/>
        </w:rPr>
      </w:pPr>
      <w:r>
        <w:rPr>
          <w:rFonts w:hint="eastAsia"/>
          <w:color w:val="auto"/>
          <w:sz w:val="24"/>
        </w:rPr>
        <w:t>支持显示不良事件的报告时间、不良事件名称、报告人、事件摘要、发生时间、事件等级、伤害程度、患者状态、涉及科室、住院号、患者姓名、状态、事件类型、更新时间、更新人等信息；</w:t>
      </w:r>
    </w:p>
    <w:p w14:paraId="5F9D5030">
      <w:pPr>
        <w:pStyle w:val="94"/>
        <w:numPr>
          <w:ilvl w:val="0"/>
          <w:numId w:val="177"/>
        </w:numPr>
        <w:ind w:left="0" w:firstLine="480"/>
        <w:rPr>
          <w:color w:val="auto"/>
          <w:sz w:val="24"/>
        </w:rPr>
      </w:pPr>
      <w:r>
        <w:rPr>
          <w:rFonts w:hint="eastAsia"/>
          <w:color w:val="auto"/>
          <w:sz w:val="24"/>
        </w:rPr>
        <w:t>支持对不良事件上报的编辑、备注、删除、找回、分析、反馈、督办、审核、取消审核、整改、归档、取消归档、追踪操作。</w:t>
      </w:r>
    </w:p>
    <w:p w14:paraId="166AFC3A">
      <w:pPr>
        <w:pStyle w:val="14"/>
        <w:bidi w:val="0"/>
        <w:rPr>
          <w:color w:val="auto"/>
        </w:rPr>
      </w:pPr>
      <w:r>
        <w:rPr>
          <w:rFonts w:hint="eastAsia"/>
          <w:color w:val="auto"/>
          <w:lang w:val="en-US" w:eastAsia="zh-CN"/>
        </w:rPr>
        <w:t xml:space="preserve"> </w:t>
      </w:r>
      <w:r>
        <w:rPr>
          <w:rFonts w:hint="eastAsia"/>
          <w:color w:val="auto"/>
        </w:rPr>
        <w:t>手术分级管理系统</w:t>
      </w:r>
    </w:p>
    <w:p w14:paraId="3B4873FB">
      <w:pPr>
        <w:bidi w:val="0"/>
        <w:rPr>
          <w:color w:val="auto"/>
        </w:rPr>
      </w:pPr>
      <w:r>
        <w:rPr>
          <w:color w:val="auto"/>
        </w:rPr>
        <w:t>基于手术难度和医师资质动态管理权限审批，支持四级手术分类与高风险手术预警，确保手术安全与合规性。</w:t>
      </w:r>
    </w:p>
    <w:p w14:paraId="413BD7BF">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FA08F33">
      <w:pPr>
        <w:ind w:firstLine="480"/>
        <w:rPr>
          <w:color w:val="auto"/>
        </w:rPr>
      </w:pPr>
      <w:r>
        <w:rPr>
          <w:rFonts w:hint="eastAsia"/>
          <w:color w:val="auto"/>
          <w:lang w:val="en-US" w:eastAsia="zh-CN"/>
        </w:rPr>
        <w:t>1.</w:t>
      </w:r>
      <w:r>
        <w:rPr>
          <w:rFonts w:hint="eastAsia"/>
          <w:color w:val="auto"/>
        </w:rPr>
        <w:t>手术及有创操作分级</w:t>
      </w:r>
    </w:p>
    <w:p w14:paraId="3104E477">
      <w:pPr>
        <w:ind w:firstLine="480"/>
        <w:rPr>
          <w:color w:val="auto"/>
        </w:rPr>
      </w:pPr>
      <w:r>
        <w:rPr>
          <w:rFonts w:hint="eastAsia"/>
          <w:color w:val="auto"/>
        </w:rPr>
        <w:t xml:space="preserve">手术及有创操作指各种开放性手术、 腔镜手术及介入治疗 (以下统称手术)。依据其技术难度、复杂性和风险度，将手术 分为四级： </w:t>
      </w:r>
    </w:p>
    <w:p w14:paraId="112A73D2">
      <w:pPr>
        <w:ind w:firstLine="480"/>
        <w:rPr>
          <w:color w:val="auto"/>
        </w:rPr>
      </w:pPr>
      <w:r>
        <w:rPr>
          <w:rFonts w:hint="eastAsia"/>
          <w:color w:val="auto"/>
        </w:rPr>
        <w:t xml:space="preserve">(1)一级手术：技术难度较低、手术过程简单、风险度较 小的各种手术。 指普通常见的2人可完成的小手术，小面积清创缝合、如：单纯性修补术、体表良性肿瘤切除术、人流术、刮宫术、阑尾摘除术等。许多一类手术可在门诊手术室完成。 </w:t>
      </w:r>
    </w:p>
    <w:p w14:paraId="24EC3B10">
      <w:pPr>
        <w:ind w:firstLine="480"/>
        <w:rPr>
          <w:color w:val="auto"/>
        </w:rPr>
      </w:pPr>
      <w:r>
        <w:rPr>
          <w:rFonts w:hint="eastAsia"/>
          <w:color w:val="auto"/>
        </w:rPr>
        <w:t>(2)二级手术：技术难度一般、手术过程不复杂、风险度中等的各种手术。指需 3—4 人共同完成的中等手术，如：胃大部分切除术、胆囊切除术、肺叶切除术、前列腺切除术、剖宫产术、子宫切1除术等。二类手术应在住院部手术室完成。是住院治疗较多的一种类型。</w:t>
      </w:r>
    </w:p>
    <w:p w14:paraId="564199BE">
      <w:pPr>
        <w:ind w:firstLine="480"/>
        <w:rPr>
          <w:color w:val="auto"/>
        </w:rPr>
      </w:pPr>
      <w:r>
        <w:rPr>
          <w:rFonts w:hint="eastAsia"/>
          <w:color w:val="auto"/>
        </w:rPr>
        <w:t xml:space="preserve">(3)三级手术：技术难度较大、手术过程较复杂、风险度较大的各种手术。 指疑难、重症手术和需 6—7 人以上人员共同完成的大手术。各种门脉高压症的分流术、肝叶切除术、恶性肿瘤根治术、各种颅类肿瘤切除术、巨大肿瘤切除术等属此类。 </w:t>
      </w:r>
    </w:p>
    <w:p w14:paraId="47453B45">
      <w:pPr>
        <w:ind w:firstLine="480"/>
        <w:rPr>
          <w:color w:val="auto"/>
        </w:rPr>
      </w:pPr>
      <w:r>
        <w:rPr>
          <w:rFonts w:hint="eastAsia"/>
          <w:color w:val="auto"/>
        </w:rPr>
        <w:t xml:space="preserve">(4)四级手术：技术难度大、手术过程复杂、风险度大的各种手术。 </w:t>
      </w:r>
    </w:p>
    <w:p w14:paraId="19AA2DEB">
      <w:pPr>
        <w:ind w:firstLine="480"/>
        <w:rPr>
          <w:color w:val="auto"/>
        </w:rPr>
      </w:pPr>
      <w:r>
        <w:rPr>
          <w:rFonts w:hint="eastAsia"/>
          <w:color w:val="auto"/>
        </w:rPr>
        <w:t>2.</w:t>
      </w:r>
      <w:r>
        <w:rPr>
          <w:rFonts w:hint="eastAsia"/>
          <w:color w:val="auto"/>
        </w:rPr>
        <w:tab/>
      </w:r>
      <w:r>
        <w:rPr>
          <w:rFonts w:hint="eastAsia"/>
          <w:color w:val="auto"/>
        </w:rPr>
        <w:t>手术医师分级</w:t>
      </w:r>
    </w:p>
    <w:p w14:paraId="17EDBDDD">
      <w:pPr>
        <w:ind w:firstLine="480"/>
        <w:rPr>
          <w:color w:val="auto"/>
        </w:rPr>
      </w:pPr>
      <w:r>
        <w:rPr>
          <w:rFonts w:hint="eastAsia"/>
          <w:color w:val="auto"/>
        </w:rPr>
        <w:t xml:space="preserve">依据其卫生技术资格、受聘技术职务及从事相应技术岗位工作的年限等，规定手术医师的分级。所有手术医师均应依法取得执业医师资格。 </w:t>
      </w:r>
    </w:p>
    <w:p w14:paraId="6963A964">
      <w:pPr>
        <w:ind w:firstLine="480"/>
        <w:rPr>
          <w:color w:val="auto"/>
        </w:rPr>
      </w:pPr>
      <w:r>
        <w:rPr>
          <w:rFonts w:hint="eastAsia"/>
          <w:color w:val="auto"/>
        </w:rPr>
        <w:t xml:space="preserve">(1)住院医师1、低年资住院医师：从事住院医师岗位工作3年以内， 或获得硕士学位、曾从事住院医师岗位工作2年以内者。2、高年资历住院医师：从事住院医师岗位工作3年以上，或获得硕士学位、取得执业医师资格、并曾从事住院医师岗位 工作2年以上者。 </w:t>
      </w:r>
    </w:p>
    <w:p w14:paraId="0E6908C9">
      <w:pPr>
        <w:ind w:firstLine="480"/>
        <w:rPr>
          <w:color w:val="auto"/>
        </w:rPr>
      </w:pPr>
      <w:r>
        <w:rPr>
          <w:rFonts w:hint="eastAsia"/>
          <w:color w:val="auto"/>
        </w:rPr>
        <w:t xml:space="preserve">(2)主治医师l、低年资主治医师：从事主治医师岗位工作3年以内， 2 或获得临床博士学位、从事主治医师岗位工作2年以内者。2、高年资主治医师：从事主治医师岗位工作3年以上，或获得临床博士学位、从事主治医师岗位工作2年以上者。 </w:t>
      </w:r>
    </w:p>
    <w:p w14:paraId="2770CF08">
      <w:pPr>
        <w:ind w:firstLine="480"/>
        <w:rPr>
          <w:color w:val="auto"/>
        </w:rPr>
      </w:pPr>
      <w:r>
        <w:rPr>
          <w:rFonts w:hint="eastAsia"/>
          <w:color w:val="auto"/>
        </w:rPr>
        <w:t xml:space="preserve">(3)副主任医师：1、低年资副主任医师：从事副主任医师岗位工作3年以内，或有博士后学历、从事副主任医师岗位工作2年以上者。2、高年资副主任医师：从事副主任医师岗位工作 3 年以上者。 </w:t>
      </w:r>
    </w:p>
    <w:p w14:paraId="0AECD7DD">
      <w:pPr>
        <w:ind w:firstLine="480"/>
        <w:rPr>
          <w:color w:val="auto"/>
        </w:rPr>
      </w:pPr>
      <w:r>
        <w:rPr>
          <w:rFonts w:hint="eastAsia"/>
          <w:color w:val="auto"/>
        </w:rPr>
        <w:t xml:space="preserve">(4)主任医师：受聘主任医师岗位工作者。 </w:t>
      </w:r>
    </w:p>
    <w:p w14:paraId="3A7E731B">
      <w:pPr>
        <w:ind w:firstLine="480"/>
        <w:rPr>
          <w:color w:val="auto"/>
        </w:rPr>
      </w:pPr>
      <w:r>
        <w:rPr>
          <w:rFonts w:hint="eastAsia"/>
          <w:color w:val="auto"/>
        </w:rPr>
        <w:t>3.</w:t>
      </w:r>
      <w:r>
        <w:rPr>
          <w:rFonts w:hint="eastAsia"/>
          <w:color w:val="auto"/>
        </w:rPr>
        <w:tab/>
      </w:r>
      <w:r>
        <w:rPr>
          <w:rFonts w:hint="eastAsia"/>
          <w:color w:val="auto"/>
        </w:rPr>
        <w:t xml:space="preserve">各级医师手术权限 </w:t>
      </w:r>
    </w:p>
    <w:p w14:paraId="5171844F">
      <w:pPr>
        <w:ind w:firstLine="480"/>
        <w:rPr>
          <w:color w:val="auto"/>
        </w:rPr>
      </w:pPr>
      <w:r>
        <w:rPr>
          <w:rFonts w:hint="eastAsia"/>
          <w:color w:val="auto"/>
        </w:rPr>
        <w:t>(1)低年资住院医师：在上级医师指导下，可主持一级手术。</w:t>
      </w:r>
    </w:p>
    <w:p w14:paraId="60FE7BA3">
      <w:pPr>
        <w:ind w:firstLine="480"/>
        <w:rPr>
          <w:color w:val="auto"/>
        </w:rPr>
      </w:pPr>
      <w:r>
        <w:rPr>
          <w:rFonts w:hint="eastAsia"/>
          <w:color w:val="auto"/>
        </w:rPr>
        <w:t xml:space="preserve">(2)高年资住院医师：在熟练掌握一级手术的基础上，在上级医师临场指导下可逐步开展二级手术。 </w:t>
      </w:r>
    </w:p>
    <w:p w14:paraId="5759E491">
      <w:pPr>
        <w:ind w:firstLine="480"/>
        <w:rPr>
          <w:color w:val="auto"/>
        </w:rPr>
      </w:pPr>
      <w:r>
        <w:rPr>
          <w:rFonts w:hint="eastAsia"/>
          <w:color w:val="auto"/>
        </w:rPr>
        <w:t xml:space="preserve">(3)低年资主治医师：可主持二级手术，在上级医师临场指导下，逐步开展三级手术。 </w:t>
      </w:r>
    </w:p>
    <w:p w14:paraId="112870B6">
      <w:pPr>
        <w:ind w:firstLine="480"/>
        <w:rPr>
          <w:color w:val="auto"/>
        </w:rPr>
      </w:pPr>
      <w:r>
        <w:rPr>
          <w:rFonts w:hint="eastAsia"/>
          <w:color w:val="auto"/>
        </w:rPr>
        <w:t xml:space="preserve">(4)高年资主治医师：可主持三级手术。 </w:t>
      </w:r>
    </w:p>
    <w:p w14:paraId="3E652F0E">
      <w:pPr>
        <w:ind w:firstLine="480"/>
        <w:rPr>
          <w:color w:val="auto"/>
        </w:rPr>
      </w:pPr>
      <w:r>
        <w:rPr>
          <w:rFonts w:hint="eastAsia"/>
          <w:color w:val="auto"/>
        </w:rPr>
        <w:t xml:space="preserve">(5)低年资副主任医师：可主持三级手术，在上级医师临场指导下，逐步开展四级手术。 </w:t>
      </w:r>
    </w:p>
    <w:p w14:paraId="60BF2EDF">
      <w:pPr>
        <w:ind w:firstLine="480"/>
        <w:rPr>
          <w:color w:val="auto"/>
        </w:rPr>
      </w:pPr>
      <w:r>
        <w:rPr>
          <w:rFonts w:hint="eastAsia"/>
          <w:color w:val="auto"/>
        </w:rPr>
        <w:t xml:space="preserve">(6)高年资副主任医师：可根据实际情况（当地患者对医疗技术需求、术者对手术熟练程度及卫生部门的审批资格）主持四级手术，根据实际情况可主持新技术、新项目手术及科研项目手术。 </w:t>
      </w:r>
    </w:p>
    <w:p w14:paraId="610E96E4">
      <w:pPr>
        <w:ind w:firstLine="480"/>
        <w:rPr>
          <w:color w:val="auto"/>
        </w:rPr>
      </w:pPr>
      <w:r>
        <w:rPr>
          <w:rFonts w:hint="eastAsia"/>
          <w:color w:val="auto"/>
        </w:rPr>
        <w:t>(7)主任医师：主持四级手术，主要开展新技术、新项目手术或经主管部门批准的高风险科研项目手术。</w:t>
      </w:r>
    </w:p>
    <w:p w14:paraId="6BFA084C">
      <w:pPr>
        <w:ind w:firstLine="480"/>
        <w:rPr>
          <w:color w:val="auto"/>
        </w:rPr>
      </w:pPr>
      <w:r>
        <w:rPr>
          <w:rFonts w:hint="eastAsia"/>
          <w:color w:val="auto"/>
        </w:rPr>
        <w:t>4.</w:t>
      </w:r>
      <w:r>
        <w:rPr>
          <w:rFonts w:hint="eastAsia"/>
          <w:color w:val="auto"/>
        </w:rPr>
        <w:tab/>
      </w:r>
      <w:r>
        <w:rPr>
          <w:rFonts w:hint="eastAsia"/>
          <w:color w:val="auto"/>
        </w:rPr>
        <w:t>手术审批权限（支持手术目录分级导入、管理，与医生的手术权限的动态管理）</w:t>
      </w:r>
    </w:p>
    <w:p w14:paraId="5E6BE302">
      <w:pPr>
        <w:ind w:firstLine="480"/>
        <w:rPr>
          <w:color w:val="auto"/>
        </w:rPr>
      </w:pPr>
      <w:r>
        <w:rPr>
          <w:rFonts w:hint="eastAsia"/>
          <w:color w:val="auto"/>
        </w:rPr>
        <w:t xml:space="preserve"> 手术审批权限是指对拟施行的不同级别手术以及不同情况、不同类别手术的审批权限。</w:t>
      </w:r>
    </w:p>
    <w:p w14:paraId="6A5F8046">
      <w:pPr>
        <w:ind w:firstLine="480"/>
        <w:rPr>
          <w:color w:val="auto"/>
        </w:rPr>
      </w:pPr>
      <w:r>
        <w:rPr>
          <w:rFonts w:hint="eastAsia"/>
          <w:color w:val="auto"/>
        </w:rPr>
        <w:t xml:space="preserve">(1) 常规手术 </w:t>
      </w:r>
    </w:p>
    <w:p w14:paraId="073D6B7E">
      <w:pPr>
        <w:ind w:firstLine="480"/>
        <w:rPr>
          <w:color w:val="auto"/>
        </w:rPr>
      </w:pPr>
      <w:r>
        <w:rPr>
          <w:rFonts w:hint="eastAsia"/>
          <w:color w:val="auto"/>
        </w:rPr>
        <w:t xml:space="preserve">①一级手术： 主治医师以上医师及由科主任或科主任授权的科副主任审批，手术通知单报科主任签字。 </w:t>
      </w:r>
    </w:p>
    <w:p w14:paraId="581490BC">
      <w:pPr>
        <w:ind w:firstLine="480"/>
        <w:rPr>
          <w:color w:val="auto"/>
        </w:rPr>
      </w:pPr>
      <w:r>
        <w:rPr>
          <w:rFonts w:hint="eastAsia"/>
          <w:color w:val="auto"/>
        </w:rPr>
        <w:t xml:space="preserve">②二类手术：科主任审批，急诊二级手术的审批由二线医师负审批时，主治医师、二线班医师应认真检查病人，审核诊断是否明确，术前相关准备是否完成，并对手术方式、麻醉方式、参术人员及分工安排作出决定。凡进入手术室的择期手术及正常上班期问的急诊手术需由科主任在手术通知单上签字， 以便统一安排，非正常上班期间急诊手术由有权限的二线医师 负责安排，特殊情况应向科主任报告。 </w:t>
      </w:r>
    </w:p>
    <w:p w14:paraId="3BB20E79">
      <w:pPr>
        <w:ind w:firstLine="480"/>
        <w:rPr>
          <w:color w:val="auto"/>
        </w:rPr>
      </w:pPr>
      <w:r>
        <w:rPr>
          <w:rFonts w:hint="eastAsia"/>
          <w:color w:val="auto"/>
        </w:rPr>
        <w:t>③三类手术由科主任审批，科主任应会同主任医师(副主 任医师)或主治医师对病情进行核查，组织术前讨论，决定手术方案等项，必要时报院长或业务副院长。</w:t>
      </w:r>
    </w:p>
    <w:p w14:paraId="4823DB10">
      <w:pPr>
        <w:ind w:firstLine="480"/>
        <w:rPr>
          <w:color w:val="auto"/>
        </w:rPr>
      </w:pPr>
      <w:r>
        <w:rPr>
          <w:rFonts w:hint="eastAsia"/>
          <w:color w:val="auto"/>
        </w:rPr>
        <w:t xml:space="preserve">④四类手术、危险性大手术、诊断未确定且病情危重又必 须行探查手术时，科主任应报告医务科，由业务院长批准。医院以前从未开展的手术，要报经卫生行政部门批准，经院办会研究通过后方能进行，术前报医务科备案。 </w:t>
      </w:r>
    </w:p>
    <w:p w14:paraId="5C319C94">
      <w:pPr>
        <w:ind w:firstLine="480"/>
        <w:rPr>
          <w:color w:val="auto"/>
        </w:rPr>
      </w:pPr>
      <w:r>
        <w:rPr>
          <w:rFonts w:hint="eastAsia"/>
          <w:color w:val="auto"/>
        </w:rPr>
        <w:t xml:space="preserve">⑤手术通知单和麻醉科审核： 凡进入手术室的择期手术及正常上班期间的急诊手术需由科主任在手术通知单上签字，以便统一安排，非正常上班期间急诊手术由有权限的二线医师负责安排，特殊情况应向科主任报告。择期手术应在手术前一天 上午12时前科主任开具手术通知单送到麻醉科，麻醉科执行 术前查房并做好病历记录。 </w:t>
      </w:r>
    </w:p>
    <w:p w14:paraId="543917A7">
      <w:pPr>
        <w:ind w:firstLine="480"/>
        <w:rPr>
          <w:color w:val="auto"/>
        </w:rPr>
      </w:pPr>
      <w:r>
        <w:rPr>
          <w:rFonts w:hint="eastAsia"/>
          <w:color w:val="auto"/>
        </w:rPr>
        <w:t xml:space="preserve">⑥手术室应对手术决定者权限及参术人员资格进行审核，不符合规定者有权不安排手术，并向医务科报告。对麻醉方式经检查病人后如有不同意见，应与手术医师协商讨论或提出暂缓手术意见，以确保手术质量与安全。 </w:t>
      </w:r>
    </w:p>
    <w:p w14:paraId="49CA2D73">
      <w:pPr>
        <w:ind w:firstLine="480"/>
        <w:rPr>
          <w:color w:val="auto"/>
        </w:rPr>
      </w:pPr>
      <w:r>
        <w:rPr>
          <w:rFonts w:hint="eastAsia"/>
          <w:color w:val="auto"/>
        </w:rPr>
        <w:t xml:space="preserve">(2)高度风险手术 高度风险手术是指手术科室质控小组科主任认定的存在高度风险的任何级别的手术。须经科内讨论，科主任签字同意后 报医务科， 由医务科科长决定自行审批或提交业务副院长或必 要时报院长审批，获准后，手术科室科主任负责签发手术通知 单。 </w:t>
      </w:r>
    </w:p>
    <w:p w14:paraId="27A84F2A">
      <w:pPr>
        <w:ind w:firstLine="480"/>
        <w:rPr>
          <w:color w:val="auto"/>
        </w:rPr>
      </w:pPr>
      <w:r>
        <w:rPr>
          <w:rFonts w:hint="eastAsia"/>
          <w:color w:val="auto"/>
        </w:rPr>
        <w:t xml:space="preserve">(3)急诊手术预期手术的级别在值班医生手术权限级别内时，可通知并 施行手术。若属高风险手术或预期手术超出自己手术权限级别时，应紧急报责任规定的上级医师审批，需要时再逐级上报。原则上应由具备实施手术的相应级别的医师主持手术。但在需紧急抢救生命的情况下，在上级医生暂时不能到场主持手术期 间，任何级别的值班医生在不违背上级医生口头指示的前提下，有权、也必须按具体情况主持其认为合理的抢救手术，不得延误抢救时机。急诊手术中如发现需施行的手术超出自己的手术权限时，应立即口头上报请示。 </w:t>
      </w:r>
    </w:p>
    <w:p w14:paraId="2EAB0796">
      <w:pPr>
        <w:ind w:firstLine="480"/>
        <w:rPr>
          <w:color w:val="auto"/>
        </w:rPr>
      </w:pPr>
      <w:r>
        <w:rPr>
          <w:rFonts w:hint="eastAsia"/>
          <w:color w:val="auto"/>
        </w:rPr>
        <w:t xml:space="preserve">(4)新技术、新项目、科研手术 </w:t>
      </w:r>
    </w:p>
    <w:p w14:paraId="24C4D0E9">
      <w:pPr>
        <w:ind w:firstLine="480"/>
        <w:rPr>
          <w:color w:val="auto"/>
        </w:rPr>
      </w:pPr>
      <w:r>
        <w:rPr>
          <w:rFonts w:hint="eastAsia"/>
          <w:color w:val="auto"/>
        </w:rPr>
        <w:t>1、一般新技术、新项目手术及重大手术、致残手术须经科内讨论，在科主任填写《手术审批单》 ，签署同意意见后报 医务科，由医务科备案并提交业务副院长或院长审批。</w:t>
      </w:r>
    </w:p>
    <w:p w14:paraId="510E08D1">
      <w:pPr>
        <w:ind w:firstLine="480"/>
        <w:rPr>
          <w:color w:val="auto"/>
        </w:rPr>
      </w:pPr>
      <w:r>
        <w:rPr>
          <w:rFonts w:hint="eastAsia"/>
          <w:color w:val="auto"/>
        </w:rPr>
        <w:t>2、高风险的新技术、新项目、科研手术应提交院技术委 员会审议通过后实施。对重大的涉及生命安全和社会环境的手术项目还需按规定上报卫生行政主管部门。</w:t>
      </w:r>
    </w:p>
    <w:p w14:paraId="1A6F098C">
      <w:pPr>
        <w:ind w:firstLine="480"/>
        <w:rPr>
          <w:color w:val="auto"/>
        </w:rPr>
      </w:pPr>
      <w:r>
        <w:rPr>
          <w:rFonts w:hint="eastAsia"/>
          <w:color w:val="auto"/>
        </w:rPr>
        <w:t xml:space="preserve">(5)邀请外院专家会诊手术，或本院医师应邀到外院会诊手术根据卫生部《医师外出会诊暂行规定》执行。 </w:t>
      </w:r>
    </w:p>
    <w:p w14:paraId="68DEE81A">
      <w:pPr>
        <w:ind w:firstLine="480"/>
        <w:rPr>
          <w:color w:val="auto"/>
        </w:rPr>
      </w:pPr>
      <w:r>
        <w:rPr>
          <w:rFonts w:hint="eastAsia"/>
          <w:color w:val="auto"/>
        </w:rPr>
        <w:t>(</w:t>
      </w:r>
      <w:r>
        <w:rPr>
          <w:color w:val="auto"/>
        </w:rPr>
        <w:t>6</w:t>
      </w:r>
      <w:r>
        <w:rPr>
          <w:rFonts w:hint="eastAsia"/>
          <w:color w:val="auto"/>
        </w:rPr>
        <w:t>)医务科负责监督检查，发现违反以上规定者，有权停止手术并按有关规定处理。</w:t>
      </w:r>
    </w:p>
    <w:p w14:paraId="20E373CA">
      <w:pPr>
        <w:pStyle w:val="14"/>
        <w:bidi w:val="0"/>
        <w:rPr>
          <w:color w:val="auto"/>
        </w:rPr>
      </w:pPr>
      <w:r>
        <w:rPr>
          <w:rFonts w:hint="eastAsia"/>
          <w:color w:val="auto"/>
        </w:rPr>
        <w:tab/>
      </w:r>
      <w:r>
        <w:rPr>
          <w:rFonts w:hint="eastAsia"/>
          <w:color w:val="auto"/>
        </w:rPr>
        <w:t>危急值管理系统</w:t>
      </w:r>
    </w:p>
    <w:p w14:paraId="4CA7341E">
      <w:pPr>
        <w:bidi w:val="0"/>
        <w:rPr>
          <w:color w:val="auto"/>
        </w:rPr>
      </w:pPr>
      <w:r>
        <w:rPr>
          <w:rFonts w:hint="default"/>
          <w:color w:val="auto"/>
        </w:rPr>
        <w:t>自定义检验危急值规则并实现分级推送，支持闭环跟踪与统计分析，保障临床及时干预高风险结果。</w:t>
      </w:r>
    </w:p>
    <w:p w14:paraId="5844795C">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E2D1D4C">
      <w:pPr>
        <w:pStyle w:val="94"/>
        <w:numPr>
          <w:ilvl w:val="0"/>
          <w:numId w:val="178"/>
        </w:numPr>
        <w:ind w:left="0" w:firstLine="480"/>
        <w:rPr>
          <w:color w:val="auto"/>
          <w:sz w:val="24"/>
        </w:rPr>
      </w:pPr>
      <w:r>
        <w:rPr>
          <w:rFonts w:hint="eastAsia"/>
          <w:color w:val="auto"/>
          <w:sz w:val="24"/>
        </w:rPr>
        <w:t>支持对检验项目的危急值判定规则进行设置。</w:t>
      </w:r>
    </w:p>
    <w:p w14:paraId="56225C44">
      <w:pPr>
        <w:pStyle w:val="94"/>
        <w:numPr>
          <w:ilvl w:val="0"/>
          <w:numId w:val="178"/>
        </w:numPr>
        <w:ind w:left="0" w:firstLine="480"/>
        <w:rPr>
          <w:color w:val="auto"/>
          <w:sz w:val="24"/>
        </w:rPr>
      </w:pPr>
      <w:r>
        <w:rPr>
          <w:rFonts w:hint="eastAsia"/>
          <w:color w:val="auto"/>
          <w:sz w:val="24"/>
        </w:rPr>
        <w:t>支持对检查项目中的危急值结果进行标记。</w:t>
      </w:r>
    </w:p>
    <w:p w14:paraId="1D76A368">
      <w:pPr>
        <w:pStyle w:val="94"/>
        <w:numPr>
          <w:ilvl w:val="0"/>
          <w:numId w:val="178"/>
        </w:numPr>
        <w:ind w:left="0" w:firstLine="480"/>
        <w:rPr>
          <w:color w:val="auto"/>
          <w:sz w:val="24"/>
        </w:rPr>
      </w:pPr>
      <w:r>
        <w:rPr>
          <w:rFonts w:hint="eastAsia"/>
          <w:color w:val="auto"/>
          <w:sz w:val="24"/>
        </w:rPr>
        <w:t>支持危急值结果进行醒目显示设置。</w:t>
      </w:r>
    </w:p>
    <w:p w14:paraId="5794D058">
      <w:pPr>
        <w:pStyle w:val="94"/>
        <w:numPr>
          <w:ilvl w:val="0"/>
          <w:numId w:val="178"/>
        </w:numPr>
        <w:ind w:left="0" w:firstLine="480"/>
        <w:rPr>
          <w:color w:val="auto"/>
          <w:sz w:val="24"/>
        </w:rPr>
      </w:pPr>
      <w:r>
        <w:rPr>
          <w:rFonts w:hint="eastAsia"/>
          <w:color w:val="auto"/>
          <w:sz w:val="24"/>
        </w:rPr>
        <w:t>支持危急值结果自动推送和提醒到临床。</w:t>
      </w:r>
    </w:p>
    <w:p w14:paraId="28C6A7DC">
      <w:pPr>
        <w:pStyle w:val="94"/>
        <w:numPr>
          <w:ilvl w:val="0"/>
          <w:numId w:val="178"/>
        </w:numPr>
        <w:ind w:left="0" w:firstLine="480"/>
        <w:rPr>
          <w:color w:val="auto"/>
          <w:sz w:val="24"/>
        </w:rPr>
      </w:pPr>
      <w:r>
        <w:rPr>
          <w:rFonts w:hint="eastAsia"/>
          <w:color w:val="auto"/>
          <w:sz w:val="24"/>
        </w:rPr>
        <w:t>支持与医院短信平台对接，危急值信息直接通知到相关人员。</w:t>
      </w:r>
    </w:p>
    <w:p w14:paraId="112838E4">
      <w:pPr>
        <w:pStyle w:val="94"/>
        <w:numPr>
          <w:ilvl w:val="0"/>
          <w:numId w:val="178"/>
        </w:numPr>
        <w:ind w:left="0" w:firstLine="480"/>
        <w:rPr>
          <w:color w:val="auto"/>
          <w:sz w:val="24"/>
        </w:rPr>
      </w:pPr>
      <w:r>
        <w:rPr>
          <w:rFonts w:hint="eastAsia"/>
          <w:color w:val="auto"/>
          <w:sz w:val="24"/>
        </w:rPr>
        <w:t>支持危急值结果分级处理，未在要求时间内处理的信息将直接向上一级人员继续推送。</w:t>
      </w:r>
    </w:p>
    <w:p w14:paraId="56D7BB16">
      <w:pPr>
        <w:pStyle w:val="94"/>
        <w:numPr>
          <w:ilvl w:val="0"/>
          <w:numId w:val="178"/>
        </w:numPr>
        <w:ind w:left="0" w:firstLine="480"/>
        <w:rPr>
          <w:color w:val="auto"/>
          <w:sz w:val="24"/>
        </w:rPr>
      </w:pPr>
      <w:r>
        <w:rPr>
          <w:rFonts w:hint="eastAsia"/>
          <w:color w:val="auto"/>
          <w:sz w:val="24"/>
        </w:rPr>
        <w:t>支持危急值闭环管理流程自定义。</w:t>
      </w:r>
    </w:p>
    <w:p w14:paraId="011EC7E0">
      <w:pPr>
        <w:pStyle w:val="94"/>
        <w:numPr>
          <w:ilvl w:val="0"/>
          <w:numId w:val="178"/>
        </w:numPr>
        <w:ind w:left="0" w:firstLine="480"/>
        <w:rPr>
          <w:color w:val="auto"/>
          <w:sz w:val="24"/>
        </w:rPr>
      </w:pPr>
      <w:r>
        <w:rPr>
          <w:rFonts w:hint="eastAsia"/>
          <w:color w:val="auto"/>
          <w:sz w:val="24"/>
        </w:rPr>
        <w:t>支持危急值的数据统计分析与查询。</w:t>
      </w:r>
    </w:p>
    <w:p w14:paraId="1424D94E">
      <w:pPr>
        <w:pStyle w:val="14"/>
        <w:bidi w:val="0"/>
        <w:rPr>
          <w:color w:val="auto"/>
        </w:rPr>
      </w:pPr>
      <w:r>
        <w:rPr>
          <w:rFonts w:hint="eastAsia"/>
          <w:color w:val="auto"/>
        </w:rPr>
        <w:tab/>
      </w:r>
      <w:r>
        <w:rPr>
          <w:rFonts w:hint="eastAsia"/>
          <w:color w:val="auto"/>
        </w:rPr>
        <w:t>病历首页质控</w:t>
      </w:r>
    </w:p>
    <w:p w14:paraId="2151B73E">
      <w:pPr>
        <w:bidi w:val="0"/>
        <w:rPr>
          <w:rFonts w:hint="eastAsia" w:eastAsia="宋体"/>
          <w:color w:val="auto"/>
          <w:lang w:val="en-US" w:eastAsia="zh-CN"/>
        </w:rPr>
      </w:pPr>
      <w:r>
        <w:rPr>
          <w:color w:val="auto"/>
        </w:rPr>
        <w:t>内置ICD编码与质控逻辑规则，支持必填项校验、费用修正及异常修改，确保病案数据完整性与上报合规性</w:t>
      </w:r>
      <w:r>
        <w:rPr>
          <w:rFonts w:hint="eastAsia"/>
          <w:color w:val="auto"/>
          <w:lang w:eastAsia="zh-CN"/>
        </w:rPr>
        <w:t>。</w:t>
      </w:r>
    </w:p>
    <w:p w14:paraId="7F9986EE">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4FE93511">
      <w:pPr>
        <w:pStyle w:val="94"/>
        <w:numPr>
          <w:ilvl w:val="0"/>
          <w:numId w:val="179"/>
        </w:numPr>
        <w:ind w:left="0" w:firstLine="480"/>
        <w:rPr>
          <w:color w:val="auto"/>
          <w:sz w:val="24"/>
        </w:rPr>
      </w:pPr>
      <w:r>
        <w:rPr>
          <w:rFonts w:hint="eastAsia"/>
          <w:color w:val="auto"/>
          <w:sz w:val="24"/>
        </w:rPr>
        <w:t>基本内容：病人基本信息、住院信息、诊断信息、手术信息、过敏信息、患者费用、治疗结果、院内感染和病案质量等。</w:t>
      </w:r>
    </w:p>
    <w:p w14:paraId="3959D866">
      <w:pPr>
        <w:pStyle w:val="94"/>
        <w:numPr>
          <w:ilvl w:val="0"/>
          <w:numId w:val="179"/>
        </w:numPr>
        <w:ind w:left="0" w:firstLine="480"/>
        <w:rPr>
          <w:color w:val="auto"/>
          <w:sz w:val="24"/>
        </w:rPr>
      </w:pPr>
      <w:r>
        <w:rPr>
          <w:rFonts w:hint="eastAsia"/>
          <w:color w:val="auto"/>
          <w:sz w:val="24"/>
        </w:rPr>
        <w:t>提供灵活多样的检索方式，包括首页内容的查询、病案号查询、未归档病案的查询。对病案号查询要支持病人姓名的模糊查询。</w:t>
      </w:r>
    </w:p>
    <w:p w14:paraId="72987AE4">
      <w:pPr>
        <w:pStyle w:val="94"/>
        <w:numPr>
          <w:ilvl w:val="0"/>
          <w:numId w:val="179"/>
        </w:numPr>
        <w:ind w:left="0" w:firstLine="480"/>
        <w:rPr>
          <w:color w:val="auto"/>
          <w:sz w:val="24"/>
        </w:rPr>
      </w:pPr>
      <w:r>
        <w:rPr>
          <w:rFonts w:hint="eastAsia"/>
          <w:color w:val="auto"/>
          <w:sz w:val="24"/>
        </w:rPr>
        <w:t>对检索结果要有多种形式的显示或输出形式，包括病案首页、病人姓名索引卡片、疾病索引卡片、手术索引卡片、入院病人登记簿、出院病人登记簿、死亡病人登记簿、传染病登记簿和肿瘤登记簿；</w:t>
      </w:r>
    </w:p>
    <w:p w14:paraId="4385FDEF">
      <w:pPr>
        <w:pStyle w:val="94"/>
        <w:numPr>
          <w:ilvl w:val="0"/>
          <w:numId w:val="179"/>
        </w:numPr>
        <w:ind w:left="0" w:firstLine="480"/>
        <w:rPr>
          <w:color w:val="auto"/>
          <w:sz w:val="24"/>
        </w:rPr>
      </w:pPr>
      <w:r>
        <w:rPr>
          <w:rFonts w:hint="eastAsia"/>
          <w:color w:val="auto"/>
          <w:sz w:val="24"/>
        </w:rPr>
        <w:t>依据标准的疾病分类、手术分类代码处理一病多名问题。</w:t>
      </w:r>
    </w:p>
    <w:p w14:paraId="4340C556">
      <w:pPr>
        <w:pStyle w:val="94"/>
        <w:numPr>
          <w:ilvl w:val="0"/>
          <w:numId w:val="179"/>
        </w:numPr>
        <w:ind w:left="0" w:firstLine="480"/>
        <w:rPr>
          <w:color w:val="auto"/>
          <w:sz w:val="24"/>
        </w:rPr>
      </w:pPr>
      <w:r>
        <w:rPr>
          <w:rFonts w:hint="eastAsia"/>
          <w:color w:val="auto"/>
          <w:sz w:val="24"/>
        </w:rPr>
        <w:t>具有基本的统计功能，包括疾病的统计分析、科室统计、医生统计、单病种分析等。</w:t>
      </w:r>
    </w:p>
    <w:p w14:paraId="1218C899">
      <w:pPr>
        <w:pStyle w:val="94"/>
        <w:numPr>
          <w:ilvl w:val="0"/>
          <w:numId w:val="179"/>
        </w:numPr>
        <w:ind w:left="0" w:firstLine="480"/>
        <w:rPr>
          <w:color w:val="auto"/>
          <w:sz w:val="24"/>
        </w:rPr>
      </w:pPr>
      <w:r>
        <w:rPr>
          <w:rFonts w:hint="eastAsia"/>
          <w:color w:val="auto"/>
          <w:sz w:val="24"/>
        </w:rPr>
        <w:t>提供标准的</w:t>
      </w:r>
      <w:r>
        <w:rPr>
          <w:color w:val="auto"/>
          <w:sz w:val="24"/>
        </w:rPr>
        <w:t>ICD-10</w:t>
      </w:r>
      <w:r>
        <w:rPr>
          <w:rFonts w:hint="eastAsia"/>
          <w:color w:val="auto"/>
          <w:sz w:val="24"/>
        </w:rPr>
        <w:t>、I</w:t>
      </w:r>
      <w:r>
        <w:rPr>
          <w:color w:val="auto"/>
          <w:sz w:val="24"/>
        </w:rPr>
        <w:t>CD-9</w:t>
      </w:r>
      <w:r>
        <w:rPr>
          <w:rFonts w:hint="eastAsia"/>
          <w:color w:val="auto"/>
          <w:sz w:val="24"/>
        </w:rPr>
        <w:t>编目。</w:t>
      </w:r>
    </w:p>
    <w:p w14:paraId="0E34CF73">
      <w:pPr>
        <w:pStyle w:val="94"/>
        <w:numPr>
          <w:ilvl w:val="0"/>
          <w:numId w:val="179"/>
        </w:numPr>
        <w:ind w:left="0" w:firstLine="480"/>
        <w:rPr>
          <w:color w:val="auto"/>
          <w:sz w:val="24"/>
        </w:rPr>
      </w:pPr>
      <w:r>
        <w:rPr>
          <w:rFonts w:hint="eastAsia"/>
          <w:color w:val="auto"/>
          <w:sz w:val="24"/>
        </w:rPr>
        <w:t>支持病案管理人员对已提交的病案进行编目归档。</w:t>
      </w:r>
    </w:p>
    <w:p w14:paraId="5ACE2114">
      <w:pPr>
        <w:pStyle w:val="94"/>
        <w:numPr>
          <w:ilvl w:val="0"/>
          <w:numId w:val="179"/>
        </w:numPr>
        <w:ind w:left="0" w:firstLine="480"/>
        <w:rPr>
          <w:color w:val="auto"/>
          <w:sz w:val="24"/>
        </w:rPr>
      </w:pPr>
      <w:r>
        <w:rPr>
          <w:rFonts w:hint="eastAsia"/>
          <w:color w:val="auto"/>
          <w:sz w:val="24"/>
        </w:rPr>
        <w:t>支持对已提交的病案首页进行修改。</w:t>
      </w:r>
    </w:p>
    <w:p w14:paraId="5D56D3FA">
      <w:pPr>
        <w:pStyle w:val="94"/>
        <w:numPr>
          <w:ilvl w:val="0"/>
          <w:numId w:val="179"/>
        </w:numPr>
        <w:ind w:left="0" w:firstLine="480"/>
        <w:rPr>
          <w:color w:val="auto"/>
          <w:sz w:val="24"/>
        </w:rPr>
      </w:pPr>
      <w:r>
        <w:rPr>
          <w:rFonts w:hint="eastAsia"/>
          <w:color w:val="auto"/>
          <w:sz w:val="24"/>
        </w:rPr>
        <w:t>支持对病案首页进行二次校验。</w:t>
      </w:r>
    </w:p>
    <w:p w14:paraId="204D6E38">
      <w:pPr>
        <w:pStyle w:val="94"/>
        <w:numPr>
          <w:ilvl w:val="0"/>
          <w:numId w:val="179"/>
        </w:numPr>
        <w:ind w:left="0" w:firstLine="480"/>
        <w:rPr>
          <w:color w:val="auto"/>
          <w:sz w:val="24"/>
        </w:rPr>
      </w:pPr>
      <w:r>
        <w:rPr>
          <w:rFonts w:hint="eastAsia"/>
          <w:color w:val="auto"/>
          <w:sz w:val="24"/>
        </w:rPr>
        <w:t>支持对病案档案号进行管理，对漏用的档案号进行再利用，重复的档案号进行重新分配。</w:t>
      </w:r>
    </w:p>
    <w:p w14:paraId="6256EA04">
      <w:pPr>
        <w:pStyle w:val="94"/>
        <w:numPr>
          <w:ilvl w:val="0"/>
          <w:numId w:val="179"/>
        </w:numPr>
        <w:ind w:left="0" w:firstLine="480"/>
        <w:rPr>
          <w:color w:val="auto"/>
          <w:sz w:val="24"/>
        </w:rPr>
      </w:pPr>
      <w:r>
        <w:rPr>
          <w:rFonts w:hint="eastAsia"/>
          <w:color w:val="auto"/>
          <w:sz w:val="24"/>
        </w:rPr>
        <w:t>支持对首页内容异常情况进行修改，例如出院时间、医生误操作记录等。</w:t>
      </w:r>
    </w:p>
    <w:p w14:paraId="564027C8">
      <w:pPr>
        <w:pStyle w:val="94"/>
        <w:numPr>
          <w:ilvl w:val="0"/>
          <w:numId w:val="179"/>
        </w:numPr>
        <w:ind w:left="0" w:firstLine="480"/>
        <w:rPr>
          <w:color w:val="auto"/>
          <w:sz w:val="24"/>
        </w:rPr>
      </w:pPr>
      <w:r>
        <w:rPr>
          <w:rFonts w:hint="eastAsia"/>
          <w:color w:val="auto"/>
          <w:sz w:val="24"/>
        </w:rPr>
        <w:t>支持病人费用发生变化后对已产生的费用进行校验修正，支持单个校验和批量校验。</w:t>
      </w:r>
    </w:p>
    <w:p w14:paraId="158E8DD7">
      <w:pPr>
        <w:pStyle w:val="94"/>
        <w:numPr>
          <w:ilvl w:val="0"/>
          <w:numId w:val="179"/>
        </w:numPr>
        <w:ind w:left="0" w:firstLine="480"/>
        <w:rPr>
          <w:color w:val="auto"/>
          <w:sz w:val="24"/>
        </w:rPr>
      </w:pPr>
      <w:r>
        <w:rPr>
          <w:rFonts w:hint="eastAsia"/>
          <w:color w:val="auto"/>
          <w:sz w:val="24"/>
        </w:rPr>
        <w:t>支持对病案首页质控必填项、默认值、选填、只读四类规则设置；</w:t>
      </w:r>
    </w:p>
    <w:p w14:paraId="3B745F2E">
      <w:pPr>
        <w:pStyle w:val="94"/>
        <w:numPr>
          <w:ilvl w:val="0"/>
          <w:numId w:val="179"/>
        </w:numPr>
        <w:ind w:left="0" w:firstLine="480"/>
        <w:rPr>
          <w:color w:val="auto"/>
          <w:sz w:val="24"/>
        </w:rPr>
      </w:pPr>
      <w:r>
        <w:rPr>
          <w:rFonts w:hint="eastAsia"/>
          <w:color w:val="auto"/>
          <w:sz w:val="24"/>
        </w:rPr>
        <w:t>支持系统内置各类首页质控逻辑规则。</w:t>
      </w:r>
    </w:p>
    <w:p w14:paraId="7FB61C91">
      <w:pPr>
        <w:pStyle w:val="94"/>
        <w:numPr>
          <w:ilvl w:val="0"/>
          <w:numId w:val="179"/>
        </w:numPr>
        <w:ind w:left="0" w:firstLine="480"/>
        <w:rPr>
          <w:color w:val="auto"/>
          <w:sz w:val="24"/>
        </w:rPr>
      </w:pPr>
      <w:r>
        <w:rPr>
          <w:rFonts w:hint="eastAsia"/>
          <w:color w:val="auto"/>
          <w:sz w:val="24"/>
        </w:rPr>
        <w:t>支持在填写过程中进行规则自动校验。</w:t>
      </w:r>
    </w:p>
    <w:p w14:paraId="47B9B40D">
      <w:pPr>
        <w:pStyle w:val="94"/>
        <w:numPr>
          <w:ilvl w:val="0"/>
          <w:numId w:val="179"/>
        </w:numPr>
        <w:ind w:left="0" w:firstLine="480"/>
        <w:rPr>
          <w:color w:val="auto"/>
          <w:sz w:val="24"/>
        </w:rPr>
      </w:pPr>
      <w:r>
        <w:rPr>
          <w:rFonts w:hint="eastAsia"/>
          <w:color w:val="auto"/>
          <w:sz w:val="24"/>
        </w:rPr>
        <w:t>支持医院个性化规则设置。</w:t>
      </w:r>
    </w:p>
    <w:p w14:paraId="418527F7">
      <w:pPr>
        <w:pStyle w:val="94"/>
        <w:numPr>
          <w:ilvl w:val="0"/>
          <w:numId w:val="179"/>
        </w:numPr>
        <w:ind w:left="0" w:firstLine="480"/>
        <w:rPr>
          <w:color w:val="auto"/>
          <w:sz w:val="24"/>
        </w:rPr>
      </w:pPr>
      <w:r>
        <w:rPr>
          <w:rFonts w:hint="eastAsia"/>
          <w:color w:val="auto"/>
          <w:sz w:val="24"/>
        </w:rPr>
        <w:t>支持按照病案费用填写规范对患者产生的费用进行分类规则设置。</w:t>
      </w:r>
    </w:p>
    <w:p w14:paraId="47F267B3">
      <w:pPr>
        <w:ind w:firstLine="480"/>
        <w:rPr>
          <w:color w:val="auto"/>
        </w:rPr>
      </w:pPr>
      <w:r>
        <w:rPr>
          <w:rFonts w:hint="eastAsia"/>
          <w:color w:val="auto"/>
        </w:rPr>
        <w:t>支持对编制床位和实际开放床位进行设置。</w:t>
      </w:r>
    </w:p>
    <w:p w14:paraId="0A984B91">
      <w:pPr>
        <w:pStyle w:val="14"/>
        <w:bidi w:val="0"/>
        <w:rPr>
          <w:color w:val="auto"/>
        </w:rPr>
      </w:pPr>
      <w:r>
        <w:rPr>
          <w:rFonts w:hint="eastAsia"/>
          <w:color w:val="auto"/>
        </w:rPr>
        <w:tab/>
      </w:r>
      <w:r>
        <w:rPr>
          <w:rFonts w:hint="eastAsia"/>
          <w:color w:val="auto"/>
        </w:rPr>
        <w:t>病案管理系统</w:t>
      </w:r>
    </w:p>
    <w:p w14:paraId="2F89F17F">
      <w:pPr>
        <w:bidi w:val="0"/>
        <w:rPr>
          <w:rFonts w:hint="eastAsia"/>
          <w:color w:val="auto"/>
          <w:lang w:val="en-US" w:eastAsia="zh-CN"/>
        </w:rPr>
      </w:pPr>
      <w:r>
        <w:rPr>
          <w:color w:val="auto"/>
        </w:rPr>
        <w:t>实现病历三级移交、借阅追溯及数据自动上报（如DRGs、HQMS），支持档案号管理与节假日排除，优化病案归档流程。</w:t>
      </w:r>
    </w:p>
    <w:p w14:paraId="5B20B095">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98502FA">
      <w:pPr>
        <w:pStyle w:val="341"/>
        <w:spacing w:beforeLines="0"/>
        <w:ind w:firstLine="482"/>
        <w:rPr>
          <w:rFonts w:hint="eastAsia" w:ascii="宋体" w:hAnsi="宋体" w:cs="仿宋"/>
          <w:b/>
          <w:bCs/>
          <w:color w:val="auto"/>
          <w:sz w:val="24"/>
          <w:szCs w:val="24"/>
        </w:rPr>
      </w:pPr>
      <w:bookmarkStart w:id="345" w:name="_Toc106373204"/>
      <w:r>
        <w:rPr>
          <w:rFonts w:hint="eastAsia" w:ascii="宋体" w:hAnsi="宋体" w:cs="仿宋"/>
          <w:b/>
          <w:bCs/>
          <w:color w:val="auto"/>
          <w:sz w:val="24"/>
          <w:szCs w:val="24"/>
        </w:rPr>
        <w:t>基本设置</w:t>
      </w:r>
      <w:bookmarkEnd w:id="345"/>
    </w:p>
    <w:p w14:paraId="7C635A70">
      <w:pPr>
        <w:ind w:firstLine="361" w:firstLineChars="150"/>
        <w:rPr>
          <w:rFonts w:cs="仿宋"/>
          <w:b/>
          <w:color w:val="auto"/>
        </w:rPr>
      </w:pPr>
      <w:r>
        <w:rPr>
          <w:rFonts w:hint="eastAsia" w:cs="仿宋"/>
          <w:b/>
          <w:color w:val="auto"/>
        </w:rPr>
        <w:t>（一）病案首页工作表设置</w:t>
      </w:r>
    </w:p>
    <w:p w14:paraId="7100875D">
      <w:pPr>
        <w:pStyle w:val="94"/>
        <w:numPr>
          <w:ilvl w:val="0"/>
          <w:numId w:val="180"/>
        </w:numPr>
        <w:ind w:left="0" w:firstLine="480"/>
        <w:rPr>
          <w:color w:val="auto"/>
          <w:sz w:val="24"/>
        </w:rPr>
      </w:pPr>
      <w:r>
        <w:rPr>
          <w:color w:val="auto"/>
          <w:sz w:val="24"/>
        </w:rPr>
        <w:t>支持通过病案首页工作表设置定义病案首页必填信息。</w:t>
      </w:r>
    </w:p>
    <w:p w14:paraId="5D5B19EE">
      <w:pPr>
        <w:pStyle w:val="94"/>
        <w:numPr>
          <w:ilvl w:val="0"/>
          <w:numId w:val="180"/>
        </w:numPr>
        <w:ind w:left="0" w:firstLine="480"/>
        <w:rPr>
          <w:color w:val="auto"/>
          <w:sz w:val="24"/>
        </w:rPr>
      </w:pPr>
      <w:r>
        <w:rPr>
          <w:color w:val="auto"/>
          <w:sz w:val="24"/>
        </w:rPr>
        <w:t>支持定义病案首页字段默认值信息。</w:t>
      </w:r>
    </w:p>
    <w:p w14:paraId="3894833A">
      <w:pPr>
        <w:pStyle w:val="94"/>
        <w:numPr>
          <w:ilvl w:val="0"/>
          <w:numId w:val="180"/>
        </w:numPr>
        <w:ind w:left="0" w:firstLine="480"/>
        <w:rPr>
          <w:color w:val="auto"/>
          <w:sz w:val="24"/>
        </w:rPr>
      </w:pPr>
      <w:r>
        <w:rPr>
          <w:color w:val="auto"/>
          <w:sz w:val="24"/>
        </w:rPr>
        <w:t>支持定义各个字段在入院登记处、护士站、医生站、病案室是否必填。</w:t>
      </w:r>
    </w:p>
    <w:p w14:paraId="5A961772">
      <w:pPr>
        <w:ind w:firstLine="361" w:firstLineChars="150"/>
        <w:rPr>
          <w:rFonts w:cs="仿宋"/>
          <w:b/>
          <w:color w:val="auto"/>
        </w:rPr>
      </w:pPr>
      <w:r>
        <w:rPr>
          <w:rFonts w:hint="eastAsia" w:cs="仿宋"/>
          <w:b/>
          <w:color w:val="auto"/>
        </w:rPr>
        <w:t>（二）病案首页效验设置</w:t>
      </w:r>
    </w:p>
    <w:p w14:paraId="621DF7F5">
      <w:pPr>
        <w:ind w:firstLine="480"/>
        <w:rPr>
          <w:rFonts w:cs="仿宋"/>
          <w:color w:val="auto"/>
        </w:rPr>
      </w:pPr>
      <w:r>
        <w:rPr>
          <w:rFonts w:hint="eastAsia" w:cs="仿宋"/>
          <w:color w:val="auto"/>
        </w:rPr>
        <w:t>支持根据脚本配置定义病案首页效验规则。</w:t>
      </w:r>
    </w:p>
    <w:p w14:paraId="400E4508">
      <w:pPr>
        <w:ind w:firstLine="480"/>
        <w:rPr>
          <w:rFonts w:cs="仿宋"/>
          <w:color w:val="auto"/>
        </w:rPr>
      </w:pPr>
      <w:r>
        <w:rPr>
          <w:rFonts w:hint="eastAsia" w:cs="仿宋"/>
          <w:color w:val="auto"/>
        </w:rPr>
        <w:t>支持可视化编码定义。</w:t>
      </w:r>
    </w:p>
    <w:p w14:paraId="7F493D5E">
      <w:pPr>
        <w:ind w:firstLine="361" w:firstLineChars="150"/>
        <w:rPr>
          <w:rFonts w:cs="仿宋"/>
          <w:b/>
          <w:color w:val="auto"/>
        </w:rPr>
      </w:pPr>
      <w:r>
        <w:rPr>
          <w:rFonts w:hint="eastAsia" w:cs="仿宋"/>
          <w:b/>
          <w:color w:val="auto"/>
        </w:rPr>
        <w:t>（三）费用类型设置</w:t>
      </w:r>
    </w:p>
    <w:p w14:paraId="0DFE567D">
      <w:pPr>
        <w:ind w:firstLine="480"/>
        <w:rPr>
          <w:rFonts w:cs="仿宋"/>
          <w:color w:val="auto"/>
        </w:rPr>
      </w:pPr>
      <w:r>
        <w:rPr>
          <w:rFonts w:hint="eastAsia" w:cs="仿宋"/>
          <w:color w:val="auto"/>
        </w:rPr>
        <w:t>支持根据核算分类对照，与病案首页费用类型进行对照。</w:t>
      </w:r>
    </w:p>
    <w:p w14:paraId="0AC700CE">
      <w:pPr>
        <w:ind w:firstLine="480"/>
        <w:rPr>
          <w:rFonts w:cs="仿宋"/>
          <w:color w:val="auto"/>
        </w:rPr>
      </w:pPr>
      <w:r>
        <w:rPr>
          <w:rFonts w:hint="eastAsia" w:cs="仿宋"/>
          <w:color w:val="auto"/>
        </w:rPr>
        <w:t>支持对照后，在病案首页打印时调用。</w:t>
      </w:r>
    </w:p>
    <w:p w14:paraId="6EEDF0C0">
      <w:pPr>
        <w:ind w:firstLine="361" w:firstLineChars="150"/>
        <w:rPr>
          <w:rFonts w:cs="仿宋"/>
          <w:b/>
          <w:color w:val="auto"/>
        </w:rPr>
      </w:pPr>
      <w:r>
        <w:rPr>
          <w:rFonts w:hint="eastAsia" w:cs="仿宋"/>
          <w:b/>
          <w:color w:val="auto"/>
        </w:rPr>
        <w:t>（四）床位设置</w:t>
      </w:r>
    </w:p>
    <w:p w14:paraId="689C037A">
      <w:pPr>
        <w:ind w:firstLine="480"/>
        <w:rPr>
          <w:rFonts w:cs="仿宋"/>
          <w:color w:val="auto"/>
        </w:rPr>
      </w:pPr>
      <w:r>
        <w:rPr>
          <w:rFonts w:hint="eastAsia" w:cs="仿宋"/>
          <w:color w:val="auto"/>
        </w:rPr>
        <w:t>支持定义各科室实际开放床位，根据实际开放床位数，计算占床日等数据。</w:t>
      </w:r>
    </w:p>
    <w:p w14:paraId="6E66B55F">
      <w:pPr>
        <w:ind w:firstLine="361" w:firstLineChars="150"/>
        <w:rPr>
          <w:rFonts w:cs="仿宋"/>
          <w:b/>
          <w:color w:val="auto"/>
        </w:rPr>
      </w:pPr>
      <w:r>
        <w:rPr>
          <w:rFonts w:hint="eastAsia" w:cs="仿宋"/>
          <w:b/>
          <w:color w:val="auto"/>
        </w:rPr>
        <w:t>（五）科室不写病历设置</w:t>
      </w:r>
    </w:p>
    <w:p w14:paraId="35B79E98">
      <w:pPr>
        <w:ind w:firstLine="480"/>
        <w:rPr>
          <w:rFonts w:cs="仿宋"/>
          <w:color w:val="auto"/>
        </w:rPr>
      </w:pPr>
      <w:r>
        <w:rPr>
          <w:rFonts w:hint="eastAsia" w:cs="仿宋"/>
          <w:color w:val="auto"/>
        </w:rPr>
        <w:t>支持区分写病历和不写病历科室名单。</w:t>
      </w:r>
    </w:p>
    <w:p w14:paraId="51908988">
      <w:pPr>
        <w:ind w:firstLine="480"/>
        <w:rPr>
          <w:rFonts w:cs="仿宋"/>
          <w:color w:val="auto"/>
        </w:rPr>
      </w:pPr>
      <w:r>
        <w:rPr>
          <w:rFonts w:hint="eastAsia" w:cs="仿宋"/>
          <w:color w:val="auto"/>
        </w:rPr>
        <w:t>根据名单信息，在病案首页填写时，及出院时进行逻辑控制。</w:t>
      </w:r>
    </w:p>
    <w:p w14:paraId="6E3786EB">
      <w:pPr>
        <w:ind w:firstLine="361" w:firstLineChars="150"/>
        <w:rPr>
          <w:rFonts w:cs="仿宋"/>
          <w:b/>
          <w:color w:val="auto"/>
        </w:rPr>
      </w:pPr>
      <w:r>
        <w:rPr>
          <w:rFonts w:hint="eastAsia" w:cs="仿宋"/>
          <w:b/>
          <w:color w:val="auto"/>
        </w:rPr>
        <w:t>（六）病首辅助功能</w:t>
      </w:r>
    </w:p>
    <w:p w14:paraId="4D3361A7">
      <w:pPr>
        <w:ind w:firstLine="480"/>
        <w:rPr>
          <w:rFonts w:cs="仿宋"/>
          <w:color w:val="auto"/>
        </w:rPr>
      </w:pPr>
      <w:r>
        <w:rPr>
          <w:rFonts w:hint="eastAsia" w:cs="仿宋"/>
          <w:color w:val="auto"/>
        </w:rPr>
        <w:t>支持病案室修改患者出院时间。</w:t>
      </w:r>
    </w:p>
    <w:p w14:paraId="03B0FBDF">
      <w:pPr>
        <w:ind w:firstLine="480"/>
        <w:rPr>
          <w:rFonts w:cs="仿宋"/>
          <w:color w:val="auto"/>
        </w:rPr>
      </w:pPr>
      <w:r>
        <w:rPr>
          <w:rFonts w:hint="eastAsia" w:cs="仿宋"/>
          <w:color w:val="auto"/>
        </w:rPr>
        <w:t>支持病案室根据费用类型效正患者病首费用信息。</w:t>
      </w:r>
    </w:p>
    <w:p w14:paraId="72A1CF74">
      <w:pPr>
        <w:ind w:firstLine="480"/>
        <w:rPr>
          <w:rFonts w:cs="仿宋"/>
          <w:color w:val="auto"/>
        </w:rPr>
      </w:pPr>
      <w:r>
        <w:rPr>
          <w:rFonts w:hint="eastAsia" w:cs="仿宋"/>
          <w:color w:val="auto"/>
        </w:rPr>
        <w:t>支持修改病历标志，填写不写病历或写病历原因。</w:t>
      </w:r>
    </w:p>
    <w:p w14:paraId="284D3701">
      <w:pPr>
        <w:ind w:firstLine="480"/>
        <w:rPr>
          <w:rFonts w:cs="仿宋"/>
          <w:color w:val="auto"/>
        </w:rPr>
      </w:pPr>
      <w:r>
        <w:rPr>
          <w:rFonts w:hint="eastAsia" w:cs="仿宋"/>
          <w:color w:val="auto"/>
        </w:rPr>
        <w:t>支持按科室、按全院设置档案号规则。</w:t>
      </w:r>
    </w:p>
    <w:p w14:paraId="41AA96F5">
      <w:pPr>
        <w:ind w:firstLine="361" w:firstLineChars="150"/>
        <w:rPr>
          <w:rFonts w:cs="仿宋"/>
          <w:b/>
          <w:color w:val="auto"/>
        </w:rPr>
      </w:pPr>
      <w:r>
        <w:rPr>
          <w:rFonts w:hint="eastAsia" w:cs="仿宋"/>
          <w:b/>
          <w:color w:val="auto"/>
        </w:rPr>
        <w:t>（七）节假日设置</w:t>
      </w:r>
    </w:p>
    <w:p w14:paraId="541D82CD">
      <w:pPr>
        <w:ind w:firstLine="480"/>
        <w:rPr>
          <w:rFonts w:cs="仿宋"/>
          <w:color w:val="auto"/>
        </w:rPr>
      </w:pPr>
      <w:r>
        <w:rPr>
          <w:rFonts w:hint="eastAsia" w:cs="仿宋"/>
          <w:color w:val="auto"/>
        </w:rPr>
        <w:t>支持设置节假日信息，并在计算病历移交率时进行判断，排除节假日。</w:t>
      </w:r>
    </w:p>
    <w:p w14:paraId="7BABAB98">
      <w:pPr>
        <w:pStyle w:val="341"/>
        <w:spacing w:beforeLines="0"/>
        <w:ind w:firstLine="482"/>
        <w:rPr>
          <w:rFonts w:hint="eastAsia" w:ascii="宋体" w:hAnsi="宋体" w:cs="仿宋"/>
          <w:b/>
          <w:bCs/>
          <w:color w:val="auto"/>
          <w:sz w:val="24"/>
          <w:szCs w:val="24"/>
        </w:rPr>
      </w:pPr>
      <w:bookmarkStart w:id="346" w:name="_Toc106373205"/>
      <w:r>
        <w:rPr>
          <w:rFonts w:hint="eastAsia" w:ascii="宋体" w:hAnsi="宋体" w:cs="仿宋"/>
          <w:b/>
          <w:bCs/>
          <w:color w:val="auto"/>
          <w:sz w:val="24"/>
          <w:szCs w:val="24"/>
        </w:rPr>
        <w:t>病历归档</w:t>
      </w:r>
      <w:bookmarkEnd w:id="346"/>
    </w:p>
    <w:p w14:paraId="561CB715">
      <w:pPr>
        <w:ind w:firstLine="480"/>
        <w:rPr>
          <w:rFonts w:cs="仿宋"/>
          <w:color w:val="auto"/>
        </w:rPr>
      </w:pPr>
      <w:r>
        <w:rPr>
          <w:rFonts w:hint="eastAsia" w:cs="仿宋"/>
          <w:color w:val="auto"/>
        </w:rPr>
        <w:t>支持病历三级移交管理规范。</w:t>
      </w:r>
    </w:p>
    <w:p w14:paraId="6E91D0E2">
      <w:pPr>
        <w:ind w:firstLine="480"/>
        <w:rPr>
          <w:rFonts w:cs="仿宋"/>
          <w:color w:val="auto"/>
        </w:rPr>
      </w:pPr>
      <w:r>
        <w:rPr>
          <w:rFonts w:hint="eastAsia" w:cs="仿宋"/>
          <w:color w:val="auto"/>
        </w:rPr>
        <w:t>支持逐级倒退，撤销移交信息。</w:t>
      </w:r>
    </w:p>
    <w:p w14:paraId="7FD07A28">
      <w:pPr>
        <w:ind w:firstLine="480"/>
        <w:rPr>
          <w:rFonts w:cs="仿宋"/>
          <w:color w:val="auto"/>
        </w:rPr>
      </w:pPr>
      <w:r>
        <w:rPr>
          <w:rFonts w:hint="eastAsia" w:cs="仿宋"/>
          <w:color w:val="auto"/>
        </w:rPr>
        <w:t>支持已移交病历进行加锁、或解锁；全流程支持申请及审批。</w:t>
      </w:r>
    </w:p>
    <w:p w14:paraId="68001F23">
      <w:pPr>
        <w:ind w:firstLine="480"/>
        <w:rPr>
          <w:rFonts w:cs="仿宋"/>
          <w:color w:val="auto"/>
        </w:rPr>
      </w:pPr>
      <w:r>
        <w:rPr>
          <w:rFonts w:hint="eastAsia" w:cs="仿宋"/>
          <w:color w:val="auto"/>
        </w:rPr>
        <w:t>支持病历三日移交率查询。</w:t>
      </w:r>
    </w:p>
    <w:p w14:paraId="184E33E2">
      <w:pPr>
        <w:ind w:firstLine="480"/>
        <w:rPr>
          <w:rFonts w:cs="仿宋"/>
          <w:color w:val="auto"/>
        </w:rPr>
      </w:pPr>
      <w:r>
        <w:rPr>
          <w:rFonts w:hint="eastAsia" w:cs="仿宋"/>
          <w:color w:val="auto"/>
        </w:rPr>
        <w:t>支持提取各科室三日移交率明细信息。</w:t>
      </w:r>
    </w:p>
    <w:p w14:paraId="3A9298CC">
      <w:pPr>
        <w:ind w:firstLine="480"/>
        <w:rPr>
          <w:rFonts w:cs="仿宋"/>
          <w:color w:val="auto"/>
        </w:rPr>
      </w:pPr>
      <w:r>
        <w:rPr>
          <w:rFonts w:hint="eastAsia" w:cs="仿宋"/>
          <w:color w:val="auto"/>
        </w:rPr>
        <w:t>支持归档信息提醒，及时推送至医生。</w:t>
      </w:r>
    </w:p>
    <w:p w14:paraId="36ADDC47">
      <w:pPr>
        <w:pStyle w:val="341"/>
        <w:spacing w:beforeLines="0"/>
        <w:ind w:firstLine="482"/>
        <w:rPr>
          <w:rFonts w:hint="eastAsia" w:ascii="宋体" w:hAnsi="宋体" w:cs="仿宋"/>
          <w:b/>
          <w:bCs/>
          <w:color w:val="auto"/>
          <w:sz w:val="24"/>
          <w:szCs w:val="24"/>
        </w:rPr>
      </w:pPr>
      <w:bookmarkStart w:id="347" w:name="_Toc106373206"/>
      <w:r>
        <w:rPr>
          <w:rFonts w:hint="eastAsia" w:ascii="宋体" w:hAnsi="宋体" w:cs="仿宋"/>
          <w:b/>
          <w:bCs/>
          <w:color w:val="auto"/>
          <w:sz w:val="24"/>
          <w:szCs w:val="24"/>
        </w:rPr>
        <w:t>病历示踪</w:t>
      </w:r>
      <w:bookmarkEnd w:id="347"/>
    </w:p>
    <w:p w14:paraId="1B1CD7C1">
      <w:pPr>
        <w:pStyle w:val="94"/>
        <w:numPr>
          <w:ilvl w:val="0"/>
          <w:numId w:val="181"/>
        </w:numPr>
        <w:ind w:left="0" w:firstLine="480"/>
        <w:rPr>
          <w:color w:val="auto"/>
          <w:sz w:val="24"/>
        </w:rPr>
      </w:pPr>
      <w:bookmarkStart w:id="348" w:name="_Toc106373207"/>
      <w:r>
        <w:rPr>
          <w:color w:val="auto"/>
          <w:sz w:val="24"/>
        </w:rPr>
        <w:t>支持各科室进行病历借阅。</w:t>
      </w:r>
    </w:p>
    <w:p w14:paraId="3F1F9938">
      <w:pPr>
        <w:pStyle w:val="94"/>
        <w:numPr>
          <w:ilvl w:val="0"/>
          <w:numId w:val="181"/>
        </w:numPr>
        <w:ind w:left="0" w:firstLine="480"/>
        <w:rPr>
          <w:color w:val="auto"/>
          <w:sz w:val="24"/>
        </w:rPr>
      </w:pPr>
      <w:r>
        <w:rPr>
          <w:color w:val="auto"/>
          <w:sz w:val="24"/>
        </w:rPr>
        <w:t>支持在病历借阅过程中填写借阅人、借阅科室、借阅时间、借阅原因信息。</w:t>
      </w:r>
    </w:p>
    <w:p w14:paraId="12193DDB">
      <w:pPr>
        <w:pStyle w:val="94"/>
        <w:numPr>
          <w:ilvl w:val="0"/>
          <w:numId w:val="181"/>
        </w:numPr>
        <w:ind w:left="0" w:firstLine="480"/>
        <w:rPr>
          <w:color w:val="auto"/>
          <w:sz w:val="24"/>
        </w:rPr>
      </w:pPr>
      <w:r>
        <w:rPr>
          <w:color w:val="auto"/>
          <w:sz w:val="24"/>
        </w:rPr>
        <w:t>支持病历借阅信息留存。</w:t>
      </w:r>
    </w:p>
    <w:p w14:paraId="64688BDB">
      <w:pPr>
        <w:pStyle w:val="94"/>
        <w:numPr>
          <w:ilvl w:val="0"/>
          <w:numId w:val="181"/>
        </w:numPr>
        <w:ind w:left="0" w:firstLine="480"/>
        <w:rPr>
          <w:color w:val="auto"/>
          <w:sz w:val="24"/>
        </w:rPr>
      </w:pPr>
      <w:r>
        <w:rPr>
          <w:color w:val="auto"/>
          <w:sz w:val="24"/>
        </w:rPr>
        <w:t>支持选择借阅病历信息，进行病历归还。</w:t>
      </w:r>
    </w:p>
    <w:p w14:paraId="050CB169">
      <w:pPr>
        <w:pStyle w:val="94"/>
        <w:numPr>
          <w:ilvl w:val="0"/>
          <w:numId w:val="181"/>
        </w:numPr>
        <w:ind w:left="0" w:firstLine="480"/>
        <w:rPr>
          <w:color w:val="auto"/>
          <w:sz w:val="24"/>
        </w:rPr>
      </w:pPr>
      <w:r>
        <w:rPr>
          <w:color w:val="auto"/>
          <w:sz w:val="24"/>
        </w:rPr>
        <w:t>支持病历复印自动同步打印。</w:t>
      </w:r>
    </w:p>
    <w:p w14:paraId="277E20DF">
      <w:pPr>
        <w:pStyle w:val="94"/>
        <w:numPr>
          <w:ilvl w:val="0"/>
          <w:numId w:val="181"/>
        </w:numPr>
        <w:ind w:left="0" w:firstLine="480"/>
        <w:rPr>
          <w:color w:val="auto"/>
          <w:sz w:val="24"/>
        </w:rPr>
      </w:pPr>
      <w:r>
        <w:rPr>
          <w:color w:val="auto"/>
          <w:sz w:val="24"/>
        </w:rPr>
        <w:t>支持填写病历复印个人信息，包括复印者姓名、证件信息、与患者关系、复印分数、页数等信息。</w:t>
      </w:r>
    </w:p>
    <w:p w14:paraId="200C2AFF">
      <w:pPr>
        <w:pStyle w:val="94"/>
        <w:numPr>
          <w:ilvl w:val="0"/>
          <w:numId w:val="181"/>
        </w:numPr>
        <w:ind w:left="0" w:firstLine="480"/>
        <w:rPr>
          <w:color w:val="auto"/>
          <w:sz w:val="24"/>
        </w:rPr>
      </w:pPr>
      <w:r>
        <w:rPr>
          <w:color w:val="auto"/>
          <w:sz w:val="24"/>
        </w:rPr>
        <w:t>支持撤销或执行复印任务。</w:t>
      </w:r>
    </w:p>
    <w:p w14:paraId="3902C561">
      <w:pPr>
        <w:pStyle w:val="94"/>
        <w:numPr>
          <w:ilvl w:val="0"/>
          <w:numId w:val="181"/>
        </w:numPr>
        <w:ind w:left="0" w:firstLine="480"/>
        <w:rPr>
          <w:color w:val="auto"/>
          <w:sz w:val="24"/>
        </w:rPr>
      </w:pPr>
      <w:r>
        <w:rPr>
          <w:color w:val="auto"/>
          <w:sz w:val="24"/>
        </w:rPr>
        <w:t>支持查询病历借阅信息，及根据分类进行病历借阅统计。</w:t>
      </w:r>
    </w:p>
    <w:p w14:paraId="467A534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数据上报</w:t>
      </w:r>
      <w:bookmarkEnd w:id="348"/>
      <w:r>
        <w:rPr>
          <w:rFonts w:hint="eastAsia" w:ascii="宋体" w:hAnsi="宋体" w:cs="仿宋"/>
          <w:b/>
          <w:bCs/>
          <w:color w:val="auto"/>
          <w:sz w:val="24"/>
          <w:szCs w:val="24"/>
        </w:rPr>
        <w:t>（需满足医院个性化数据报表功能定制）</w:t>
      </w:r>
    </w:p>
    <w:p w14:paraId="19A21D23">
      <w:pPr>
        <w:ind w:firstLine="480"/>
        <w:rPr>
          <w:rFonts w:cs="宋体"/>
          <w:color w:val="auto"/>
        </w:rPr>
      </w:pPr>
      <w:r>
        <w:rPr>
          <w:rFonts w:hint="eastAsia" w:cs="宋体"/>
          <w:color w:val="auto"/>
        </w:rPr>
        <w:t>支持各类主管部门规定的病案相关上报接口的自动上报，几个典型的自动上报场景如下：</w:t>
      </w:r>
    </w:p>
    <w:p w14:paraId="32D3B7E9">
      <w:pPr>
        <w:ind w:firstLine="480"/>
        <w:rPr>
          <w:rFonts w:cs="宋体"/>
          <w:color w:val="auto"/>
        </w:rPr>
      </w:pPr>
      <w:r>
        <w:rPr>
          <w:rFonts w:hint="eastAsia" w:cs="宋体"/>
          <w:color w:val="auto"/>
        </w:rPr>
        <w:t>1）</w:t>
      </w:r>
      <w:r>
        <w:rPr>
          <w:rFonts w:cs="宋体"/>
          <w:color w:val="auto"/>
        </w:rPr>
        <w:t>卫统4上报</w:t>
      </w:r>
    </w:p>
    <w:p w14:paraId="42E6B3D5">
      <w:pPr>
        <w:ind w:firstLine="480"/>
        <w:rPr>
          <w:rFonts w:cs="宋体"/>
          <w:color w:val="auto"/>
        </w:rPr>
      </w:pPr>
      <w:r>
        <w:rPr>
          <w:rFonts w:cs="宋体"/>
          <w:color w:val="auto"/>
        </w:rPr>
        <w:t>2</w:t>
      </w:r>
      <w:r>
        <w:rPr>
          <w:rFonts w:hint="eastAsia" w:cs="宋体"/>
          <w:color w:val="auto"/>
        </w:rPr>
        <w:t>）</w:t>
      </w:r>
      <w:r>
        <w:rPr>
          <w:rFonts w:cs="宋体"/>
          <w:color w:val="auto"/>
        </w:rPr>
        <w:t>DRGs上报</w:t>
      </w:r>
    </w:p>
    <w:p w14:paraId="13764C0C">
      <w:pPr>
        <w:ind w:firstLine="480"/>
        <w:rPr>
          <w:rFonts w:cs="宋体"/>
          <w:color w:val="auto"/>
        </w:rPr>
      </w:pPr>
      <w:r>
        <w:rPr>
          <w:rFonts w:cs="宋体"/>
          <w:color w:val="auto"/>
        </w:rPr>
        <w:t>3</w:t>
      </w:r>
      <w:r>
        <w:rPr>
          <w:rFonts w:hint="eastAsia" w:cs="宋体"/>
          <w:color w:val="auto"/>
        </w:rPr>
        <w:t>）</w:t>
      </w:r>
      <w:r>
        <w:rPr>
          <w:rFonts w:cs="宋体"/>
          <w:color w:val="auto"/>
        </w:rPr>
        <w:t>HQMS上报</w:t>
      </w:r>
    </w:p>
    <w:p w14:paraId="74AC8B01">
      <w:pPr>
        <w:ind w:firstLine="480"/>
        <w:rPr>
          <w:rFonts w:cs="宋体"/>
          <w:color w:val="auto"/>
        </w:rPr>
      </w:pPr>
      <w:r>
        <w:rPr>
          <w:rFonts w:cs="宋体"/>
          <w:color w:val="auto"/>
        </w:rPr>
        <w:t>4</w:t>
      </w:r>
      <w:r>
        <w:rPr>
          <w:rFonts w:hint="eastAsia" w:cs="宋体"/>
          <w:color w:val="auto"/>
        </w:rPr>
        <w:t>）</w:t>
      </w:r>
      <w:r>
        <w:rPr>
          <w:rFonts w:cs="宋体"/>
          <w:color w:val="auto"/>
        </w:rPr>
        <w:t>三级医院绩效考核上报</w:t>
      </w:r>
    </w:p>
    <w:p w14:paraId="1FF2739D">
      <w:pPr>
        <w:ind w:firstLine="480"/>
        <w:rPr>
          <w:rFonts w:cs="宋体"/>
          <w:color w:val="auto"/>
        </w:rPr>
      </w:pPr>
      <w:r>
        <w:rPr>
          <w:rFonts w:cs="宋体"/>
          <w:color w:val="auto"/>
        </w:rPr>
        <w:t>5</w:t>
      </w:r>
      <w:r>
        <w:rPr>
          <w:rFonts w:hint="eastAsia" w:cs="宋体"/>
          <w:color w:val="auto"/>
        </w:rPr>
        <w:t>）</w:t>
      </w:r>
      <w:r>
        <w:rPr>
          <w:rFonts w:cs="宋体"/>
          <w:color w:val="auto"/>
        </w:rPr>
        <w:t>肿瘤上报</w:t>
      </w:r>
    </w:p>
    <w:p w14:paraId="1845B3D9">
      <w:pPr>
        <w:ind w:firstLine="480"/>
        <w:rPr>
          <w:rFonts w:cs="宋体"/>
          <w:color w:val="auto"/>
        </w:rPr>
      </w:pPr>
      <w:r>
        <w:rPr>
          <w:rFonts w:cs="宋体"/>
          <w:color w:val="auto"/>
        </w:rPr>
        <w:t>6</w:t>
      </w:r>
      <w:r>
        <w:rPr>
          <w:rFonts w:hint="eastAsia" w:cs="宋体"/>
          <w:color w:val="auto"/>
        </w:rPr>
        <w:t>）</w:t>
      </w:r>
      <w:r>
        <w:rPr>
          <w:rFonts w:cs="宋体"/>
          <w:color w:val="auto"/>
        </w:rPr>
        <w:t>发热门诊上报</w:t>
      </w:r>
    </w:p>
    <w:p w14:paraId="5BE7DCAE">
      <w:pPr>
        <w:pStyle w:val="14"/>
        <w:bidi w:val="0"/>
        <w:rPr>
          <w:color w:val="auto"/>
        </w:rPr>
      </w:pPr>
      <w:r>
        <w:rPr>
          <w:rFonts w:hint="eastAsia"/>
          <w:color w:val="auto"/>
        </w:rPr>
        <w:tab/>
      </w:r>
      <w:r>
        <w:rPr>
          <w:rFonts w:hint="eastAsia"/>
          <w:color w:val="auto"/>
        </w:rPr>
        <w:t>院感管理系统</w:t>
      </w:r>
    </w:p>
    <w:p w14:paraId="4F57B6BF">
      <w:pPr>
        <w:bidi w:val="0"/>
        <w:rPr>
          <w:rFonts w:hint="eastAsia"/>
          <w:color w:val="auto"/>
          <w:lang w:val="en-US" w:eastAsia="zh-CN"/>
        </w:rPr>
      </w:pPr>
      <w:r>
        <w:rPr>
          <w:color w:val="auto"/>
        </w:rPr>
        <w:t>对接多系统数据实现智能预警（如暴发、多耐菌），覆盖抗菌药物、ICU导管等专项监测，通过临床上报与消息沟通降低感染风险。</w:t>
      </w:r>
    </w:p>
    <w:p w14:paraId="670445EB">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308D6560">
      <w:pPr>
        <w:bidi w:val="0"/>
        <w:rPr>
          <w:rFonts w:hint="eastAsia"/>
          <w:b/>
          <w:bCs/>
          <w:color w:val="auto"/>
          <w:lang w:eastAsia="zh-CN"/>
        </w:rPr>
      </w:pPr>
      <w:bookmarkStart w:id="349" w:name="_Toc150931827"/>
      <w:r>
        <w:rPr>
          <w:rFonts w:hint="eastAsia"/>
          <w:b/>
          <w:bCs/>
          <w:color w:val="auto"/>
          <w:lang w:eastAsia="zh-CN"/>
        </w:rPr>
        <w:t>数据对接</w:t>
      </w:r>
      <w:bookmarkEnd w:id="349"/>
    </w:p>
    <w:p w14:paraId="26F01329">
      <w:pPr>
        <w:bidi w:val="0"/>
        <w:rPr>
          <w:rFonts w:hint="eastAsia"/>
          <w:color w:val="auto"/>
          <w:lang w:eastAsia="zh-CN"/>
        </w:rPr>
      </w:pPr>
      <w:r>
        <w:rPr>
          <w:rFonts w:hint="eastAsia"/>
          <w:color w:val="auto"/>
          <w:lang w:eastAsia="zh-CN"/>
        </w:rPr>
        <w:t>要能对接</w:t>
      </w:r>
      <w:r>
        <w:rPr>
          <w:color w:val="auto"/>
          <w:lang w:eastAsia="zh-CN"/>
        </w:rPr>
        <w:t xml:space="preserve"> HIS</w:t>
      </w:r>
      <w:r>
        <w:rPr>
          <w:rFonts w:hint="eastAsia"/>
          <w:color w:val="auto"/>
          <w:lang w:eastAsia="zh-CN"/>
        </w:rPr>
        <w:t>、</w:t>
      </w:r>
      <w:r>
        <w:rPr>
          <w:color w:val="auto"/>
          <w:lang w:eastAsia="zh-CN"/>
        </w:rPr>
        <w:t>LIS</w:t>
      </w:r>
      <w:r>
        <w:rPr>
          <w:rFonts w:hint="eastAsia"/>
          <w:color w:val="auto"/>
          <w:lang w:eastAsia="zh-CN"/>
        </w:rPr>
        <w:t>、</w:t>
      </w:r>
      <w:r>
        <w:rPr>
          <w:color w:val="auto"/>
          <w:lang w:eastAsia="zh-CN"/>
        </w:rPr>
        <w:t>RIS</w:t>
      </w:r>
      <w:r>
        <w:rPr>
          <w:rFonts w:hint="eastAsia"/>
          <w:color w:val="auto"/>
          <w:lang w:eastAsia="zh-CN"/>
        </w:rPr>
        <w:t>，电子病历、手术麻醉、数据，如：患者基本情况、转科、诊断、床位、体温、菌培养、常规检查、手术、抗菌药物等病人所有电子病例详细。能够实现与医院现有系统的数据对</w:t>
      </w:r>
      <w:r>
        <w:rPr>
          <w:color w:val="auto"/>
          <w:lang w:eastAsia="zh-CN"/>
        </w:rPr>
        <w:t xml:space="preserve"> </w:t>
      </w:r>
      <w:r>
        <w:rPr>
          <w:rFonts w:hint="eastAsia"/>
          <w:color w:val="auto"/>
          <w:lang w:eastAsia="zh-CN"/>
        </w:rPr>
        <w:t>接，自动完成数据加载，并自动完成各项院感数据调试工作。具体如下：</w:t>
      </w:r>
      <w:r>
        <w:rPr>
          <w:color w:val="auto"/>
          <w:lang w:eastAsia="zh-CN"/>
        </w:rPr>
        <w:t xml:space="preserve"> </w:t>
      </w:r>
    </w:p>
    <w:p w14:paraId="01065F1F">
      <w:pPr>
        <w:pStyle w:val="188"/>
        <w:kinsoku w:val="0"/>
        <w:overflowPunct w:val="0"/>
        <w:spacing w:before="43" w:line="360" w:lineRule="auto"/>
        <w:ind w:left="103" w:right="100" w:firstLine="488"/>
        <w:rPr>
          <w:rFonts w:hint="eastAsia" w:ascii="宋体" w:hAnsi="宋体" w:eastAsia="宋体" w:cs="宋体"/>
          <w:color w:val="auto"/>
          <w:sz w:val="24"/>
          <w:szCs w:val="24"/>
          <w:lang w:eastAsia="zh-CN"/>
        </w:rPr>
      </w:pPr>
      <w:r>
        <w:rPr>
          <w:rFonts w:ascii="宋体" w:hAnsi="宋体" w:eastAsia="宋体" w:cs="宋体"/>
          <w:color w:val="auto"/>
          <w:spacing w:val="3"/>
          <w:sz w:val="24"/>
          <w:szCs w:val="24"/>
          <w:lang w:eastAsia="zh-CN"/>
        </w:rPr>
        <w:t>1</w:t>
      </w:r>
      <w:r>
        <w:rPr>
          <w:rFonts w:hint="eastAsia" w:ascii="宋体" w:hAnsi="宋体" w:eastAsia="宋体" w:cs="宋体"/>
          <w:color w:val="auto"/>
          <w:spacing w:val="3"/>
          <w:sz w:val="24"/>
          <w:szCs w:val="24"/>
          <w:lang w:eastAsia="zh-CN"/>
        </w:rPr>
        <w:t>）患者基本资料；出入院信息，包括出入院日期、科室、床位、住</w:t>
      </w:r>
      <w:r>
        <w:rPr>
          <w:rFonts w:hint="eastAsia" w:ascii="宋体" w:hAnsi="宋体" w:eastAsia="宋体" w:cs="宋体"/>
          <w:color w:val="auto"/>
          <w:sz w:val="24"/>
          <w:szCs w:val="24"/>
          <w:lang w:eastAsia="zh-CN"/>
        </w:rPr>
        <w:t>院总费用等信息；</w:t>
      </w:r>
    </w:p>
    <w:p w14:paraId="441301F0">
      <w:pPr>
        <w:pStyle w:val="188"/>
        <w:kinsoku w:val="0"/>
        <w:overflowPunct w:val="0"/>
        <w:spacing w:before="43" w:line="360" w:lineRule="auto"/>
        <w:ind w:left="103" w:right="100" w:firstLine="488"/>
        <w:rPr>
          <w:rFonts w:hint="eastAsia" w:ascii="宋体" w:hAnsi="宋体" w:eastAsia="宋体" w:cs="宋体"/>
          <w:color w:val="auto"/>
          <w:sz w:val="24"/>
          <w:szCs w:val="24"/>
          <w:lang w:eastAsia="zh-CN"/>
        </w:rPr>
      </w:pPr>
      <w:r>
        <w:rPr>
          <w:rFonts w:ascii="宋体" w:hAnsi="宋体" w:eastAsia="宋体" w:cs="宋体"/>
          <w:color w:val="auto"/>
          <w:spacing w:val="3"/>
          <w:sz w:val="24"/>
          <w:szCs w:val="24"/>
          <w:lang w:eastAsia="zh-CN"/>
        </w:rPr>
        <w:t>2</w:t>
      </w:r>
      <w:r>
        <w:rPr>
          <w:rFonts w:hint="eastAsia" w:ascii="宋体" w:hAnsi="宋体" w:eastAsia="宋体" w:cs="宋体"/>
          <w:color w:val="auto"/>
          <w:spacing w:val="3"/>
          <w:sz w:val="24"/>
          <w:szCs w:val="24"/>
          <w:lang w:eastAsia="zh-CN"/>
        </w:rPr>
        <w:t>）病人转科信息；患者诊断信息，入院诊断、疾病诊断、出院诊断</w:t>
      </w:r>
      <w:r>
        <w:rPr>
          <w:rFonts w:hint="eastAsia" w:ascii="宋体" w:hAnsi="宋体" w:eastAsia="宋体" w:cs="宋体"/>
          <w:color w:val="auto"/>
          <w:sz w:val="24"/>
          <w:szCs w:val="24"/>
          <w:lang w:eastAsia="zh-CN"/>
        </w:rPr>
        <w:t>等；</w:t>
      </w:r>
    </w:p>
    <w:p w14:paraId="4EFA6249">
      <w:pPr>
        <w:pStyle w:val="188"/>
        <w:kinsoku w:val="0"/>
        <w:overflowPunct w:val="0"/>
        <w:spacing w:before="14" w:line="360" w:lineRule="auto"/>
        <w:ind w:left="103"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3</w:t>
      </w:r>
      <w:r>
        <w:rPr>
          <w:rFonts w:hint="eastAsia" w:ascii="宋体" w:hAnsi="宋体" w:eastAsia="宋体" w:cs="宋体"/>
          <w:color w:val="auto"/>
          <w:sz w:val="24"/>
          <w:szCs w:val="24"/>
          <w:lang w:eastAsia="zh-CN"/>
        </w:rPr>
        <w:t>）患者体温信息；病程记录；影像诊断信息；</w:t>
      </w:r>
      <w:r>
        <w:rPr>
          <w:rFonts w:ascii="宋体" w:hAnsi="宋体" w:eastAsia="宋体" w:cs="宋体"/>
          <w:color w:val="auto"/>
          <w:sz w:val="24"/>
          <w:szCs w:val="24"/>
          <w:lang w:eastAsia="zh-CN"/>
        </w:rPr>
        <w:t xml:space="preserve"> </w:t>
      </w:r>
    </w:p>
    <w:p w14:paraId="1958F540">
      <w:pPr>
        <w:pStyle w:val="188"/>
        <w:kinsoku w:val="0"/>
        <w:overflowPunct w:val="0"/>
        <w:spacing w:before="87" w:line="360" w:lineRule="auto"/>
        <w:ind w:left="103" w:right="103" w:firstLine="464"/>
        <w:rPr>
          <w:rFonts w:hint="eastAsia" w:ascii="宋体" w:hAnsi="宋体" w:eastAsia="宋体" w:cs="宋体"/>
          <w:color w:val="auto"/>
          <w:sz w:val="24"/>
          <w:szCs w:val="24"/>
          <w:lang w:eastAsia="zh-CN"/>
        </w:rPr>
      </w:pPr>
      <w:r>
        <w:rPr>
          <w:rFonts w:ascii="宋体" w:hAnsi="宋体" w:eastAsia="宋体" w:cs="宋体"/>
          <w:color w:val="auto"/>
          <w:spacing w:val="-9"/>
          <w:sz w:val="24"/>
          <w:szCs w:val="24"/>
          <w:lang w:eastAsia="zh-CN"/>
        </w:rPr>
        <w:t>4</w:t>
      </w:r>
      <w:r>
        <w:rPr>
          <w:rFonts w:hint="eastAsia" w:ascii="宋体" w:hAnsi="宋体" w:eastAsia="宋体" w:cs="宋体"/>
          <w:color w:val="auto"/>
          <w:spacing w:val="-9"/>
          <w:sz w:val="24"/>
          <w:szCs w:val="24"/>
          <w:lang w:eastAsia="zh-CN"/>
        </w:rPr>
        <w:t>）手术申请、安排，详细的手术情况，如麻醉类型、手术时间等；</w:t>
      </w:r>
      <w:r>
        <w:rPr>
          <w:rFonts w:ascii="宋体" w:hAnsi="宋体" w:eastAsia="宋体" w:cs="宋体"/>
          <w:color w:val="auto"/>
          <w:spacing w:val="-9"/>
          <w:sz w:val="24"/>
          <w:szCs w:val="24"/>
          <w:lang w:eastAsia="zh-CN"/>
        </w:rPr>
        <w:t>(</w:t>
      </w:r>
      <w:r>
        <w:rPr>
          <w:rFonts w:hint="eastAsia" w:ascii="宋体" w:hAnsi="宋体" w:eastAsia="宋体" w:cs="宋体"/>
          <w:color w:val="auto"/>
          <w:spacing w:val="-9"/>
          <w:sz w:val="24"/>
          <w:szCs w:val="24"/>
          <w:lang w:eastAsia="zh-CN"/>
        </w:rPr>
        <w:t>手</w:t>
      </w:r>
      <w:r>
        <w:rPr>
          <w:rFonts w:hint="eastAsia" w:ascii="宋体" w:hAnsi="宋体" w:eastAsia="宋体" w:cs="宋体"/>
          <w:color w:val="auto"/>
          <w:sz w:val="24"/>
          <w:szCs w:val="24"/>
          <w:lang w:eastAsia="zh-CN"/>
        </w:rPr>
        <w:t>术中出血量</w:t>
      </w:r>
      <w:r>
        <w:rPr>
          <w:rFonts w:ascii="宋体" w:hAnsi="宋体" w:eastAsia="宋体" w:cs="宋体"/>
          <w:color w:val="auto"/>
          <w:sz w:val="24"/>
          <w:szCs w:val="24"/>
          <w:lang w:eastAsia="zh-CN"/>
        </w:rPr>
        <w:t xml:space="preserve">) </w:t>
      </w:r>
    </w:p>
    <w:p w14:paraId="612FEC24">
      <w:pPr>
        <w:pStyle w:val="188"/>
        <w:kinsoku w:val="0"/>
        <w:overflowPunct w:val="0"/>
        <w:spacing w:before="87" w:line="360" w:lineRule="auto"/>
        <w:ind w:left="103" w:right="103"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5</w:t>
      </w:r>
      <w:r>
        <w:rPr>
          <w:rFonts w:hint="eastAsia" w:ascii="宋体" w:hAnsi="宋体" w:eastAsia="宋体" w:cs="宋体"/>
          <w:color w:val="auto"/>
          <w:sz w:val="24"/>
          <w:szCs w:val="24"/>
          <w:lang w:eastAsia="zh-CN"/>
        </w:rPr>
        <w:t>）医嘱信息，包括检验检查项目、抗菌药物使用情况等；</w:t>
      </w:r>
    </w:p>
    <w:p w14:paraId="5DD056E7">
      <w:pPr>
        <w:pStyle w:val="188"/>
        <w:kinsoku w:val="0"/>
        <w:overflowPunct w:val="0"/>
        <w:spacing w:before="87" w:line="360" w:lineRule="auto"/>
        <w:ind w:left="103" w:right="103"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6</w:t>
      </w:r>
      <w:r>
        <w:rPr>
          <w:rFonts w:hint="eastAsia" w:ascii="宋体" w:hAnsi="宋体" w:eastAsia="宋体" w:cs="宋体"/>
          <w:color w:val="auto"/>
          <w:sz w:val="24"/>
          <w:szCs w:val="24"/>
          <w:lang w:eastAsia="zh-CN"/>
        </w:rPr>
        <w:t>）检验信息，包括常规检验、细菌培养、检验结果等；</w:t>
      </w:r>
    </w:p>
    <w:p w14:paraId="683B8281">
      <w:pPr>
        <w:pStyle w:val="188"/>
        <w:kinsoku w:val="0"/>
        <w:overflowPunct w:val="0"/>
        <w:spacing w:before="87" w:line="360" w:lineRule="auto"/>
        <w:ind w:left="103" w:right="103" w:firstLine="482"/>
        <w:rPr>
          <w:rFonts w:hint="eastAsia" w:ascii="宋体" w:hAnsi="宋体" w:eastAsia="宋体" w:cs="宋体"/>
          <w:color w:val="auto"/>
          <w:sz w:val="24"/>
          <w:lang w:eastAsia="zh-CN"/>
        </w:rPr>
      </w:pPr>
      <w:r>
        <w:rPr>
          <w:rFonts w:ascii="宋体" w:hAnsi="宋体" w:eastAsia="宋体" w:cs="宋体"/>
          <w:color w:val="auto"/>
          <w:spacing w:val="3"/>
          <w:sz w:val="24"/>
          <w:lang w:eastAsia="zh-CN"/>
        </w:rPr>
        <w:t>7</w:t>
      </w:r>
      <w:r>
        <w:rPr>
          <w:rFonts w:hint="eastAsia" w:ascii="宋体" w:hAnsi="宋体" w:eastAsia="宋体" w:cs="宋体"/>
          <w:color w:val="auto"/>
          <w:spacing w:val="3"/>
          <w:sz w:val="24"/>
          <w:lang w:eastAsia="zh-CN"/>
        </w:rPr>
        <w:t>）微生物培养情况（包括送检信息、病原体检出情况、药敏试验情</w:t>
      </w:r>
      <w:r>
        <w:rPr>
          <w:rFonts w:hint="eastAsia" w:ascii="宋体" w:hAnsi="宋体" w:eastAsia="宋体" w:cs="宋体"/>
          <w:color w:val="auto"/>
          <w:sz w:val="24"/>
          <w:lang w:eastAsia="zh-CN"/>
        </w:rPr>
        <w:t>况等）；</w:t>
      </w:r>
    </w:p>
    <w:p w14:paraId="318BA912">
      <w:pPr>
        <w:pStyle w:val="188"/>
        <w:kinsoku w:val="0"/>
        <w:overflowPunct w:val="0"/>
        <w:spacing w:before="87" w:line="360" w:lineRule="auto"/>
        <w:ind w:left="103" w:right="103" w:firstLine="482"/>
        <w:rPr>
          <w:rFonts w:hint="eastAsia" w:ascii="宋体" w:hAnsi="宋体" w:eastAsia="宋体" w:cs="宋体"/>
          <w:color w:val="auto"/>
          <w:sz w:val="24"/>
          <w:lang w:eastAsia="zh-CN"/>
        </w:rPr>
      </w:pPr>
      <w:r>
        <w:rPr>
          <w:rFonts w:ascii="宋体" w:hAnsi="宋体" w:eastAsia="宋体" w:cs="宋体"/>
          <w:color w:val="auto"/>
          <w:sz w:val="24"/>
          <w:lang w:eastAsia="zh-CN"/>
        </w:rPr>
        <w:t>8</w:t>
      </w:r>
      <w:r>
        <w:rPr>
          <w:rFonts w:hint="eastAsia" w:ascii="宋体" w:hAnsi="宋体" w:eastAsia="宋体" w:cs="宋体"/>
          <w:color w:val="auto"/>
          <w:sz w:val="24"/>
          <w:lang w:eastAsia="zh-CN"/>
        </w:rPr>
        <w:t>）科室信息、医生信息（包括职称）、药品信息等基础资料。</w:t>
      </w:r>
    </w:p>
    <w:p w14:paraId="476CD9B0">
      <w:pPr>
        <w:pStyle w:val="188"/>
        <w:kinsoku w:val="0"/>
        <w:overflowPunct w:val="0"/>
        <w:spacing w:before="87" w:line="360" w:lineRule="auto"/>
        <w:ind w:left="103" w:right="103" w:firstLine="482"/>
        <w:rPr>
          <w:rFonts w:hint="eastAsia" w:ascii="宋体" w:hAnsi="宋体" w:eastAsia="宋体" w:cs="宋体"/>
          <w:color w:val="auto"/>
          <w:sz w:val="24"/>
          <w:szCs w:val="24"/>
          <w:lang w:eastAsia="zh-CN"/>
        </w:rPr>
      </w:pPr>
      <w:r>
        <w:rPr>
          <w:rFonts w:ascii="宋体" w:hAnsi="宋体" w:eastAsia="宋体" w:cs="宋体"/>
          <w:color w:val="auto"/>
          <w:sz w:val="24"/>
          <w:lang w:eastAsia="zh-CN"/>
        </w:rPr>
        <w:t>9</w:t>
      </w:r>
      <w:r>
        <w:rPr>
          <w:rFonts w:hint="eastAsia" w:ascii="宋体" w:hAnsi="宋体" w:eastAsia="宋体" w:cs="宋体"/>
          <w:color w:val="auto"/>
          <w:sz w:val="24"/>
          <w:lang w:eastAsia="zh-CN"/>
        </w:rPr>
        <w:t>）门诊就诊信息等。</w:t>
      </w:r>
    </w:p>
    <w:p w14:paraId="6DA5CCC2">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0" w:name="_Toc150931828"/>
      <w:r>
        <w:rPr>
          <w:rFonts w:hint="eastAsia" w:ascii="宋体" w:hAnsi="宋体" w:eastAsia="宋体" w:cs="宋体"/>
          <w:b/>
          <w:bCs/>
          <w:color w:val="auto"/>
          <w:sz w:val="24"/>
          <w:szCs w:val="24"/>
          <w:lang w:eastAsia="zh-CN"/>
        </w:rPr>
        <w:t>系统自动预警平台</w:t>
      </w:r>
      <w:bookmarkEnd w:id="350"/>
    </w:p>
    <w:p w14:paraId="2925EA98">
      <w:pPr>
        <w:pStyle w:val="188"/>
        <w:kinsoku w:val="0"/>
        <w:overflowPunct w:val="0"/>
        <w:spacing w:before="161" w:line="360" w:lineRule="auto"/>
        <w:ind w:left="103"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1.</w:t>
      </w:r>
      <w:r>
        <w:rPr>
          <w:rFonts w:hint="eastAsia" w:ascii="宋体" w:hAnsi="宋体" w:eastAsia="宋体" w:cs="宋体"/>
          <w:color w:val="auto"/>
          <w:sz w:val="24"/>
          <w:szCs w:val="24"/>
          <w:lang w:eastAsia="zh-CN"/>
        </w:rPr>
        <w:t>总体预警</w:t>
      </w:r>
    </w:p>
    <w:p w14:paraId="6A07C78E">
      <w:pPr>
        <w:numPr>
          <w:ilvl w:val="0"/>
          <w:numId w:val="182"/>
        </w:numPr>
        <w:bidi w:val="0"/>
        <w:ind w:left="425" w:leftChars="0" w:firstLine="55" w:firstLineChars="0"/>
        <w:rPr>
          <w:rFonts w:hint="eastAsia"/>
          <w:color w:val="auto"/>
          <w:lang w:eastAsia="zh-CN"/>
        </w:rPr>
      </w:pPr>
      <w:r>
        <w:rPr>
          <w:rFonts w:hint="eastAsia"/>
          <w:color w:val="auto"/>
          <w:lang w:eastAsia="zh-CN"/>
        </w:rPr>
        <w:t>能自动预警感染爆发；</w:t>
      </w:r>
    </w:p>
    <w:p w14:paraId="4FC5F59E">
      <w:pPr>
        <w:numPr>
          <w:ilvl w:val="0"/>
          <w:numId w:val="182"/>
        </w:numPr>
        <w:bidi w:val="0"/>
        <w:ind w:left="425" w:leftChars="0" w:firstLine="55" w:firstLineChars="0"/>
        <w:rPr>
          <w:rFonts w:hint="eastAsia"/>
          <w:color w:val="auto"/>
          <w:lang w:eastAsia="zh-CN"/>
        </w:rPr>
      </w:pPr>
      <w:r>
        <w:rPr>
          <w:rFonts w:hint="eastAsia"/>
          <w:color w:val="auto"/>
          <w:lang w:eastAsia="zh-CN"/>
        </w:rPr>
        <w:t>能自动预警新的院感，传染病，肿瘤，死亡等报卡；</w:t>
      </w:r>
    </w:p>
    <w:p w14:paraId="3FC4E71F">
      <w:pPr>
        <w:numPr>
          <w:ilvl w:val="0"/>
          <w:numId w:val="182"/>
        </w:numPr>
        <w:bidi w:val="0"/>
        <w:ind w:left="425" w:leftChars="0" w:firstLine="55" w:firstLineChars="0"/>
        <w:rPr>
          <w:rFonts w:hint="eastAsia"/>
          <w:color w:val="auto"/>
          <w:lang w:eastAsia="zh-CN"/>
        </w:rPr>
      </w:pPr>
      <w:r>
        <w:rPr>
          <w:rFonts w:hint="eastAsia"/>
          <w:color w:val="auto"/>
          <w:lang w:eastAsia="zh-CN"/>
        </w:rPr>
        <w:t>能智能预警在院疑似院感病例；</w:t>
      </w:r>
    </w:p>
    <w:p w14:paraId="2D00431F">
      <w:pPr>
        <w:numPr>
          <w:ilvl w:val="0"/>
          <w:numId w:val="182"/>
        </w:numPr>
        <w:bidi w:val="0"/>
        <w:ind w:left="425" w:leftChars="0" w:firstLine="55" w:firstLineChars="0"/>
        <w:rPr>
          <w:rFonts w:hint="eastAsia"/>
          <w:color w:val="auto"/>
          <w:lang w:eastAsia="zh-CN"/>
        </w:rPr>
      </w:pPr>
      <w:r>
        <w:rPr>
          <w:rFonts w:hint="eastAsia"/>
          <w:color w:val="auto"/>
          <w:lang w:eastAsia="zh-CN"/>
        </w:rPr>
        <w:t>能自动预警新的多重耐药菌</w:t>
      </w:r>
      <w:r>
        <w:rPr>
          <w:color w:val="auto"/>
          <w:lang w:eastAsia="zh-CN"/>
        </w:rPr>
        <w:t>,</w:t>
      </w:r>
      <w:r>
        <w:rPr>
          <w:rFonts w:hint="eastAsia"/>
          <w:color w:val="auto"/>
          <w:lang w:eastAsia="zh-CN"/>
        </w:rPr>
        <w:t>泛耐药菌</w:t>
      </w:r>
      <w:r>
        <w:rPr>
          <w:color w:val="auto"/>
          <w:lang w:eastAsia="zh-CN"/>
        </w:rPr>
        <w:t>,MRSA</w:t>
      </w:r>
      <w:r>
        <w:rPr>
          <w:rFonts w:hint="eastAsia"/>
          <w:color w:val="auto"/>
          <w:lang w:eastAsia="zh-CN"/>
        </w:rPr>
        <w:t>等</w:t>
      </w:r>
      <w:r>
        <w:rPr>
          <w:color w:val="auto"/>
          <w:lang w:eastAsia="zh-CN"/>
        </w:rPr>
        <w:t xml:space="preserve"> </w:t>
      </w:r>
      <w:r>
        <w:rPr>
          <w:rFonts w:hint="eastAsia"/>
          <w:color w:val="auto"/>
          <w:lang w:eastAsia="zh-CN"/>
        </w:rPr>
        <w:t>。</w:t>
      </w:r>
    </w:p>
    <w:p w14:paraId="58A3455B">
      <w:pPr>
        <w:pStyle w:val="188"/>
        <w:kinsoku w:val="0"/>
        <w:overflowPunct w:val="0"/>
        <w:spacing w:line="360" w:lineRule="auto"/>
        <w:ind w:left="103"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2.</w:t>
      </w:r>
      <w:r>
        <w:rPr>
          <w:rFonts w:hint="eastAsia" w:ascii="宋体" w:hAnsi="宋体" w:eastAsia="宋体" w:cs="宋体"/>
          <w:color w:val="auto"/>
          <w:sz w:val="24"/>
          <w:szCs w:val="24"/>
          <w:lang w:eastAsia="zh-CN"/>
        </w:rPr>
        <w:t>实时概况</w:t>
      </w:r>
    </w:p>
    <w:p w14:paraId="3C3EA264">
      <w:pPr>
        <w:pStyle w:val="188"/>
        <w:kinsoku w:val="0"/>
        <w:overflowPunct w:val="0"/>
        <w:spacing w:before="43" w:line="360" w:lineRule="auto"/>
        <w:ind w:left="103" w:right="102" w:firstLine="480"/>
        <w:rPr>
          <w:rFonts w:hint="eastAsia" w:ascii="宋体" w:hAnsi="宋体" w:eastAsia="宋体" w:cs="宋体"/>
          <w:color w:val="auto"/>
          <w:sz w:val="24"/>
          <w:szCs w:val="24"/>
          <w:lang w:eastAsia="zh-CN"/>
        </w:rPr>
      </w:pPr>
      <w:r>
        <w:rPr>
          <w:rFonts w:ascii="宋体" w:hAnsi="宋体" w:eastAsia="宋体" w:cs="宋体"/>
          <w:color w:val="auto"/>
          <w:spacing w:val="-1"/>
          <w:sz w:val="24"/>
          <w:szCs w:val="24"/>
          <w:lang w:eastAsia="zh-CN"/>
        </w:rPr>
        <w:t>1)</w:t>
      </w:r>
      <w:r>
        <w:rPr>
          <w:rFonts w:hint="eastAsia" w:ascii="宋体" w:hAnsi="宋体" w:eastAsia="宋体" w:cs="宋体"/>
          <w:color w:val="auto"/>
          <w:spacing w:val="-1"/>
          <w:sz w:val="24"/>
          <w:szCs w:val="24"/>
          <w:lang w:eastAsia="zh-CN"/>
        </w:rPr>
        <w:t>能查看各个科室的在院病人、发热、使用三管和阳性菌、多重耐药</w:t>
      </w:r>
      <w:r>
        <w:rPr>
          <w:rFonts w:hint="eastAsia" w:ascii="宋体" w:hAnsi="宋体" w:eastAsia="宋体" w:cs="宋体"/>
          <w:color w:val="auto"/>
          <w:sz w:val="24"/>
          <w:szCs w:val="24"/>
          <w:lang w:eastAsia="zh-CN"/>
        </w:rPr>
        <w:t>菌检出例数等高危因素的病人列表。</w:t>
      </w:r>
    </w:p>
    <w:p w14:paraId="02BB78CD">
      <w:pPr>
        <w:pStyle w:val="188"/>
        <w:kinsoku w:val="0"/>
        <w:overflowPunct w:val="0"/>
        <w:spacing w:before="43" w:line="360" w:lineRule="auto"/>
        <w:ind w:left="103" w:right="102" w:firstLine="480"/>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2)</w:t>
      </w:r>
      <w:r>
        <w:rPr>
          <w:rFonts w:hint="eastAsia" w:ascii="宋体" w:hAnsi="宋体" w:eastAsia="宋体" w:cs="宋体"/>
          <w:color w:val="auto"/>
          <w:sz w:val="24"/>
          <w:szCs w:val="24"/>
          <w:lang w:eastAsia="zh-CN"/>
        </w:rPr>
        <w:t>能查看某个科室某天发热的病人列表，以及病人的体温单。</w:t>
      </w:r>
    </w:p>
    <w:p w14:paraId="7CECB165">
      <w:pPr>
        <w:pStyle w:val="188"/>
        <w:kinsoku w:val="0"/>
        <w:overflowPunct w:val="0"/>
        <w:spacing w:before="43" w:line="360" w:lineRule="auto"/>
        <w:ind w:left="103" w:right="102" w:firstLine="480"/>
        <w:rPr>
          <w:rFonts w:hint="eastAsia" w:ascii="宋体" w:hAnsi="宋体" w:eastAsia="宋体" w:cs="宋体"/>
          <w:color w:val="auto"/>
          <w:sz w:val="24"/>
          <w:szCs w:val="24"/>
          <w:lang w:eastAsia="zh-CN"/>
        </w:rPr>
      </w:pPr>
      <w:r>
        <w:rPr>
          <w:rFonts w:ascii="宋体" w:hAnsi="宋体" w:eastAsia="宋体" w:cs="宋体"/>
          <w:color w:val="auto"/>
          <w:spacing w:val="-1"/>
          <w:sz w:val="24"/>
          <w:lang w:eastAsia="zh-CN"/>
        </w:rPr>
        <w:t>3)</w:t>
      </w:r>
      <w:r>
        <w:rPr>
          <w:rFonts w:hint="eastAsia" w:ascii="宋体" w:hAnsi="宋体" w:eastAsia="宋体" w:cs="宋体"/>
          <w:color w:val="auto"/>
          <w:spacing w:val="-1"/>
          <w:sz w:val="24"/>
          <w:lang w:eastAsia="zh-CN"/>
        </w:rPr>
        <w:t>能查看某个科室某天使用三管的病人列表，以及病人的三管相关医</w:t>
      </w:r>
      <w:r>
        <w:rPr>
          <w:rFonts w:hint="eastAsia" w:ascii="宋体" w:hAnsi="宋体" w:eastAsia="宋体" w:cs="宋体"/>
          <w:color w:val="auto"/>
          <w:sz w:val="24"/>
          <w:lang w:eastAsia="zh-CN"/>
        </w:rPr>
        <w:t>嘱。</w:t>
      </w:r>
    </w:p>
    <w:p w14:paraId="33FB091B">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1" w:name="_Toc150931829"/>
      <w:r>
        <w:rPr>
          <w:rFonts w:hint="eastAsia" w:ascii="宋体" w:hAnsi="宋体" w:eastAsia="宋体" w:cs="宋体"/>
          <w:b/>
          <w:bCs/>
          <w:color w:val="auto"/>
          <w:sz w:val="24"/>
          <w:szCs w:val="24"/>
          <w:lang w:eastAsia="zh-CN"/>
        </w:rPr>
        <w:t>院感暴发预警</w:t>
      </w:r>
      <w:bookmarkEnd w:id="351"/>
    </w:p>
    <w:p w14:paraId="08A4E800">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1</w:t>
      </w:r>
      <w:r>
        <w:rPr>
          <w:rFonts w:hint="eastAsia" w:ascii="宋体" w:hAnsi="宋体" w:eastAsia="宋体" w:cs="宋体"/>
          <w:color w:val="auto"/>
          <w:sz w:val="24"/>
          <w:szCs w:val="24"/>
          <w:lang w:eastAsia="zh-CN"/>
        </w:rPr>
        <w:t>）要能动态监测全院各科室的感染部位和检出病原体</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当出现了在设</w:t>
      </w:r>
    </w:p>
    <w:p w14:paraId="504C6AC8">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定时间内超出设定值的病例时，系统就会自动预警并显示出这些病例，让院感科人员及时发现并查询感染暴发的详细情况。</w:t>
      </w:r>
    </w:p>
    <w:p w14:paraId="102B045D">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2</w:t>
      </w:r>
      <w:r>
        <w:rPr>
          <w:rFonts w:hint="eastAsia" w:ascii="宋体" w:hAnsi="宋体" w:eastAsia="宋体" w:cs="宋体"/>
          <w:color w:val="auto"/>
          <w:sz w:val="24"/>
          <w:szCs w:val="24"/>
          <w:lang w:eastAsia="zh-CN"/>
        </w:rPr>
        <w:t>）要能自动罗列出感染暴发相关病人清单，可进行同源性分析对比，对比列出所有药敏结果，并能对暴发进行处置记录。</w:t>
      </w:r>
      <w:r>
        <w:rPr>
          <w:rFonts w:ascii="宋体" w:hAnsi="宋体" w:eastAsia="宋体" w:cs="宋体"/>
          <w:color w:val="auto"/>
          <w:sz w:val="24"/>
          <w:szCs w:val="24"/>
          <w:lang w:eastAsia="zh-CN"/>
        </w:rPr>
        <w:t xml:space="preserve"> </w:t>
      </w:r>
    </w:p>
    <w:p w14:paraId="4EAA9D34">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3</w:t>
      </w:r>
      <w:r>
        <w:rPr>
          <w:rFonts w:hint="eastAsia" w:ascii="宋体" w:hAnsi="宋体" w:eastAsia="宋体" w:cs="宋体"/>
          <w:color w:val="auto"/>
          <w:sz w:val="24"/>
          <w:szCs w:val="24"/>
          <w:lang w:eastAsia="zh-CN"/>
        </w:rPr>
        <w:t>）要能对一段时期内同一科室发生多例相同感染诊断情况的预警提示功能，并跟踪到具体的病人列表。</w:t>
      </w:r>
      <w:r>
        <w:rPr>
          <w:rFonts w:ascii="宋体" w:hAnsi="宋体" w:eastAsia="宋体" w:cs="宋体"/>
          <w:color w:val="auto"/>
          <w:sz w:val="24"/>
          <w:szCs w:val="24"/>
          <w:lang w:eastAsia="zh-CN"/>
        </w:rPr>
        <w:t xml:space="preserve"> </w:t>
      </w:r>
    </w:p>
    <w:p w14:paraId="5E0BE85B">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4</w:t>
      </w:r>
      <w:r>
        <w:rPr>
          <w:rFonts w:hint="eastAsia" w:ascii="宋体" w:hAnsi="宋体" w:eastAsia="宋体" w:cs="宋体"/>
          <w:color w:val="auto"/>
          <w:sz w:val="24"/>
          <w:szCs w:val="24"/>
          <w:lang w:eastAsia="zh-CN"/>
        </w:rPr>
        <w:t>）要能对一段时期内同一科室送检标本培养出多例相同病原体的预警提示功能，并跟踪到具体的病人列表。</w:t>
      </w:r>
      <w:r>
        <w:rPr>
          <w:rFonts w:ascii="宋体" w:hAnsi="宋体" w:eastAsia="宋体" w:cs="宋体"/>
          <w:color w:val="auto"/>
          <w:sz w:val="24"/>
          <w:szCs w:val="24"/>
          <w:lang w:eastAsia="zh-CN"/>
        </w:rPr>
        <w:t xml:space="preserve"> </w:t>
      </w:r>
    </w:p>
    <w:p w14:paraId="05E459BE">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5</w:t>
      </w:r>
      <w:r>
        <w:rPr>
          <w:rFonts w:hint="eastAsia" w:ascii="宋体" w:hAnsi="宋体" w:eastAsia="宋体" w:cs="宋体"/>
          <w:color w:val="auto"/>
          <w:sz w:val="24"/>
          <w:szCs w:val="24"/>
          <w:lang w:eastAsia="zh-CN"/>
        </w:rPr>
        <w:t>）要能对以科室为单位，调整暴发预警周期和暴发预警例数。</w:t>
      </w:r>
      <w:r>
        <w:rPr>
          <w:rFonts w:ascii="宋体" w:hAnsi="宋体" w:eastAsia="宋体" w:cs="宋体"/>
          <w:color w:val="auto"/>
          <w:sz w:val="24"/>
          <w:szCs w:val="24"/>
          <w:lang w:eastAsia="zh-CN"/>
        </w:rPr>
        <w:t xml:space="preserve"> </w:t>
      </w:r>
    </w:p>
    <w:p w14:paraId="1F0519B8">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6</w:t>
      </w:r>
      <w:r>
        <w:rPr>
          <w:rFonts w:hint="eastAsia" w:ascii="宋体" w:hAnsi="宋体" w:eastAsia="宋体" w:cs="宋体"/>
          <w:color w:val="auto"/>
          <w:sz w:val="24"/>
          <w:szCs w:val="24"/>
          <w:lang w:eastAsia="zh-CN"/>
        </w:rPr>
        <w:t>）要能对暴发预警进行确认、待查和排除操作。</w:t>
      </w:r>
    </w:p>
    <w:p w14:paraId="6C561863">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2" w:name="_Toc150931830"/>
      <w:r>
        <w:rPr>
          <w:rFonts w:hint="eastAsia" w:ascii="宋体" w:hAnsi="宋体" w:eastAsia="宋体" w:cs="宋体"/>
          <w:b/>
          <w:bCs/>
          <w:color w:val="auto"/>
          <w:sz w:val="24"/>
          <w:szCs w:val="24"/>
          <w:lang w:eastAsia="zh-CN"/>
        </w:rPr>
        <w:t>临床医生上报</w:t>
      </w:r>
      <w:bookmarkEnd w:id="352"/>
    </w:p>
    <w:p w14:paraId="1948ABA4">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1</w:t>
      </w:r>
      <w:r>
        <w:rPr>
          <w:rFonts w:hint="eastAsia" w:ascii="宋体" w:hAnsi="宋体" w:eastAsia="宋体" w:cs="宋体"/>
          <w:color w:val="auto"/>
          <w:sz w:val="24"/>
          <w:szCs w:val="24"/>
          <w:lang w:eastAsia="zh-CN"/>
        </w:rPr>
        <w:t>）医生工作站上要能上报院感病例，代替传统的手工纸质上报卡。</w:t>
      </w:r>
      <w:r>
        <w:rPr>
          <w:rFonts w:ascii="宋体" w:hAnsi="宋体" w:eastAsia="宋体" w:cs="宋体"/>
          <w:color w:val="auto"/>
          <w:sz w:val="24"/>
          <w:szCs w:val="24"/>
          <w:lang w:eastAsia="zh-CN"/>
        </w:rPr>
        <w:t xml:space="preserve"> </w:t>
      </w:r>
    </w:p>
    <w:p w14:paraId="1FB60163">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2</w:t>
      </w:r>
      <w:r>
        <w:rPr>
          <w:rFonts w:hint="eastAsia" w:ascii="宋体" w:hAnsi="宋体" w:eastAsia="宋体" w:cs="宋体"/>
          <w:color w:val="auto"/>
          <w:sz w:val="24"/>
          <w:szCs w:val="24"/>
          <w:lang w:eastAsia="zh-CN"/>
        </w:rPr>
        <w:t>）在上报卡中，临床医生只需要输入病人的住院号就可以调出该病例的基本信息及相关所需要的电子病历信息，医生只需填写感染部位和易感因素及选择相关送检</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快速方便。</w:t>
      </w:r>
      <w:r>
        <w:rPr>
          <w:rFonts w:ascii="宋体" w:hAnsi="宋体" w:eastAsia="宋体" w:cs="宋体"/>
          <w:color w:val="auto"/>
          <w:sz w:val="24"/>
          <w:szCs w:val="24"/>
          <w:lang w:eastAsia="zh-CN"/>
        </w:rPr>
        <w:t xml:space="preserve"> </w:t>
      </w:r>
    </w:p>
    <w:p w14:paraId="3D6AF1EA">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3</w:t>
      </w:r>
      <w:r>
        <w:rPr>
          <w:rFonts w:hint="eastAsia" w:ascii="宋体" w:hAnsi="宋体" w:eastAsia="宋体" w:cs="宋体"/>
          <w:color w:val="auto"/>
          <w:sz w:val="24"/>
          <w:szCs w:val="24"/>
          <w:lang w:eastAsia="zh-CN"/>
        </w:rPr>
        <w:t>）系统时自动预警提示新的上报卡。</w:t>
      </w:r>
    </w:p>
    <w:p w14:paraId="65BE6963">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4</w:t>
      </w:r>
      <w:r>
        <w:rPr>
          <w:rFonts w:hint="eastAsia" w:ascii="宋体" w:hAnsi="宋体" w:eastAsia="宋体" w:cs="宋体"/>
          <w:color w:val="auto"/>
          <w:sz w:val="24"/>
          <w:szCs w:val="24"/>
          <w:lang w:eastAsia="zh-CN"/>
        </w:rPr>
        <w:t>）能对上报的病例进行收集和管理</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可以直接查看病人的详细电子病例信息</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可以修改</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审核</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确认</w:t>
      </w:r>
      <w:r>
        <w:rPr>
          <w:rFonts w:ascii="宋体" w:hAnsi="宋体" w:eastAsia="宋体" w:cs="宋体"/>
          <w:color w:val="auto"/>
          <w:sz w:val="24"/>
          <w:szCs w:val="24"/>
          <w:lang w:eastAsia="zh-CN"/>
        </w:rPr>
        <w:t>,</w:t>
      </w:r>
      <w:r>
        <w:rPr>
          <w:rFonts w:hint="eastAsia" w:ascii="宋体" w:hAnsi="宋体" w:eastAsia="宋体" w:cs="宋体"/>
          <w:color w:val="auto"/>
          <w:sz w:val="24"/>
          <w:szCs w:val="24"/>
          <w:lang w:eastAsia="zh-CN"/>
        </w:rPr>
        <w:t>非感染等操作；能打印导出。</w:t>
      </w:r>
      <w:r>
        <w:rPr>
          <w:rFonts w:ascii="宋体" w:hAnsi="宋体" w:eastAsia="宋体" w:cs="宋体"/>
          <w:color w:val="auto"/>
          <w:sz w:val="24"/>
          <w:szCs w:val="24"/>
          <w:lang w:eastAsia="zh-CN"/>
        </w:rPr>
        <w:t xml:space="preserve"> </w:t>
      </w:r>
    </w:p>
    <w:p w14:paraId="52D4748F">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5</w:t>
      </w:r>
      <w:r>
        <w:rPr>
          <w:rFonts w:hint="eastAsia" w:ascii="宋体" w:hAnsi="宋体" w:eastAsia="宋体" w:cs="宋体"/>
          <w:color w:val="auto"/>
          <w:sz w:val="24"/>
          <w:szCs w:val="24"/>
          <w:lang w:eastAsia="zh-CN"/>
        </w:rPr>
        <w:t>）审核确认后的病例要能作为各种年月统计报表的数据。</w:t>
      </w:r>
      <w:r>
        <w:rPr>
          <w:rFonts w:ascii="宋体" w:hAnsi="宋体" w:eastAsia="宋体" w:cs="宋体"/>
          <w:color w:val="auto"/>
          <w:sz w:val="24"/>
          <w:szCs w:val="24"/>
          <w:lang w:eastAsia="zh-CN"/>
        </w:rPr>
        <w:t xml:space="preserve"> </w:t>
      </w:r>
    </w:p>
    <w:p w14:paraId="56113F59">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6)</w:t>
      </w:r>
      <w:r>
        <w:rPr>
          <w:rFonts w:hint="eastAsia" w:ascii="宋体" w:hAnsi="宋体" w:eastAsia="宋体" w:cs="宋体"/>
          <w:color w:val="auto"/>
          <w:sz w:val="24"/>
          <w:szCs w:val="24"/>
          <w:lang w:eastAsia="zh-CN"/>
        </w:rPr>
        <w:t>要能通过感染预警消息直接双击上报。</w:t>
      </w:r>
      <w:r>
        <w:rPr>
          <w:rFonts w:ascii="宋体" w:hAnsi="宋体" w:eastAsia="宋体" w:cs="宋体"/>
          <w:color w:val="auto"/>
          <w:sz w:val="24"/>
          <w:szCs w:val="24"/>
          <w:lang w:eastAsia="zh-CN"/>
        </w:rPr>
        <w:t xml:space="preserve"> </w:t>
      </w:r>
    </w:p>
    <w:p w14:paraId="30F301AD">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7)</w:t>
      </w:r>
      <w:r>
        <w:rPr>
          <w:rFonts w:hint="eastAsia" w:ascii="宋体" w:hAnsi="宋体" w:eastAsia="宋体" w:cs="宋体"/>
          <w:color w:val="auto"/>
          <w:sz w:val="24"/>
          <w:szCs w:val="24"/>
          <w:lang w:eastAsia="zh-CN"/>
        </w:rPr>
        <w:t>要能重复报卡提示。</w:t>
      </w:r>
      <w:r>
        <w:rPr>
          <w:rFonts w:ascii="宋体" w:hAnsi="宋体" w:eastAsia="宋体" w:cs="宋体"/>
          <w:color w:val="auto"/>
          <w:sz w:val="24"/>
          <w:szCs w:val="24"/>
          <w:lang w:eastAsia="zh-CN"/>
        </w:rPr>
        <w:t xml:space="preserve"> </w:t>
      </w:r>
    </w:p>
    <w:p w14:paraId="147446E7">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8)</w:t>
      </w:r>
      <w:r>
        <w:rPr>
          <w:rFonts w:hint="eastAsia" w:ascii="宋体" w:hAnsi="宋体" w:eastAsia="宋体" w:cs="宋体"/>
          <w:color w:val="auto"/>
          <w:sz w:val="24"/>
          <w:szCs w:val="24"/>
          <w:lang w:eastAsia="zh-CN"/>
        </w:rPr>
        <w:t>要能临床上报，院感审核、临床转归的流程；上报卡按未审、已确认、非院感等状态进行分类展示；（要有修改已上报院感病例的权限），（每月漏报率）</w:t>
      </w:r>
      <w:r>
        <w:rPr>
          <w:rFonts w:ascii="宋体" w:hAnsi="宋体" w:eastAsia="宋体" w:cs="宋体"/>
          <w:color w:val="auto"/>
          <w:sz w:val="24"/>
          <w:szCs w:val="24"/>
          <w:lang w:eastAsia="zh-CN"/>
        </w:rPr>
        <w:t>。</w:t>
      </w:r>
    </w:p>
    <w:p w14:paraId="3312191E">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9)</w:t>
      </w:r>
      <w:r>
        <w:rPr>
          <w:rFonts w:hint="eastAsia" w:ascii="宋体" w:hAnsi="宋体" w:eastAsia="宋体" w:cs="宋体"/>
          <w:color w:val="auto"/>
          <w:sz w:val="24"/>
          <w:szCs w:val="24"/>
          <w:lang w:eastAsia="zh-CN"/>
        </w:rPr>
        <w:t>上报卡中包含患者基本信息、感染情况、易感因素、微生物送检情况、药敏结果、手术情况和院内感染时体征等信息。</w:t>
      </w:r>
      <w:r>
        <w:rPr>
          <w:rFonts w:ascii="宋体" w:hAnsi="宋体" w:eastAsia="宋体" w:cs="宋体"/>
          <w:color w:val="auto"/>
          <w:sz w:val="24"/>
          <w:szCs w:val="24"/>
          <w:lang w:eastAsia="zh-CN"/>
        </w:rPr>
        <w:t xml:space="preserve"> </w:t>
      </w:r>
    </w:p>
    <w:p w14:paraId="026D94AB">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10)</w:t>
      </w:r>
      <w:r>
        <w:rPr>
          <w:rFonts w:hint="eastAsia" w:ascii="宋体" w:hAnsi="宋体" w:eastAsia="宋体" w:cs="宋体"/>
          <w:color w:val="auto"/>
          <w:sz w:val="24"/>
          <w:szCs w:val="24"/>
          <w:lang w:eastAsia="zh-CN"/>
        </w:rPr>
        <w:t>要能自定义易感因素和侵入性操作。</w:t>
      </w:r>
    </w:p>
    <w:p w14:paraId="333E6177">
      <w:pPr>
        <w:pStyle w:val="188"/>
        <w:kinsoku w:val="0"/>
        <w:overflowPunct w:val="0"/>
        <w:spacing w:before="43" w:line="360" w:lineRule="auto"/>
        <w:ind w:left="103" w:right="102" w:firstLine="482"/>
        <w:rPr>
          <w:rFonts w:hint="eastAsia" w:ascii="宋体" w:hAnsi="宋体" w:eastAsia="宋体" w:cs="宋体"/>
          <w:color w:val="auto"/>
          <w:sz w:val="24"/>
          <w:szCs w:val="24"/>
          <w:lang w:eastAsia="zh-CN"/>
        </w:rPr>
      </w:pPr>
      <w:r>
        <w:rPr>
          <w:rFonts w:ascii="宋体" w:hAnsi="宋体" w:eastAsia="宋体" w:cs="宋体"/>
          <w:color w:val="auto"/>
          <w:sz w:val="24"/>
          <w:szCs w:val="24"/>
          <w:lang w:eastAsia="zh-CN"/>
        </w:rPr>
        <w:t>11)</w:t>
      </w:r>
      <w:r>
        <w:rPr>
          <w:rFonts w:hint="eastAsia" w:ascii="宋体" w:hAnsi="宋体" w:eastAsia="宋体" w:cs="宋体"/>
          <w:color w:val="auto"/>
          <w:sz w:val="24"/>
          <w:szCs w:val="24"/>
          <w:lang w:eastAsia="zh-CN"/>
        </w:rPr>
        <w:t>要能对上报卡进行干预提示消息。</w:t>
      </w:r>
    </w:p>
    <w:p w14:paraId="3E4C1302">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3" w:name="_Toc150931831"/>
      <w:r>
        <w:rPr>
          <w:rFonts w:hint="eastAsia" w:ascii="宋体" w:hAnsi="宋体" w:eastAsia="宋体" w:cs="宋体"/>
          <w:b/>
          <w:bCs/>
          <w:color w:val="auto"/>
          <w:sz w:val="24"/>
          <w:szCs w:val="24"/>
          <w:lang w:eastAsia="zh-CN"/>
        </w:rPr>
        <w:t>自动智能预警疑似病例</w:t>
      </w:r>
      <w:bookmarkEnd w:id="353"/>
    </w:p>
    <w:p w14:paraId="46D41419">
      <w:pPr>
        <w:bidi w:val="0"/>
        <w:rPr>
          <w:rFonts w:hint="eastAsia"/>
          <w:color w:val="auto"/>
          <w:lang w:eastAsia="zh-CN"/>
        </w:rPr>
      </w:pPr>
      <w:r>
        <w:rPr>
          <w:color w:val="auto"/>
          <w:lang w:eastAsia="zh-CN"/>
        </w:rPr>
        <w:t>1)</w:t>
      </w:r>
      <w:r>
        <w:rPr>
          <w:rFonts w:hint="eastAsia"/>
          <w:color w:val="auto"/>
          <w:lang w:eastAsia="zh-CN"/>
        </w:rPr>
        <w:t>要能设置疑似预警条件</w:t>
      </w:r>
      <w:r>
        <w:rPr>
          <w:color w:val="auto"/>
          <w:lang w:eastAsia="zh-CN"/>
        </w:rPr>
        <w:t>,</w:t>
      </w:r>
      <w:r>
        <w:rPr>
          <w:rFonts w:hint="eastAsia"/>
          <w:color w:val="auto"/>
          <w:lang w:eastAsia="zh-CN"/>
        </w:rPr>
        <w:t>可以多条件</w:t>
      </w:r>
      <w:r>
        <w:rPr>
          <w:color w:val="auto"/>
          <w:lang w:eastAsia="zh-CN"/>
        </w:rPr>
        <w:t>,</w:t>
      </w:r>
      <w:r>
        <w:rPr>
          <w:rFonts w:hint="eastAsia"/>
          <w:color w:val="auto"/>
          <w:lang w:eastAsia="zh-CN"/>
        </w:rPr>
        <w:t>多组合。</w:t>
      </w:r>
      <w:r>
        <w:rPr>
          <w:color w:val="auto"/>
          <w:lang w:eastAsia="zh-CN"/>
        </w:rPr>
        <w:t xml:space="preserve"> </w:t>
      </w:r>
    </w:p>
    <w:p w14:paraId="26186EFE">
      <w:pPr>
        <w:bidi w:val="0"/>
        <w:rPr>
          <w:rFonts w:hint="eastAsia"/>
          <w:color w:val="auto"/>
          <w:lang w:eastAsia="zh-CN"/>
        </w:rPr>
      </w:pPr>
      <w:r>
        <w:rPr>
          <w:color w:val="auto"/>
          <w:lang w:eastAsia="zh-CN"/>
        </w:rPr>
        <w:t>2)</w:t>
      </w:r>
      <w:r>
        <w:rPr>
          <w:rFonts w:hint="eastAsia"/>
          <w:color w:val="auto"/>
          <w:lang w:eastAsia="zh-CN"/>
        </w:rPr>
        <w:t>要能自动根据条件从全院病例搜索出医院感染疑似病例，提高工作效率。</w:t>
      </w:r>
    </w:p>
    <w:p w14:paraId="04B680A3">
      <w:pPr>
        <w:bidi w:val="0"/>
        <w:rPr>
          <w:rFonts w:hint="eastAsia"/>
          <w:color w:val="auto"/>
          <w:lang w:eastAsia="zh-CN"/>
        </w:rPr>
      </w:pPr>
      <w:r>
        <w:rPr>
          <w:color w:val="auto"/>
          <w:lang w:eastAsia="zh-CN"/>
        </w:rPr>
        <w:t>3)</w:t>
      </w:r>
      <w:r>
        <w:rPr>
          <w:rFonts w:hint="eastAsia"/>
          <w:color w:val="auto"/>
          <w:lang w:eastAsia="zh-CN"/>
        </w:rPr>
        <w:t>要能根据预警提示，院感科人员要能直接查看详细电子病历</w:t>
      </w:r>
      <w:r>
        <w:rPr>
          <w:color w:val="auto"/>
          <w:lang w:eastAsia="zh-CN"/>
        </w:rPr>
        <w:t>,</w:t>
      </w:r>
      <w:r>
        <w:rPr>
          <w:rFonts w:hint="eastAsia"/>
          <w:color w:val="auto"/>
          <w:lang w:eastAsia="zh-CN"/>
        </w:rPr>
        <w:t>例进行重点排查，进行补报，防止漏报。</w:t>
      </w:r>
      <w:r>
        <w:rPr>
          <w:color w:val="auto"/>
          <w:lang w:eastAsia="zh-CN"/>
        </w:rPr>
        <w:t xml:space="preserve"> </w:t>
      </w:r>
    </w:p>
    <w:p w14:paraId="27E5DFCA">
      <w:pPr>
        <w:bidi w:val="0"/>
        <w:rPr>
          <w:rFonts w:hint="eastAsia"/>
          <w:color w:val="auto"/>
          <w:lang w:eastAsia="zh-CN"/>
        </w:rPr>
      </w:pPr>
      <w:r>
        <w:rPr>
          <w:color w:val="auto"/>
          <w:lang w:eastAsia="zh-CN"/>
        </w:rPr>
        <w:t>4)</w:t>
      </w:r>
      <w:r>
        <w:rPr>
          <w:rFonts w:hint="eastAsia"/>
          <w:color w:val="auto"/>
          <w:lang w:eastAsia="zh-CN"/>
        </w:rPr>
        <w:t>所有疑似病例要按院感指标</w:t>
      </w:r>
      <w:r>
        <w:rPr>
          <w:color w:val="auto"/>
          <w:lang w:eastAsia="zh-CN"/>
        </w:rPr>
        <w:t>,</w:t>
      </w:r>
      <w:r>
        <w:rPr>
          <w:rFonts w:hint="eastAsia"/>
          <w:color w:val="auto"/>
          <w:lang w:eastAsia="zh-CN"/>
        </w:rPr>
        <w:t>住院时间</w:t>
      </w:r>
      <w:r>
        <w:rPr>
          <w:color w:val="auto"/>
          <w:lang w:eastAsia="zh-CN"/>
        </w:rPr>
        <w:t>,</w:t>
      </w:r>
      <w:r>
        <w:rPr>
          <w:rFonts w:hint="eastAsia"/>
          <w:color w:val="auto"/>
          <w:lang w:eastAsia="zh-CN"/>
        </w:rPr>
        <w:t>组合排列成院感时序图</w:t>
      </w:r>
      <w:r>
        <w:rPr>
          <w:color w:val="auto"/>
          <w:lang w:eastAsia="zh-CN"/>
        </w:rPr>
        <w:t>,</w:t>
      </w:r>
      <w:r>
        <w:rPr>
          <w:rFonts w:hint="eastAsia"/>
          <w:color w:val="auto"/>
          <w:lang w:eastAsia="zh-CN"/>
        </w:rPr>
        <w:t>方便查看疑似病人的相关重点情况。</w:t>
      </w:r>
      <w:r>
        <w:rPr>
          <w:color w:val="auto"/>
          <w:lang w:eastAsia="zh-CN"/>
        </w:rPr>
        <w:t xml:space="preserve"> </w:t>
      </w:r>
    </w:p>
    <w:p w14:paraId="11C36260">
      <w:pPr>
        <w:bidi w:val="0"/>
        <w:rPr>
          <w:rFonts w:hint="eastAsia"/>
          <w:color w:val="auto"/>
          <w:lang w:eastAsia="zh-CN"/>
        </w:rPr>
      </w:pPr>
      <w:r>
        <w:rPr>
          <w:color w:val="auto"/>
          <w:lang w:eastAsia="zh-CN"/>
        </w:rPr>
        <w:t>5)</w:t>
      </w:r>
      <w:r>
        <w:rPr>
          <w:rFonts w:hint="eastAsia"/>
          <w:color w:val="auto"/>
          <w:lang w:eastAsia="zh-CN"/>
        </w:rPr>
        <w:t>要能就疑似病例直接与医生消息沟通，反馈，医生端要有提示，方便快速处理报卡等。</w:t>
      </w:r>
      <w:r>
        <w:rPr>
          <w:color w:val="auto"/>
          <w:lang w:eastAsia="zh-CN"/>
        </w:rPr>
        <w:t xml:space="preserve"> </w:t>
      </w:r>
    </w:p>
    <w:p w14:paraId="6746F10F">
      <w:pPr>
        <w:bidi w:val="0"/>
        <w:rPr>
          <w:rFonts w:hint="eastAsia"/>
          <w:color w:val="auto"/>
          <w:lang w:eastAsia="zh-CN"/>
        </w:rPr>
      </w:pPr>
      <w:r>
        <w:rPr>
          <w:color w:val="auto"/>
          <w:lang w:eastAsia="zh-CN"/>
        </w:rPr>
        <w:t>6)</w:t>
      </w:r>
      <w:r>
        <w:rPr>
          <w:rFonts w:hint="eastAsia"/>
          <w:color w:val="auto"/>
          <w:lang w:eastAsia="zh-CN"/>
        </w:rPr>
        <w:t>要能根据《医院感染诊断标准》，结合院感专家的专业知识，采用大数据智能预警模型，对在院病例进行智能预警。</w:t>
      </w:r>
      <w:r>
        <w:rPr>
          <w:color w:val="auto"/>
          <w:lang w:eastAsia="zh-CN"/>
        </w:rPr>
        <w:t xml:space="preserve"> </w:t>
      </w:r>
    </w:p>
    <w:p w14:paraId="60AE3B44">
      <w:pPr>
        <w:bidi w:val="0"/>
        <w:rPr>
          <w:rFonts w:hint="eastAsia"/>
          <w:color w:val="auto"/>
          <w:lang w:eastAsia="zh-CN"/>
        </w:rPr>
      </w:pPr>
      <w:r>
        <w:rPr>
          <w:color w:val="auto"/>
          <w:lang w:eastAsia="zh-CN"/>
        </w:rPr>
        <w:t>7)</w:t>
      </w:r>
      <w:r>
        <w:rPr>
          <w:rFonts w:hint="eastAsia"/>
          <w:color w:val="auto"/>
          <w:lang w:eastAsia="zh-CN"/>
        </w:rPr>
        <w:t>要能自动生成带疑似度的疑似病例并提醒相关人员处理，无需手动筛选。</w:t>
      </w:r>
    </w:p>
    <w:p w14:paraId="051C4D76">
      <w:pPr>
        <w:bidi w:val="0"/>
        <w:rPr>
          <w:rFonts w:hint="eastAsia"/>
          <w:color w:val="auto"/>
          <w:lang w:eastAsia="zh-CN"/>
        </w:rPr>
      </w:pPr>
      <w:r>
        <w:rPr>
          <w:color w:val="auto"/>
          <w:lang w:eastAsia="zh-CN"/>
        </w:rPr>
        <w:t>8)</w:t>
      </w:r>
      <w:r>
        <w:rPr>
          <w:rFonts w:hint="eastAsia"/>
          <w:color w:val="auto"/>
          <w:lang w:eastAsia="zh-CN"/>
        </w:rPr>
        <w:t>已有智能预警关键字和值可根据医院需求适当调整参数。</w:t>
      </w:r>
      <w:r>
        <w:rPr>
          <w:color w:val="auto"/>
          <w:lang w:eastAsia="zh-CN"/>
        </w:rPr>
        <w:t xml:space="preserve"> </w:t>
      </w:r>
    </w:p>
    <w:p w14:paraId="72A2A7F0">
      <w:pPr>
        <w:bidi w:val="0"/>
        <w:rPr>
          <w:rFonts w:hint="eastAsia"/>
          <w:color w:val="auto"/>
          <w:lang w:eastAsia="zh-CN"/>
        </w:rPr>
      </w:pPr>
      <w:r>
        <w:rPr>
          <w:color w:val="auto"/>
          <w:lang w:eastAsia="zh-CN"/>
        </w:rPr>
        <w:t>9)</w:t>
      </w:r>
      <w:r>
        <w:rPr>
          <w:rFonts w:hint="eastAsia"/>
          <w:color w:val="auto"/>
          <w:lang w:eastAsia="zh-CN"/>
        </w:rPr>
        <w:t>要能分科室展示预警病例，院感科可查看全院科室，临床医生只能查看自己所在科室。</w:t>
      </w:r>
      <w:r>
        <w:rPr>
          <w:color w:val="auto"/>
          <w:lang w:eastAsia="zh-CN"/>
        </w:rPr>
        <w:t xml:space="preserve"> </w:t>
      </w:r>
    </w:p>
    <w:p w14:paraId="7B60795E">
      <w:pPr>
        <w:bidi w:val="0"/>
        <w:rPr>
          <w:rFonts w:hint="eastAsia"/>
          <w:color w:val="auto"/>
          <w:lang w:eastAsia="zh-CN"/>
        </w:rPr>
      </w:pPr>
      <w:r>
        <w:rPr>
          <w:color w:val="auto"/>
          <w:lang w:eastAsia="zh-CN"/>
        </w:rPr>
        <w:t>10)</w:t>
      </w:r>
      <w:r>
        <w:rPr>
          <w:rFonts w:hint="eastAsia"/>
          <w:color w:val="auto"/>
          <w:lang w:eastAsia="zh-CN"/>
        </w:rPr>
        <w:t>要能在一个界面中提供病人基本信息、住院日历、侵入式操作医嘱、白细胞变化、中性粒细胞变化、</w:t>
      </w:r>
      <w:r>
        <w:rPr>
          <w:color w:val="auto"/>
          <w:lang w:eastAsia="zh-CN"/>
        </w:rPr>
        <w:t>C-</w:t>
      </w:r>
      <w:r>
        <w:rPr>
          <w:rFonts w:hint="eastAsia"/>
          <w:color w:val="auto"/>
          <w:lang w:eastAsia="zh-CN"/>
        </w:rPr>
        <w:t>反应蛋白变化、体温变化、尿常规检验结果、降钙素检验结果、微生物培养药敏结果和影像</w:t>
      </w:r>
      <w:r>
        <w:rPr>
          <w:color w:val="auto"/>
          <w:lang w:eastAsia="zh-CN"/>
        </w:rPr>
        <w:t xml:space="preserve"> </w:t>
      </w:r>
      <w:r>
        <w:rPr>
          <w:rFonts w:hint="eastAsia"/>
          <w:color w:val="auto"/>
          <w:lang w:eastAsia="zh-CN"/>
        </w:rPr>
        <w:t>检查报告等信息，辅助医生快速诊断。</w:t>
      </w:r>
    </w:p>
    <w:p w14:paraId="4909EEFB">
      <w:pPr>
        <w:bidi w:val="0"/>
        <w:rPr>
          <w:rFonts w:hint="eastAsia"/>
          <w:color w:val="auto"/>
          <w:lang w:eastAsia="zh-CN"/>
        </w:rPr>
      </w:pPr>
      <w:r>
        <w:rPr>
          <w:color w:val="auto"/>
          <w:lang w:eastAsia="zh-CN"/>
        </w:rPr>
        <w:t>11)</w:t>
      </w:r>
      <w:r>
        <w:rPr>
          <w:rFonts w:hint="eastAsia"/>
          <w:color w:val="auto"/>
          <w:lang w:eastAsia="zh-CN"/>
        </w:rPr>
        <w:t>要能直接点击按键或者在右键菜单中进行提醒、上报、待查和排除操作。</w:t>
      </w:r>
    </w:p>
    <w:p w14:paraId="0A23EB4B">
      <w:pPr>
        <w:bidi w:val="0"/>
        <w:rPr>
          <w:rFonts w:hint="eastAsia"/>
          <w:color w:val="auto"/>
          <w:lang w:eastAsia="zh-CN"/>
        </w:rPr>
      </w:pPr>
      <w:r>
        <w:rPr>
          <w:color w:val="auto"/>
          <w:lang w:eastAsia="zh-CN"/>
        </w:rPr>
        <w:t>12)</w:t>
      </w:r>
      <w:r>
        <w:rPr>
          <w:rFonts w:hint="eastAsia"/>
          <w:color w:val="auto"/>
          <w:lang w:eastAsia="zh-CN"/>
        </w:rPr>
        <w:t>要能查看病人历史上报记录和沟通记录。</w:t>
      </w:r>
    </w:p>
    <w:p w14:paraId="2F2E0C52">
      <w:pPr>
        <w:bidi w:val="0"/>
        <w:rPr>
          <w:rFonts w:hint="eastAsia"/>
          <w:color w:val="auto"/>
          <w:lang w:eastAsia="zh-CN"/>
        </w:rPr>
      </w:pPr>
      <w:r>
        <w:rPr>
          <w:color w:val="auto"/>
          <w:lang w:eastAsia="zh-CN"/>
        </w:rPr>
        <w:t>13)</w:t>
      </w:r>
      <w:r>
        <w:rPr>
          <w:rFonts w:hint="eastAsia"/>
          <w:color w:val="auto"/>
          <w:lang w:eastAsia="zh-CN"/>
        </w:rPr>
        <w:t>要能对预警病例进行干预，默认发送给患者主治医生，可自定义内容。</w:t>
      </w:r>
    </w:p>
    <w:p w14:paraId="1BCC3E8D">
      <w:pPr>
        <w:bidi w:val="0"/>
        <w:rPr>
          <w:rFonts w:hint="eastAsia"/>
          <w:color w:val="auto"/>
          <w:lang w:eastAsia="zh-CN"/>
        </w:rPr>
      </w:pPr>
      <w:r>
        <w:rPr>
          <w:color w:val="auto"/>
          <w:lang w:eastAsia="zh-CN"/>
        </w:rPr>
        <w:t>14)</w:t>
      </w:r>
      <w:r>
        <w:rPr>
          <w:rFonts w:hint="eastAsia"/>
          <w:color w:val="auto"/>
          <w:lang w:eastAsia="zh-CN"/>
        </w:rPr>
        <w:t>要能双击预警病例弹出查看病人详细病例。</w:t>
      </w:r>
    </w:p>
    <w:p w14:paraId="5C5CC1D8">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4" w:name="_Toc150931832"/>
      <w:r>
        <w:rPr>
          <w:rFonts w:hint="eastAsia" w:ascii="宋体" w:hAnsi="宋体" w:eastAsia="宋体" w:cs="宋体"/>
          <w:b/>
          <w:bCs/>
          <w:color w:val="auto"/>
          <w:sz w:val="24"/>
          <w:szCs w:val="24"/>
          <w:lang w:eastAsia="zh-CN"/>
        </w:rPr>
        <w:t>详细电子病例信息</w:t>
      </w:r>
      <w:bookmarkEnd w:id="354"/>
    </w:p>
    <w:p w14:paraId="099BBBB8">
      <w:pPr>
        <w:bidi w:val="0"/>
        <w:rPr>
          <w:rFonts w:hint="eastAsia"/>
          <w:color w:val="auto"/>
          <w:lang w:eastAsia="zh-CN"/>
        </w:rPr>
      </w:pPr>
      <w:r>
        <w:rPr>
          <w:color w:val="auto"/>
          <w:lang w:eastAsia="zh-CN"/>
        </w:rPr>
        <w:t>1)</w:t>
      </w:r>
      <w:r>
        <w:rPr>
          <w:rFonts w:hint="eastAsia"/>
          <w:color w:val="auto"/>
          <w:lang w:eastAsia="zh-CN"/>
        </w:rPr>
        <w:t>系统中有住院号的地方就可以直接查询病人的医嘱，检验结果，手术情况，病程记录等电子病历详细信息，要避免了去打开多个</w:t>
      </w:r>
      <w:r>
        <w:rPr>
          <w:color w:val="auto"/>
          <w:lang w:eastAsia="zh-CN"/>
        </w:rPr>
        <w:t xml:space="preserve"> </w:t>
      </w:r>
      <w:r>
        <w:rPr>
          <w:rFonts w:hint="eastAsia"/>
          <w:color w:val="auto"/>
          <w:lang w:eastAsia="zh-CN"/>
        </w:rPr>
        <w:t>系统繁锁查询</w:t>
      </w:r>
      <w:r>
        <w:rPr>
          <w:color w:val="auto"/>
          <w:lang w:eastAsia="zh-CN"/>
        </w:rPr>
        <w:t>,</w:t>
      </w:r>
      <w:r>
        <w:rPr>
          <w:rFonts w:hint="eastAsia"/>
          <w:color w:val="auto"/>
          <w:lang w:eastAsia="zh-CN"/>
        </w:rPr>
        <w:t>院感关键点或异常处要有标识</w:t>
      </w:r>
      <w:r>
        <w:rPr>
          <w:color w:val="auto"/>
          <w:lang w:eastAsia="zh-CN"/>
        </w:rPr>
        <w:t xml:space="preserve"> </w:t>
      </w:r>
    </w:p>
    <w:p w14:paraId="4D745A3E">
      <w:pPr>
        <w:bidi w:val="0"/>
        <w:rPr>
          <w:rFonts w:hint="eastAsia"/>
          <w:color w:val="auto"/>
          <w:lang w:eastAsia="zh-CN"/>
        </w:rPr>
      </w:pPr>
      <w:r>
        <w:rPr>
          <w:color w:val="auto"/>
          <w:lang w:eastAsia="zh-CN"/>
        </w:rPr>
        <w:t>2)</w:t>
      </w:r>
      <w:r>
        <w:rPr>
          <w:rFonts w:hint="eastAsia"/>
          <w:color w:val="auto"/>
          <w:lang w:eastAsia="zh-CN"/>
        </w:rPr>
        <w:t>要能在所有预警界面弹出患者的病例。</w:t>
      </w:r>
      <w:r>
        <w:rPr>
          <w:color w:val="auto"/>
          <w:lang w:eastAsia="zh-CN"/>
        </w:rPr>
        <w:t xml:space="preserve"> </w:t>
      </w:r>
    </w:p>
    <w:p w14:paraId="4E815C04">
      <w:pPr>
        <w:bidi w:val="0"/>
        <w:rPr>
          <w:rFonts w:hint="eastAsia"/>
          <w:color w:val="auto"/>
          <w:lang w:eastAsia="zh-CN"/>
        </w:rPr>
      </w:pPr>
      <w:r>
        <w:rPr>
          <w:color w:val="auto"/>
          <w:lang w:eastAsia="zh-CN"/>
        </w:rPr>
        <w:t>3)</w:t>
      </w:r>
      <w:r>
        <w:rPr>
          <w:rFonts w:hint="eastAsia"/>
          <w:color w:val="auto"/>
          <w:lang w:eastAsia="zh-CN"/>
        </w:rPr>
        <w:t>要能展示患者的基本情况，包括姓名、年龄、性别、科室、床号、住院号、入院时间、出院时间、入院诊断和主治医生等。</w:t>
      </w:r>
      <w:r>
        <w:rPr>
          <w:color w:val="auto"/>
          <w:lang w:eastAsia="zh-CN"/>
        </w:rPr>
        <w:t xml:space="preserve"> </w:t>
      </w:r>
    </w:p>
    <w:p w14:paraId="3EC6B022">
      <w:pPr>
        <w:bidi w:val="0"/>
        <w:rPr>
          <w:rFonts w:hint="eastAsia"/>
          <w:color w:val="auto"/>
          <w:lang w:eastAsia="zh-CN"/>
        </w:rPr>
      </w:pPr>
      <w:r>
        <w:rPr>
          <w:color w:val="auto"/>
          <w:lang w:eastAsia="zh-CN"/>
        </w:rPr>
        <w:t>4)</w:t>
      </w:r>
      <w:r>
        <w:rPr>
          <w:rFonts w:hint="eastAsia"/>
          <w:color w:val="auto"/>
          <w:lang w:eastAsia="zh-CN"/>
        </w:rPr>
        <w:t>要能以图形化展示住院日历，包括患者从入院以来每天的呼吸机、中心静脉置管、导尿管、发热、血常规、尿常规、其他常规、</w:t>
      </w:r>
      <w:r>
        <w:rPr>
          <w:color w:val="auto"/>
          <w:lang w:eastAsia="zh-CN"/>
        </w:rPr>
        <w:t xml:space="preserve">C- </w:t>
      </w:r>
      <w:r>
        <w:rPr>
          <w:rFonts w:hint="eastAsia"/>
          <w:color w:val="auto"/>
          <w:lang w:eastAsia="zh-CN"/>
        </w:rPr>
        <w:t>反应蛋白、降钙素、手术、病原体和抗菌药物等项目的情况。</w:t>
      </w:r>
    </w:p>
    <w:p w14:paraId="669AFAFA">
      <w:pPr>
        <w:bidi w:val="0"/>
        <w:rPr>
          <w:rFonts w:hint="eastAsia"/>
          <w:color w:val="auto"/>
          <w:lang w:eastAsia="zh-CN"/>
        </w:rPr>
      </w:pPr>
      <w:r>
        <w:rPr>
          <w:color w:val="auto"/>
          <w:lang w:eastAsia="zh-CN"/>
        </w:rPr>
        <w:t>5)</w:t>
      </w:r>
      <w:r>
        <w:rPr>
          <w:rFonts w:hint="eastAsia"/>
          <w:color w:val="auto"/>
          <w:lang w:eastAsia="zh-CN"/>
        </w:rPr>
        <w:t>要能查询关于患者的干预消息记录和历史报卡记录。</w:t>
      </w:r>
      <w:r>
        <w:rPr>
          <w:color w:val="auto"/>
          <w:lang w:eastAsia="zh-CN"/>
        </w:rPr>
        <w:t xml:space="preserve"> </w:t>
      </w:r>
    </w:p>
    <w:p w14:paraId="6CF132E5">
      <w:pPr>
        <w:bidi w:val="0"/>
        <w:rPr>
          <w:rFonts w:hint="eastAsia"/>
          <w:color w:val="auto"/>
          <w:lang w:eastAsia="zh-CN"/>
        </w:rPr>
      </w:pPr>
      <w:r>
        <w:rPr>
          <w:color w:val="auto"/>
          <w:lang w:eastAsia="zh-CN"/>
        </w:rPr>
        <w:t>6)</w:t>
      </w:r>
      <w:r>
        <w:rPr>
          <w:rFonts w:hint="eastAsia"/>
          <w:color w:val="auto"/>
          <w:lang w:eastAsia="zh-CN"/>
        </w:rPr>
        <w:t>要能查询患者所有的病历病程，并支持关键字在病历病程中高亮显示，且关键字可自定义。</w:t>
      </w:r>
      <w:r>
        <w:rPr>
          <w:color w:val="auto"/>
          <w:lang w:eastAsia="zh-CN"/>
        </w:rPr>
        <w:t xml:space="preserve"> </w:t>
      </w:r>
    </w:p>
    <w:p w14:paraId="21F582A0">
      <w:pPr>
        <w:bidi w:val="0"/>
        <w:rPr>
          <w:rFonts w:hint="eastAsia"/>
          <w:color w:val="auto"/>
          <w:lang w:eastAsia="zh-CN"/>
        </w:rPr>
      </w:pPr>
      <w:r>
        <w:rPr>
          <w:color w:val="auto"/>
          <w:lang w:eastAsia="zh-CN"/>
        </w:rPr>
        <w:t>7)</w:t>
      </w:r>
      <w:r>
        <w:rPr>
          <w:rFonts w:hint="eastAsia"/>
          <w:color w:val="auto"/>
          <w:lang w:eastAsia="zh-CN"/>
        </w:rPr>
        <w:t>要能查询患者的影像检查报告，包括放射、超声和其他。</w:t>
      </w:r>
      <w:r>
        <w:rPr>
          <w:color w:val="auto"/>
          <w:lang w:eastAsia="zh-CN"/>
        </w:rPr>
        <w:t xml:space="preserve"> </w:t>
      </w:r>
    </w:p>
    <w:p w14:paraId="7EF480AA">
      <w:pPr>
        <w:bidi w:val="0"/>
        <w:rPr>
          <w:rFonts w:hint="eastAsia"/>
          <w:color w:val="auto"/>
          <w:lang w:eastAsia="zh-CN"/>
        </w:rPr>
      </w:pPr>
      <w:r>
        <w:rPr>
          <w:color w:val="auto"/>
          <w:lang w:eastAsia="zh-CN"/>
        </w:rPr>
        <w:t>8)</w:t>
      </w:r>
      <w:r>
        <w:rPr>
          <w:rFonts w:hint="eastAsia"/>
          <w:color w:val="auto"/>
          <w:lang w:eastAsia="zh-CN"/>
        </w:rPr>
        <w:t>要能查询患者的常规检验结果，包括血常规、尿常规等，检验结果。</w:t>
      </w:r>
      <w:r>
        <w:rPr>
          <w:color w:val="auto"/>
          <w:lang w:eastAsia="zh-CN"/>
        </w:rPr>
        <w:t xml:space="preserve"> </w:t>
      </w:r>
    </w:p>
    <w:p w14:paraId="63D3DF8C">
      <w:pPr>
        <w:bidi w:val="0"/>
        <w:rPr>
          <w:rFonts w:hint="eastAsia"/>
          <w:color w:val="auto"/>
          <w:lang w:eastAsia="zh-CN"/>
        </w:rPr>
      </w:pPr>
      <w:r>
        <w:rPr>
          <w:color w:val="auto"/>
          <w:lang w:eastAsia="zh-CN"/>
        </w:rPr>
        <w:t>9)</w:t>
      </w:r>
      <w:r>
        <w:rPr>
          <w:rFonts w:hint="eastAsia"/>
          <w:color w:val="auto"/>
          <w:lang w:eastAsia="zh-CN"/>
        </w:rPr>
        <w:t>要能查询患者的微生物培养结果，当培养结果为阳性时，展示药敏结果。</w:t>
      </w:r>
      <w:r>
        <w:rPr>
          <w:color w:val="auto"/>
          <w:lang w:eastAsia="zh-CN"/>
        </w:rPr>
        <w:t xml:space="preserve"> </w:t>
      </w:r>
    </w:p>
    <w:p w14:paraId="5BD3455B">
      <w:pPr>
        <w:bidi w:val="0"/>
        <w:rPr>
          <w:rFonts w:hint="eastAsia"/>
          <w:color w:val="auto"/>
          <w:lang w:eastAsia="zh-CN"/>
        </w:rPr>
      </w:pPr>
      <w:r>
        <w:rPr>
          <w:color w:val="auto"/>
          <w:lang w:eastAsia="zh-CN"/>
        </w:rPr>
        <w:t>10)</w:t>
      </w:r>
      <w:r>
        <w:rPr>
          <w:rFonts w:hint="eastAsia"/>
          <w:color w:val="auto"/>
          <w:lang w:eastAsia="zh-CN"/>
        </w:rPr>
        <w:t>要能查询患者的所有医嘱信息，对于院感所关心的的医嘱，以不同的颜色标识出来。</w:t>
      </w:r>
      <w:r>
        <w:rPr>
          <w:color w:val="auto"/>
          <w:lang w:eastAsia="zh-CN"/>
        </w:rPr>
        <w:t xml:space="preserve"> </w:t>
      </w:r>
    </w:p>
    <w:p w14:paraId="5AD4A56D">
      <w:pPr>
        <w:bidi w:val="0"/>
        <w:rPr>
          <w:rFonts w:hint="eastAsia"/>
          <w:color w:val="auto"/>
          <w:lang w:eastAsia="zh-CN"/>
        </w:rPr>
      </w:pPr>
      <w:r>
        <w:rPr>
          <w:color w:val="auto"/>
          <w:lang w:eastAsia="zh-CN"/>
        </w:rPr>
        <w:t>11)</w:t>
      </w:r>
      <w:r>
        <w:rPr>
          <w:rFonts w:hint="eastAsia"/>
          <w:color w:val="auto"/>
          <w:lang w:eastAsia="zh-CN"/>
        </w:rPr>
        <w:t>要能查询患者的手术信息，体温信息。</w:t>
      </w:r>
    </w:p>
    <w:p w14:paraId="5A1BB45B">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5" w:name="_Toc150931833"/>
      <w:r>
        <w:rPr>
          <w:rFonts w:hint="eastAsia" w:ascii="宋体" w:hAnsi="宋体" w:eastAsia="宋体" w:cs="宋体"/>
          <w:b/>
          <w:bCs/>
          <w:color w:val="auto"/>
          <w:sz w:val="24"/>
          <w:szCs w:val="24"/>
          <w:lang w:eastAsia="zh-CN"/>
        </w:rPr>
        <w:t>抗菌药物监测</w:t>
      </w:r>
      <w:bookmarkEnd w:id="355"/>
    </w:p>
    <w:p w14:paraId="46F31805">
      <w:pPr>
        <w:bidi w:val="0"/>
        <w:rPr>
          <w:rFonts w:hint="eastAsia"/>
          <w:color w:val="auto"/>
          <w:lang w:eastAsia="zh-CN"/>
        </w:rPr>
      </w:pPr>
      <w:r>
        <w:rPr>
          <w:color w:val="auto"/>
          <w:lang w:eastAsia="zh-CN"/>
        </w:rPr>
        <w:t>1)</w:t>
      </w:r>
      <w:r>
        <w:rPr>
          <w:rFonts w:hint="eastAsia"/>
          <w:color w:val="auto"/>
          <w:lang w:eastAsia="zh-CN"/>
        </w:rPr>
        <w:t>要能自动收集全院病人的抗菌药物（口服、静脉）使用情况</w:t>
      </w:r>
      <w:r>
        <w:rPr>
          <w:color w:val="auto"/>
          <w:lang w:eastAsia="zh-CN"/>
        </w:rPr>
        <w:t>,</w:t>
      </w:r>
      <w:r>
        <w:rPr>
          <w:rFonts w:hint="eastAsia"/>
          <w:color w:val="auto"/>
          <w:lang w:eastAsia="zh-CN"/>
        </w:rPr>
        <w:t>。</w:t>
      </w:r>
    </w:p>
    <w:p w14:paraId="4F846C4E">
      <w:pPr>
        <w:bidi w:val="0"/>
        <w:rPr>
          <w:rFonts w:hint="eastAsia"/>
          <w:color w:val="auto"/>
          <w:lang w:eastAsia="zh-CN"/>
        </w:rPr>
      </w:pPr>
      <w:r>
        <w:rPr>
          <w:color w:val="auto"/>
          <w:lang w:eastAsia="zh-CN"/>
        </w:rPr>
        <w:t>2)</w:t>
      </w:r>
      <w:r>
        <w:rPr>
          <w:rFonts w:hint="eastAsia"/>
          <w:color w:val="auto"/>
          <w:lang w:eastAsia="zh-CN"/>
        </w:rPr>
        <w:t>要能抗菌药物分线管理</w:t>
      </w:r>
      <w:r>
        <w:rPr>
          <w:color w:val="auto"/>
          <w:lang w:eastAsia="zh-CN"/>
        </w:rPr>
        <w:t>,</w:t>
      </w:r>
      <w:r>
        <w:rPr>
          <w:rFonts w:hint="eastAsia"/>
          <w:color w:val="auto"/>
          <w:lang w:eastAsia="zh-CN"/>
        </w:rPr>
        <w:t>根据抗菌药物分线使用及分级管理办法，自动统计出越权用药的详细情况。</w:t>
      </w:r>
    </w:p>
    <w:p w14:paraId="4F3BE58B">
      <w:pPr>
        <w:bidi w:val="0"/>
        <w:rPr>
          <w:rFonts w:hint="eastAsia"/>
          <w:color w:val="auto"/>
          <w:lang w:eastAsia="zh-CN"/>
        </w:rPr>
      </w:pPr>
      <w:r>
        <w:rPr>
          <w:color w:val="auto"/>
          <w:lang w:eastAsia="zh-CN"/>
        </w:rPr>
        <w:t>3)</w:t>
      </w:r>
      <w:r>
        <w:rPr>
          <w:rFonts w:hint="eastAsia"/>
          <w:color w:val="auto"/>
          <w:lang w:eastAsia="zh-CN"/>
        </w:rPr>
        <w:t>抗菌药物使用的送检率及阳性率统计。</w:t>
      </w:r>
    </w:p>
    <w:p w14:paraId="78B63EE6">
      <w:pPr>
        <w:bidi w:val="0"/>
        <w:rPr>
          <w:rFonts w:hint="eastAsia"/>
          <w:color w:val="auto"/>
          <w:lang w:eastAsia="zh-CN"/>
        </w:rPr>
      </w:pPr>
      <w:r>
        <w:rPr>
          <w:color w:val="auto"/>
          <w:lang w:eastAsia="zh-CN"/>
        </w:rPr>
        <w:t>4)</w:t>
      </w:r>
      <w:r>
        <w:rPr>
          <w:rFonts w:hint="eastAsia"/>
          <w:color w:val="auto"/>
          <w:lang w:eastAsia="zh-CN"/>
        </w:rPr>
        <w:t>要能按科室分类，自动计算住院患者抗菌药物使用率。</w:t>
      </w:r>
    </w:p>
    <w:p w14:paraId="72E1F5E6">
      <w:pPr>
        <w:bidi w:val="0"/>
        <w:rPr>
          <w:rFonts w:hint="eastAsia"/>
          <w:color w:val="auto"/>
          <w:lang w:eastAsia="zh-CN"/>
        </w:rPr>
      </w:pPr>
      <w:r>
        <w:rPr>
          <w:color w:val="auto"/>
          <w:lang w:eastAsia="zh-CN"/>
        </w:rPr>
        <w:t>5)</w:t>
      </w:r>
      <w:r>
        <w:rPr>
          <w:rFonts w:hint="eastAsia"/>
          <w:color w:val="auto"/>
          <w:lang w:eastAsia="zh-CN"/>
        </w:rPr>
        <w:t>要能按科室分类，自动计算非限制级、限制级和特殊级抗菌药物使用人数和使用率；</w:t>
      </w:r>
      <w:r>
        <w:rPr>
          <w:color w:val="auto"/>
          <w:lang w:eastAsia="zh-CN"/>
        </w:rPr>
        <w:t xml:space="preserve">  </w:t>
      </w:r>
    </w:p>
    <w:p w14:paraId="04DC8E01">
      <w:pPr>
        <w:bidi w:val="0"/>
        <w:rPr>
          <w:rFonts w:hint="eastAsia"/>
          <w:color w:val="auto"/>
          <w:lang w:eastAsia="zh-CN"/>
        </w:rPr>
      </w:pPr>
      <w:r>
        <w:rPr>
          <w:color w:val="auto"/>
          <w:lang w:eastAsia="zh-CN"/>
        </w:rPr>
        <w:t>6)</w:t>
      </w:r>
      <w:r>
        <w:rPr>
          <w:rFonts w:hint="eastAsia"/>
          <w:color w:val="auto"/>
          <w:lang w:eastAsia="zh-CN"/>
        </w:rPr>
        <w:t>要能按科室分类，自动计算使用和未使用抗菌药物的患者人数和使用率；</w:t>
      </w:r>
    </w:p>
    <w:p w14:paraId="5775D864">
      <w:pPr>
        <w:bidi w:val="0"/>
        <w:rPr>
          <w:rFonts w:hint="eastAsia"/>
          <w:color w:val="auto"/>
          <w:lang w:eastAsia="zh-CN"/>
        </w:rPr>
      </w:pPr>
      <w:r>
        <w:rPr>
          <w:color w:val="auto"/>
          <w:lang w:eastAsia="zh-CN"/>
        </w:rPr>
        <w:t>7)</w:t>
      </w:r>
      <w:r>
        <w:rPr>
          <w:rFonts w:hint="eastAsia"/>
          <w:color w:val="auto"/>
          <w:lang w:eastAsia="zh-CN"/>
        </w:rPr>
        <w:t>要能按科室分类，自动计算使用一联、二联、三联及以上抗菌药物的患者人数和使用率；</w:t>
      </w:r>
    </w:p>
    <w:p w14:paraId="051442CC">
      <w:pPr>
        <w:bidi w:val="0"/>
        <w:rPr>
          <w:rFonts w:hint="eastAsia"/>
          <w:color w:val="auto"/>
          <w:lang w:eastAsia="zh-CN"/>
        </w:rPr>
      </w:pPr>
      <w:r>
        <w:rPr>
          <w:color w:val="auto"/>
          <w:lang w:eastAsia="zh-CN"/>
        </w:rPr>
        <w:t>8)</w:t>
      </w:r>
      <w:r>
        <w:rPr>
          <w:rFonts w:hint="eastAsia"/>
          <w:color w:val="auto"/>
          <w:lang w:eastAsia="zh-CN"/>
        </w:rPr>
        <w:t>要能按医生分类，自动计算使用和未使用抗菌药物的患者人数和使用率。</w:t>
      </w:r>
      <w:r>
        <w:rPr>
          <w:color w:val="auto"/>
          <w:lang w:eastAsia="zh-CN"/>
        </w:rPr>
        <w:t xml:space="preserve"> </w:t>
      </w:r>
    </w:p>
    <w:p w14:paraId="7649216B">
      <w:pPr>
        <w:bidi w:val="0"/>
        <w:rPr>
          <w:rFonts w:hint="eastAsia"/>
          <w:color w:val="auto"/>
          <w:lang w:eastAsia="zh-CN"/>
        </w:rPr>
      </w:pPr>
      <w:r>
        <w:rPr>
          <w:color w:val="auto"/>
          <w:lang w:eastAsia="zh-CN"/>
        </w:rPr>
        <w:t>9)</w:t>
      </w:r>
      <w:r>
        <w:rPr>
          <w:rFonts w:hint="eastAsia"/>
          <w:color w:val="auto"/>
          <w:lang w:eastAsia="zh-CN"/>
        </w:rPr>
        <w:t>要能按科室分类，自动计算抗菌药物治疗前病原学送检率（区分接受两个或以上重点药物联合使用前病原学送检率）；可自定义排序。</w:t>
      </w:r>
    </w:p>
    <w:p w14:paraId="02FE27EB">
      <w:pPr>
        <w:bidi w:val="0"/>
        <w:rPr>
          <w:rFonts w:hint="eastAsia"/>
          <w:color w:val="auto"/>
          <w:lang w:eastAsia="zh-CN"/>
        </w:rPr>
      </w:pPr>
      <w:r>
        <w:rPr>
          <w:color w:val="auto"/>
          <w:lang w:eastAsia="zh-CN"/>
        </w:rPr>
        <w:t>10)</w:t>
      </w:r>
      <w:r>
        <w:rPr>
          <w:rFonts w:hint="eastAsia"/>
          <w:color w:val="auto"/>
          <w:lang w:eastAsia="zh-CN"/>
        </w:rPr>
        <w:t>要能按科室分类，自动计算非限制级、限制级和特殊级抗菌药物使用人数、送检人数和送检率。</w:t>
      </w:r>
    </w:p>
    <w:p w14:paraId="42D9324C">
      <w:pPr>
        <w:bidi w:val="0"/>
        <w:rPr>
          <w:rFonts w:hint="eastAsia" w:ascii="宋体" w:hAnsi="宋体" w:eastAsia="宋体" w:cs="宋体"/>
          <w:color w:val="auto"/>
          <w:sz w:val="24"/>
          <w:szCs w:val="24"/>
          <w:lang w:eastAsia="zh-CN"/>
        </w:rPr>
      </w:pPr>
      <w:r>
        <w:rPr>
          <w:color w:val="auto"/>
          <w:lang w:eastAsia="zh-CN"/>
        </w:rPr>
        <w:t>11)</w:t>
      </w:r>
      <w:r>
        <w:rPr>
          <w:rFonts w:hint="eastAsia"/>
          <w:color w:val="auto"/>
          <w:lang w:eastAsia="zh-CN"/>
        </w:rPr>
        <w:t>要能按科室分类，自动计算预防、治疗用药的用药目的使用人数、</w:t>
      </w:r>
      <w:r>
        <w:rPr>
          <w:color w:val="auto"/>
          <w:lang w:eastAsia="zh-CN"/>
        </w:rPr>
        <w:t xml:space="preserve"> </w:t>
      </w:r>
      <w:r>
        <w:rPr>
          <w:rFonts w:hint="eastAsia"/>
          <w:color w:val="auto"/>
          <w:lang w:eastAsia="zh-CN"/>
        </w:rPr>
        <w:t>送检人数和送检率；（前提条件是医生开医嘱使用抗生素时要明确是预防用药还是治疗用药）。注：开医嘱要有提示，提示医生使用前病原学送检、预防、治疗还是预防+治疗用药，未勾选不能发送医嘱。</w:t>
      </w:r>
    </w:p>
    <w:p w14:paraId="1DF3BD75">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6" w:name="_Toc150931834"/>
      <w:r>
        <w:rPr>
          <w:rFonts w:hint="eastAsia" w:ascii="宋体" w:hAnsi="宋体" w:eastAsia="宋体" w:cs="宋体"/>
          <w:b/>
          <w:bCs/>
          <w:color w:val="auto"/>
          <w:sz w:val="24"/>
          <w:szCs w:val="24"/>
          <w:lang w:eastAsia="zh-CN"/>
        </w:rPr>
        <w:t>病原体监测</w:t>
      </w:r>
      <w:bookmarkEnd w:id="356"/>
    </w:p>
    <w:p w14:paraId="5FA5BB85">
      <w:pPr>
        <w:bidi w:val="0"/>
        <w:rPr>
          <w:rFonts w:hint="eastAsia"/>
          <w:color w:val="auto"/>
          <w:lang w:eastAsia="zh-CN"/>
        </w:rPr>
      </w:pPr>
      <w:r>
        <w:rPr>
          <w:color w:val="auto"/>
          <w:lang w:eastAsia="zh-CN"/>
        </w:rPr>
        <w:t>1)</w:t>
      </w:r>
      <w:r>
        <w:rPr>
          <w:rFonts w:hint="eastAsia"/>
          <w:color w:val="auto"/>
          <w:lang w:eastAsia="zh-CN"/>
        </w:rPr>
        <w:t>要能自动从</w:t>
      </w:r>
      <w:r>
        <w:rPr>
          <w:color w:val="auto"/>
          <w:lang w:eastAsia="zh-CN"/>
        </w:rPr>
        <w:t xml:space="preserve"> LIS </w:t>
      </w:r>
      <w:r>
        <w:rPr>
          <w:rFonts w:hint="eastAsia"/>
          <w:color w:val="auto"/>
          <w:lang w:eastAsia="zh-CN"/>
        </w:rPr>
        <w:t>系统收集全院病人的微生物检验结果</w:t>
      </w:r>
      <w:r>
        <w:rPr>
          <w:color w:val="auto"/>
          <w:lang w:eastAsia="zh-CN"/>
        </w:rPr>
        <w:t>,</w:t>
      </w:r>
      <w:r>
        <w:rPr>
          <w:rFonts w:hint="eastAsia"/>
          <w:color w:val="auto"/>
          <w:lang w:eastAsia="zh-CN"/>
        </w:rPr>
        <w:t>自动分析。</w:t>
      </w:r>
    </w:p>
    <w:p w14:paraId="5C497E76">
      <w:pPr>
        <w:bidi w:val="0"/>
        <w:rPr>
          <w:rFonts w:hint="eastAsia"/>
          <w:color w:val="auto"/>
          <w:lang w:eastAsia="zh-CN"/>
        </w:rPr>
      </w:pPr>
      <w:r>
        <w:rPr>
          <w:color w:val="auto"/>
          <w:lang w:eastAsia="zh-CN"/>
        </w:rPr>
        <w:t>2)</w:t>
      </w:r>
      <w:r>
        <w:rPr>
          <w:rFonts w:hint="eastAsia"/>
          <w:color w:val="auto"/>
          <w:lang w:eastAsia="zh-CN"/>
        </w:rPr>
        <w:t>要能查询统计各种特殊耐药病例</w:t>
      </w:r>
      <w:r>
        <w:rPr>
          <w:color w:val="auto"/>
          <w:lang w:eastAsia="zh-CN"/>
        </w:rPr>
        <w:t>,</w:t>
      </w:r>
      <w:r>
        <w:rPr>
          <w:rFonts w:hint="eastAsia"/>
          <w:color w:val="auto"/>
          <w:lang w:eastAsia="zh-CN"/>
        </w:rPr>
        <w:t>并对多重耐药</w:t>
      </w:r>
      <w:r>
        <w:rPr>
          <w:color w:val="auto"/>
          <w:lang w:eastAsia="zh-CN"/>
        </w:rPr>
        <w:t>,</w:t>
      </w:r>
      <w:r>
        <w:rPr>
          <w:rFonts w:hint="eastAsia"/>
          <w:color w:val="auto"/>
          <w:lang w:eastAsia="zh-CN"/>
        </w:rPr>
        <w:t>泛耐药</w:t>
      </w:r>
      <w:r>
        <w:rPr>
          <w:color w:val="auto"/>
          <w:lang w:eastAsia="zh-CN"/>
        </w:rPr>
        <w:t>, MRSA,</w:t>
      </w:r>
      <w:r>
        <w:rPr>
          <w:rFonts w:hint="eastAsia"/>
          <w:color w:val="auto"/>
          <w:lang w:eastAsia="zh-CN"/>
        </w:rPr>
        <w:t>万古耐金葡等自动预警提示。</w:t>
      </w:r>
    </w:p>
    <w:p w14:paraId="6D81D391">
      <w:pPr>
        <w:bidi w:val="0"/>
        <w:rPr>
          <w:rFonts w:hint="eastAsia"/>
          <w:color w:val="auto"/>
          <w:lang w:eastAsia="zh-CN"/>
        </w:rPr>
      </w:pPr>
      <w:r>
        <w:rPr>
          <w:color w:val="auto"/>
          <w:lang w:eastAsia="zh-CN"/>
        </w:rPr>
        <w:t>3)</w:t>
      </w:r>
      <w:r>
        <w:rPr>
          <w:rFonts w:hint="eastAsia"/>
          <w:color w:val="auto"/>
          <w:lang w:eastAsia="zh-CN"/>
        </w:rPr>
        <w:t>要能统计出全院所有的病原菌耐药率情况，并将耐药率以不同颜色进行区别，并详细到可以支持针对某种菌，某个科室进行统计。</w:t>
      </w:r>
    </w:p>
    <w:p w14:paraId="5CF5765A">
      <w:pPr>
        <w:bidi w:val="0"/>
        <w:rPr>
          <w:rFonts w:hint="eastAsia"/>
          <w:color w:val="auto"/>
          <w:lang w:eastAsia="zh-CN"/>
        </w:rPr>
      </w:pPr>
      <w:r>
        <w:rPr>
          <w:color w:val="auto"/>
          <w:lang w:eastAsia="zh-CN"/>
        </w:rPr>
        <w:t>4)</w:t>
      </w:r>
      <w:r>
        <w:rPr>
          <w:rFonts w:hint="eastAsia"/>
          <w:color w:val="auto"/>
          <w:lang w:eastAsia="zh-CN"/>
        </w:rPr>
        <w:t>要能科室的病原体分布统计</w:t>
      </w:r>
      <w:r>
        <w:rPr>
          <w:color w:val="auto"/>
          <w:lang w:eastAsia="zh-CN"/>
        </w:rPr>
        <w:t>,</w:t>
      </w:r>
      <w:r>
        <w:rPr>
          <w:rFonts w:hint="eastAsia"/>
          <w:color w:val="auto"/>
          <w:lang w:eastAsia="zh-CN"/>
        </w:rPr>
        <w:t>科室的标本统计</w:t>
      </w:r>
      <w:r>
        <w:rPr>
          <w:color w:val="auto"/>
          <w:lang w:eastAsia="zh-CN"/>
        </w:rPr>
        <w:t>,</w:t>
      </w:r>
      <w:r>
        <w:rPr>
          <w:rFonts w:hint="eastAsia"/>
          <w:color w:val="auto"/>
          <w:lang w:eastAsia="zh-CN"/>
        </w:rPr>
        <w:t>全院的送检率及阳性率统计等报表。</w:t>
      </w:r>
    </w:p>
    <w:p w14:paraId="783C1C36">
      <w:pPr>
        <w:bidi w:val="0"/>
        <w:rPr>
          <w:rFonts w:hint="eastAsia"/>
          <w:color w:val="auto"/>
          <w:lang w:eastAsia="zh-CN"/>
        </w:rPr>
      </w:pPr>
      <w:r>
        <w:rPr>
          <w:color w:val="auto"/>
          <w:lang w:eastAsia="zh-CN"/>
        </w:rPr>
        <w:t>5)</w:t>
      </w:r>
      <w:r>
        <w:rPr>
          <w:rFonts w:hint="eastAsia"/>
          <w:color w:val="auto"/>
          <w:lang w:eastAsia="zh-CN"/>
        </w:rPr>
        <w:t>要能自动计算耐碳青霉烯类肠杆菌科细菌（</w:t>
      </w:r>
      <w:r>
        <w:rPr>
          <w:color w:val="auto"/>
          <w:lang w:eastAsia="zh-CN"/>
        </w:rPr>
        <w:t>CRE</w:t>
      </w:r>
      <w:r>
        <w:rPr>
          <w:rFonts w:hint="eastAsia"/>
          <w:color w:val="auto"/>
          <w:lang w:eastAsia="zh-CN"/>
        </w:rPr>
        <w:t>c）、耐碳青霉烯类肺炎克雷伯菌（CRKP）、耐甲氧西林金黄色葡萄球菌（</w:t>
      </w:r>
      <w:r>
        <w:rPr>
          <w:color w:val="auto"/>
          <w:lang w:eastAsia="zh-CN"/>
        </w:rPr>
        <w:t>MRSA</w:t>
      </w:r>
      <w:r>
        <w:rPr>
          <w:rFonts w:hint="eastAsia"/>
          <w:color w:val="auto"/>
          <w:lang w:eastAsia="zh-CN"/>
        </w:rPr>
        <w:t>）、耐万古霉素肠球菌（</w:t>
      </w:r>
      <w:r>
        <w:rPr>
          <w:color w:val="auto"/>
          <w:lang w:eastAsia="zh-CN"/>
        </w:rPr>
        <w:t>VRE</w:t>
      </w:r>
      <w:r>
        <w:rPr>
          <w:rFonts w:hint="eastAsia"/>
          <w:color w:val="auto"/>
          <w:lang w:eastAsia="zh-CN"/>
        </w:rPr>
        <w:t>）、耐碳青霉烯</w:t>
      </w:r>
      <w:r>
        <w:rPr>
          <w:color w:val="auto"/>
          <w:lang w:eastAsia="zh-CN"/>
        </w:rPr>
        <w:t xml:space="preserve"> </w:t>
      </w:r>
      <w:r>
        <w:rPr>
          <w:rFonts w:hint="eastAsia"/>
          <w:color w:val="auto"/>
          <w:lang w:eastAsia="zh-CN"/>
        </w:rPr>
        <w:t>鲍曼不动杆菌（</w:t>
      </w:r>
      <w:r>
        <w:rPr>
          <w:color w:val="auto"/>
          <w:lang w:eastAsia="zh-CN"/>
        </w:rPr>
        <w:t>CRABA</w:t>
      </w:r>
      <w:r>
        <w:rPr>
          <w:rFonts w:hint="eastAsia"/>
          <w:color w:val="auto"/>
          <w:lang w:eastAsia="zh-CN"/>
        </w:rPr>
        <w:t>）、耐碳青霉烯铜绿假单胞菌（</w:t>
      </w:r>
      <w:r>
        <w:rPr>
          <w:color w:val="auto"/>
          <w:lang w:eastAsia="zh-CN"/>
        </w:rPr>
        <w:t>CRPAE</w:t>
      </w:r>
      <w:r>
        <w:rPr>
          <w:rFonts w:hint="eastAsia"/>
          <w:color w:val="auto"/>
          <w:lang w:eastAsia="zh-CN"/>
        </w:rPr>
        <w:t>）等的多重耐药菌感染发现率。</w:t>
      </w:r>
    </w:p>
    <w:p w14:paraId="50A7AADB">
      <w:pPr>
        <w:bidi w:val="0"/>
        <w:rPr>
          <w:rFonts w:hint="eastAsia"/>
          <w:color w:val="auto"/>
          <w:lang w:eastAsia="zh-CN"/>
        </w:rPr>
      </w:pPr>
      <w:r>
        <w:rPr>
          <w:color w:val="auto"/>
          <w:lang w:eastAsia="zh-CN"/>
        </w:rPr>
        <w:t>6)</w:t>
      </w:r>
      <w:r>
        <w:rPr>
          <w:rFonts w:hint="eastAsia"/>
          <w:color w:val="auto"/>
          <w:lang w:eastAsia="zh-CN"/>
        </w:rPr>
        <w:t>要能自动计算耐碳青霉烯类肠杆菌科细菌（</w:t>
      </w:r>
      <w:r>
        <w:rPr>
          <w:color w:val="auto"/>
          <w:lang w:eastAsia="zh-CN"/>
        </w:rPr>
        <w:t>CRE</w:t>
      </w:r>
      <w:r>
        <w:rPr>
          <w:rFonts w:hint="eastAsia"/>
          <w:color w:val="auto"/>
          <w:lang w:eastAsia="zh-CN"/>
        </w:rPr>
        <w:t>c）、耐碳青霉烯类肺炎克雷伯菌（CRKP）、耐甲氧西林金黄色葡萄球菌（</w:t>
      </w:r>
      <w:r>
        <w:rPr>
          <w:color w:val="auto"/>
          <w:lang w:eastAsia="zh-CN"/>
        </w:rPr>
        <w:t>MRSA</w:t>
      </w:r>
      <w:r>
        <w:rPr>
          <w:rFonts w:hint="eastAsia"/>
          <w:color w:val="auto"/>
          <w:lang w:eastAsia="zh-CN"/>
        </w:rPr>
        <w:t>）、耐万古霉素肠球菌（</w:t>
      </w:r>
      <w:r>
        <w:rPr>
          <w:color w:val="auto"/>
          <w:lang w:eastAsia="zh-CN"/>
        </w:rPr>
        <w:t>VRE</w:t>
      </w:r>
      <w:r>
        <w:rPr>
          <w:rFonts w:hint="eastAsia"/>
          <w:color w:val="auto"/>
          <w:lang w:eastAsia="zh-CN"/>
        </w:rPr>
        <w:t>）、耐碳青霉烯鲍曼不动杆菌（</w:t>
      </w:r>
      <w:r>
        <w:rPr>
          <w:color w:val="auto"/>
          <w:lang w:eastAsia="zh-CN"/>
        </w:rPr>
        <w:t>CRABA</w:t>
      </w:r>
      <w:r>
        <w:rPr>
          <w:rFonts w:hint="eastAsia"/>
          <w:color w:val="auto"/>
          <w:lang w:eastAsia="zh-CN"/>
        </w:rPr>
        <w:t>）、耐碳青霉烯铜绿假单胞菌（</w:t>
      </w:r>
      <w:r>
        <w:rPr>
          <w:color w:val="auto"/>
          <w:lang w:eastAsia="zh-CN"/>
        </w:rPr>
        <w:t>CRPAE</w:t>
      </w:r>
      <w:r>
        <w:rPr>
          <w:rFonts w:hint="eastAsia"/>
          <w:color w:val="auto"/>
          <w:lang w:eastAsia="zh-CN"/>
        </w:rPr>
        <w:t>）等的多重耐药菌感染检出率。</w:t>
      </w:r>
    </w:p>
    <w:p w14:paraId="3A620AB6">
      <w:pPr>
        <w:bidi w:val="0"/>
        <w:rPr>
          <w:rFonts w:hint="eastAsia"/>
          <w:color w:val="auto"/>
          <w:lang w:eastAsia="zh-CN"/>
        </w:rPr>
      </w:pPr>
      <w:r>
        <w:rPr>
          <w:color w:val="auto"/>
          <w:lang w:eastAsia="zh-CN"/>
        </w:rPr>
        <w:t>7)</w:t>
      </w:r>
      <w:r>
        <w:rPr>
          <w:rFonts w:hint="eastAsia"/>
          <w:color w:val="auto"/>
          <w:lang w:eastAsia="zh-CN"/>
        </w:rPr>
        <w:t>要能以科室为单位，自动计算多重耐药菌感染检出率。</w:t>
      </w:r>
    </w:p>
    <w:p w14:paraId="741787A3">
      <w:pPr>
        <w:bidi w:val="0"/>
        <w:rPr>
          <w:rFonts w:hint="eastAsia"/>
          <w:color w:val="auto"/>
          <w:lang w:eastAsia="zh-CN"/>
        </w:rPr>
      </w:pPr>
      <w:r>
        <w:rPr>
          <w:color w:val="auto"/>
          <w:lang w:eastAsia="zh-CN"/>
        </w:rPr>
        <w:t>8)</w:t>
      </w:r>
      <w:r>
        <w:rPr>
          <w:rFonts w:hint="eastAsia"/>
          <w:color w:val="auto"/>
          <w:lang w:eastAsia="zh-CN"/>
        </w:rPr>
        <w:t>要能统计每种标本的样本数、阳性数，并自动计算阳性率。</w:t>
      </w:r>
    </w:p>
    <w:p w14:paraId="71E1D340">
      <w:pPr>
        <w:bidi w:val="0"/>
        <w:rPr>
          <w:rFonts w:hint="eastAsia"/>
          <w:color w:val="auto"/>
          <w:lang w:eastAsia="zh-CN"/>
        </w:rPr>
      </w:pPr>
      <w:r>
        <w:rPr>
          <w:color w:val="auto"/>
          <w:lang w:eastAsia="zh-CN"/>
        </w:rPr>
        <w:t>9)</w:t>
      </w:r>
      <w:r>
        <w:rPr>
          <w:rFonts w:hint="eastAsia"/>
          <w:color w:val="auto"/>
          <w:lang w:eastAsia="zh-CN"/>
        </w:rPr>
        <w:t>要能按科室的送检样本数、阳性数，并自动计算阳性率。</w:t>
      </w:r>
    </w:p>
    <w:p w14:paraId="32596FE4">
      <w:pPr>
        <w:bidi w:val="0"/>
        <w:rPr>
          <w:rFonts w:hint="eastAsia"/>
          <w:color w:val="auto"/>
          <w:lang w:eastAsia="zh-CN"/>
        </w:rPr>
      </w:pPr>
      <w:r>
        <w:rPr>
          <w:color w:val="auto"/>
          <w:lang w:eastAsia="zh-CN"/>
        </w:rPr>
        <w:t>10)</w:t>
      </w:r>
      <w:r>
        <w:rPr>
          <w:rFonts w:hint="eastAsia"/>
          <w:color w:val="auto"/>
          <w:lang w:eastAsia="zh-CN"/>
        </w:rPr>
        <w:t>要能自动计算各个科室医院感染病人的送检率。</w:t>
      </w:r>
    </w:p>
    <w:p w14:paraId="58B9D090">
      <w:pPr>
        <w:bidi w:val="0"/>
        <w:rPr>
          <w:rFonts w:hint="eastAsia"/>
          <w:color w:val="auto"/>
          <w:lang w:eastAsia="zh-CN"/>
        </w:rPr>
      </w:pPr>
      <w:r>
        <w:rPr>
          <w:color w:val="auto"/>
          <w:lang w:eastAsia="zh-CN"/>
        </w:rPr>
        <w:t>11)</w:t>
      </w:r>
      <w:r>
        <w:rPr>
          <w:rFonts w:hint="eastAsia"/>
          <w:color w:val="auto"/>
          <w:lang w:eastAsia="zh-CN"/>
        </w:rPr>
        <w:t>要能自动计算所有病原体对抗菌药物的耐药率，对各种抗菌药物的耐药率、敏感率和中介率</w:t>
      </w:r>
      <w:r>
        <w:rPr>
          <w:color w:val="auto"/>
          <w:lang w:eastAsia="zh-CN"/>
        </w:rPr>
        <w:t xml:space="preserve"> </w:t>
      </w:r>
      <w:r>
        <w:rPr>
          <w:rFonts w:hint="eastAsia"/>
          <w:color w:val="auto"/>
          <w:lang w:eastAsia="zh-CN"/>
        </w:rPr>
        <w:t>。</w:t>
      </w:r>
    </w:p>
    <w:p w14:paraId="65D1D98F">
      <w:pPr>
        <w:bidi w:val="0"/>
        <w:rPr>
          <w:rFonts w:hint="eastAsia"/>
          <w:color w:val="auto"/>
          <w:lang w:eastAsia="zh-CN"/>
        </w:rPr>
      </w:pPr>
      <w:r>
        <w:rPr>
          <w:color w:val="auto"/>
          <w:lang w:eastAsia="zh-CN"/>
        </w:rPr>
        <w:t>12)</w:t>
      </w:r>
      <w:r>
        <w:rPr>
          <w:rFonts w:hint="eastAsia"/>
          <w:color w:val="auto"/>
          <w:lang w:eastAsia="zh-CN"/>
        </w:rPr>
        <w:t>要能自动计算铜绿假单胞菌、大肠埃希氏菌、肺炎克雷伯氏菌、鲍曼不动杆菌、阴沟肠杆菌等重点病原体对抗菌药物的耐药率，对各种抗菌药物的耐药率、敏感率和中介率</w:t>
      </w:r>
      <w:r>
        <w:rPr>
          <w:color w:val="auto"/>
          <w:lang w:eastAsia="zh-CN"/>
        </w:rPr>
        <w:t xml:space="preserve"> </w:t>
      </w:r>
      <w:r>
        <w:rPr>
          <w:rFonts w:hint="eastAsia"/>
          <w:color w:val="auto"/>
          <w:lang w:eastAsia="zh-CN"/>
        </w:rPr>
        <w:t>。</w:t>
      </w:r>
    </w:p>
    <w:p w14:paraId="40284CE1">
      <w:pPr>
        <w:bidi w:val="0"/>
        <w:rPr>
          <w:rFonts w:hint="eastAsia"/>
          <w:color w:val="auto"/>
          <w:lang w:eastAsia="zh-CN"/>
        </w:rPr>
      </w:pPr>
      <w:r>
        <w:rPr>
          <w:color w:val="auto"/>
          <w:lang w:eastAsia="zh-CN"/>
        </w:rPr>
        <w:t>13)</w:t>
      </w:r>
      <w:r>
        <w:rPr>
          <w:rFonts w:hint="eastAsia"/>
          <w:color w:val="auto"/>
          <w:lang w:eastAsia="zh-CN"/>
        </w:rPr>
        <w:t>要能自动计算病原体的检出情况，包括菌株数和占比。包括前五位病原体分布。</w:t>
      </w:r>
    </w:p>
    <w:p w14:paraId="54F06128">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7" w:name="_Toc150931835"/>
      <w:r>
        <w:rPr>
          <w:rFonts w:hint="eastAsia" w:ascii="宋体" w:hAnsi="宋体" w:eastAsia="宋体" w:cs="宋体"/>
          <w:b/>
          <w:bCs/>
          <w:color w:val="auto"/>
          <w:sz w:val="24"/>
          <w:szCs w:val="24"/>
          <w:lang w:eastAsia="zh-CN"/>
        </w:rPr>
        <w:t>多耐监测</w:t>
      </w:r>
      <w:bookmarkEnd w:id="357"/>
    </w:p>
    <w:p w14:paraId="3EB2D06A">
      <w:pPr>
        <w:bidi w:val="0"/>
        <w:rPr>
          <w:rFonts w:hint="eastAsia"/>
          <w:color w:val="auto"/>
          <w:lang w:eastAsia="zh-CN"/>
        </w:rPr>
      </w:pPr>
      <w:r>
        <w:rPr>
          <w:color w:val="auto"/>
          <w:lang w:eastAsia="zh-CN"/>
        </w:rPr>
        <w:t>1)</w:t>
      </w:r>
      <w:r>
        <w:rPr>
          <w:rFonts w:hint="eastAsia"/>
          <w:color w:val="auto"/>
          <w:lang w:eastAsia="zh-CN"/>
        </w:rPr>
        <w:t>要有多耐预警流程，并可以直接发消息提示医生。</w:t>
      </w:r>
    </w:p>
    <w:p w14:paraId="6E4CAC64">
      <w:pPr>
        <w:bidi w:val="0"/>
        <w:rPr>
          <w:rFonts w:hint="eastAsia"/>
          <w:color w:val="auto"/>
          <w:lang w:eastAsia="zh-CN"/>
        </w:rPr>
      </w:pPr>
      <w:r>
        <w:rPr>
          <w:color w:val="auto"/>
          <w:lang w:eastAsia="zh-CN"/>
        </w:rPr>
        <w:t>2)</w:t>
      </w:r>
      <w:r>
        <w:rPr>
          <w:rFonts w:hint="eastAsia"/>
          <w:color w:val="auto"/>
          <w:lang w:eastAsia="zh-CN"/>
        </w:rPr>
        <w:t>在医生端有提示，医生可直接进行上报和处理措施。</w:t>
      </w:r>
    </w:p>
    <w:p w14:paraId="68D8506E">
      <w:pPr>
        <w:bidi w:val="0"/>
        <w:rPr>
          <w:rFonts w:hint="eastAsia"/>
          <w:color w:val="auto"/>
          <w:lang w:eastAsia="zh-CN"/>
        </w:rPr>
      </w:pPr>
      <w:r>
        <w:rPr>
          <w:color w:val="auto"/>
          <w:lang w:eastAsia="zh-CN"/>
        </w:rPr>
        <w:t>3)</w:t>
      </w:r>
      <w:r>
        <w:rPr>
          <w:rFonts w:hint="eastAsia"/>
          <w:color w:val="auto"/>
          <w:lang w:eastAsia="zh-CN"/>
        </w:rPr>
        <w:t>能直接上报多耐督查表。</w:t>
      </w:r>
    </w:p>
    <w:p w14:paraId="382FA09A">
      <w:pPr>
        <w:bidi w:val="0"/>
        <w:rPr>
          <w:rFonts w:hint="eastAsia"/>
          <w:color w:val="auto"/>
          <w:lang w:eastAsia="zh-CN"/>
        </w:rPr>
      </w:pPr>
      <w:r>
        <w:rPr>
          <w:color w:val="auto"/>
          <w:lang w:eastAsia="zh-CN"/>
        </w:rPr>
        <w:t>4)</w:t>
      </w:r>
      <w:r>
        <w:rPr>
          <w:rFonts w:hint="eastAsia"/>
          <w:color w:val="auto"/>
          <w:lang w:eastAsia="zh-CN"/>
        </w:rPr>
        <w:t>并在管理端有新督查表提示，还要能收集管理及相关统计。</w:t>
      </w:r>
    </w:p>
    <w:p w14:paraId="02996DD8">
      <w:pPr>
        <w:bidi w:val="0"/>
        <w:rPr>
          <w:rFonts w:hint="eastAsia"/>
          <w:color w:val="auto"/>
          <w:lang w:eastAsia="zh-CN"/>
        </w:rPr>
      </w:pPr>
      <w:r>
        <w:rPr>
          <w:color w:val="auto"/>
          <w:lang w:eastAsia="zh-CN"/>
        </w:rPr>
        <w:t>5)</w:t>
      </w:r>
      <w:r>
        <w:rPr>
          <w:rFonts w:hint="eastAsia"/>
          <w:color w:val="auto"/>
          <w:lang w:eastAsia="zh-CN"/>
        </w:rPr>
        <w:t>要能有临床上报，院感审核的流程；</w:t>
      </w:r>
    </w:p>
    <w:p w14:paraId="7E301627">
      <w:pPr>
        <w:bidi w:val="0"/>
        <w:rPr>
          <w:rFonts w:hint="eastAsia"/>
          <w:color w:val="auto"/>
          <w:lang w:eastAsia="zh-CN"/>
        </w:rPr>
      </w:pPr>
      <w:r>
        <w:rPr>
          <w:color w:val="auto"/>
          <w:lang w:eastAsia="zh-CN"/>
        </w:rPr>
        <w:t>6)</w:t>
      </w:r>
      <w:r>
        <w:rPr>
          <w:rFonts w:hint="eastAsia"/>
          <w:color w:val="auto"/>
          <w:lang w:eastAsia="zh-CN"/>
        </w:rPr>
        <w:t>上报卡中包含病人基本信息、多重耐药菌信息、病人情况、防控措施和反馈整改等内容。</w:t>
      </w:r>
    </w:p>
    <w:p w14:paraId="62D0EBAF">
      <w:pPr>
        <w:bidi w:val="0"/>
        <w:rPr>
          <w:rFonts w:hint="eastAsia"/>
          <w:color w:val="auto"/>
          <w:lang w:eastAsia="zh-CN"/>
        </w:rPr>
      </w:pPr>
      <w:r>
        <w:rPr>
          <w:color w:val="auto"/>
          <w:lang w:eastAsia="zh-CN"/>
        </w:rPr>
        <w:t>7)</w:t>
      </w:r>
      <w:r>
        <w:rPr>
          <w:rFonts w:hint="eastAsia"/>
          <w:color w:val="auto"/>
          <w:lang w:eastAsia="zh-CN"/>
        </w:rPr>
        <w:t>要能对多重耐药菌上报卡和感染上报卡关联。</w:t>
      </w:r>
    </w:p>
    <w:p w14:paraId="753DB7B6">
      <w:pPr>
        <w:bidi w:val="0"/>
        <w:rPr>
          <w:rFonts w:hint="eastAsia"/>
          <w:color w:val="auto"/>
          <w:lang w:eastAsia="zh-CN"/>
        </w:rPr>
      </w:pPr>
      <w:r>
        <w:rPr>
          <w:color w:val="auto"/>
          <w:lang w:eastAsia="zh-CN"/>
        </w:rPr>
        <w:t>8)</w:t>
      </w:r>
      <w:r>
        <w:rPr>
          <w:rFonts w:hint="eastAsia"/>
          <w:color w:val="auto"/>
          <w:lang w:eastAsia="zh-CN"/>
        </w:rPr>
        <w:t>多耐卡可自动获取开停隔离医嘱信息。</w:t>
      </w:r>
    </w:p>
    <w:p w14:paraId="2BDD9BE3">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8" w:name="_Toc150931836"/>
      <w:r>
        <w:rPr>
          <w:rFonts w:hint="eastAsia" w:ascii="宋体" w:hAnsi="宋体" w:eastAsia="宋体" w:cs="宋体"/>
          <w:b/>
          <w:bCs/>
          <w:color w:val="auto"/>
          <w:sz w:val="24"/>
          <w:szCs w:val="24"/>
          <w:lang w:eastAsia="zh-CN"/>
        </w:rPr>
        <w:t>外科手术监测</w:t>
      </w:r>
      <w:bookmarkEnd w:id="358"/>
    </w:p>
    <w:p w14:paraId="45D1D63D">
      <w:pPr>
        <w:bidi w:val="0"/>
        <w:rPr>
          <w:rFonts w:hint="eastAsia"/>
          <w:color w:val="auto"/>
          <w:lang w:eastAsia="zh-CN"/>
        </w:rPr>
      </w:pPr>
      <w:r>
        <w:rPr>
          <w:color w:val="auto"/>
          <w:lang w:eastAsia="zh-CN"/>
        </w:rPr>
        <w:t>1)</w:t>
      </w:r>
      <w:r>
        <w:rPr>
          <w:rFonts w:hint="eastAsia"/>
          <w:color w:val="auto"/>
          <w:lang w:eastAsia="zh-CN"/>
        </w:rPr>
        <w:t>要能自动收集全院所有的外科手术病例及相关麻醉</w:t>
      </w:r>
      <w:r>
        <w:rPr>
          <w:color w:val="auto"/>
          <w:lang w:eastAsia="zh-CN"/>
        </w:rPr>
        <w:t>,</w:t>
      </w:r>
      <w:r>
        <w:rPr>
          <w:rFonts w:hint="eastAsia"/>
          <w:color w:val="auto"/>
          <w:lang w:eastAsia="zh-CN"/>
        </w:rPr>
        <w:t>切口</w:t>
      </w:r>
      <w:r>
        <w:rPr>
          <w:color w:val="auto"/>
          <w:lang w:eastAsia="zh-CN"/>
        </w:rPr>
        <w:t>,</w:t>
      </w:r>
      <w:r>
        <w:rPr>
          <w:rFonts w:hint="eastAsia"/>
          <w:color w:val="auto"/>
          <w:lang w:eastAsia="zh-CN"/>
        </w:rPr>
        <w:t>愈合等情况。</w:t>
      </w:r>
    </w:p>
    <w:p w14:paraId="6239E2AF">
      <w:pPr>
        <w:bidi w:val="0"/>
        <w:rPr>
          <w:rFonts w:hint="eastAsia"/>
          <w:color w:val="auto"/>
          <w:lang w:eastAsia="zh-CN"/>
        </w:rPr>
      </w:pPr>
      <w:r>
        <w:rPr>
          <w:color w:val="auto"/>
          <w:lang w:eastAsia="zh-CN"/>
        </w:rPr>
        <w:t>2)</w:t>
      </w:r>
      <w:r>
        <w:rPr>
          <w:rFonts w:hint="eastAsia"/>
          <w:color w:val="auto"/>
          <w:lang w:eastAsia="zh-CN"/>
        </w:rPr>
        <w:t>要能自动生成按切口统计感染率</w:t>
      </w:r>
      <w:r>
        <w:rPr>
          <w:color w:val="auto"/>
          <w:lang w:eastAsia="zh-CN"/>
        </w:rPr>
        <w:t>,</w:t>
      </w:r>
      <w:r>
        <w:rPr>
          <w:rFonts w:hint="eastAsia"/>
          <w:color w:val="auto"/>
          <w:lang w:eastAsia="zh-CN"/>
        </w:rPr>
        <w:t>无菌切口愈合情况及感染率统计，医生专率，用药等。</w:t>
      </w:r>
    </w:p>
    <w:p w14:paraId="5CFFD10E">
      <w:pPr>
        <w:bidi w:val="0"/>
        <w:rPr>
          <w:rFonts w:hint="eastAsia"/>
          <w:color w:val="auto"/>
          <w:lang w:eastAsia="zh-CN"/>
        </w:rPr>
      </w:pPr>
      <w:r>
        <w:rPr>
          <w:color w:val="auto"/>
          <w:lang w:eastAsia="zh-CN"/>
        </w:rPr>
        <w:t>3)</w:t>
      </w:r>
      <w:r>
        <w:rPr>
          <w:rFonts w:hint="eastAsia"/>
          <w:color w:val="auto"/>
          <w:lang w:eastAsia="zh-CN"/>
        </w:rPr>
        <w:t>要有按手术风险指数统计的报表。</w:t>
      </w:r>
    </w:p>
    <w:p w14:paraId="5F8958F4">
      <w:pPr>
        <w:bidi w:val="0"/>
        <w:rPr>
          <w:rFonts w:hint="eastAsia"/>
          <w:color w:val="auto"/>
          <w:lang w:eastAsia="zh-CN"/>
        </w:rPr>
      </w:pPr>
      <w:r>
        <w:rPr>
          <w:color w:val="auto"/>
          <w:lang w:eastAsia="zh-CN"/>
        </w:rPr>
        <w:t>4)</w:t>
      </w:r>
      <w:r>
        <w:rPr>
          <w:rFonts w:hint="eastAsia"/>
          <w:color w:val="auto"/>
          <w:lang w:eastAsia="zh-CN"/>
        </w:rPr>
        <w:t>要能按科室分类，自动计算手术感染人数和手术感染率；</w:t>
      </w:r>
    </w:p>
    <w:p w14:paraId="793B60F3">
      <w:pPr>
        <w:bidi w:val="0"/>
        <w:rPr>
          <w:rFonts w:hint="eastAsia"/>
          <w:color w:val="auto"/>
          <w:lang w:eastAsia="zh-CN"/>
        </w:rPr>
      </w:pPr>
      <w:r>
        <w:rPr>
          <w:color w:val="auto"/>
          <w:lang w:eastAsia="zh-CN"/>
        </w:rPr>
        <w:t>5)</w:t>
      </w:r>
      <w:r>
        <w:rPr>
          <w:rFonts w:hint="eastAsia"/>
          <w:color w:val="auto"/>
          <w:lang w:eastAsia="zh-CN"/>
        </w:rPr>
        <w:t>要能按科室分类，自动计算手术平均危险指数和手术调整感染率；</w:t>
      </w:r>
    </w:p>
    <w:p w14:paraId="352DEA8E">
      <w:pPr>
        <w:bidi w:val="0"/>
        <w:rPr>
          <w:rFonts w:hint="eastAsia"/>
          <w:color w:val="auto"/>
          <w:lang w:eastAsia="zh-CN"/>
        </w:rPr>
      </w:pPr>
      <w:r>
        <w:rPr>
          <w:color w:val="auto"/>
          <w:lang w:eastAsia="zh-CN"/>
        </w:rPr>
        <w:t>6)</w:t>
      </w:r>
      <w:r>
        <w:rPr>
          <w:rFonts w:hint="eastAsia"/>
          <w:color w:val="auto"/>
          <w:lang w:eastAsia="zh-CN"/>
        </w:rPr>
        <w:t>要能按科室分类，自动计算Ⅰ、Ⅱ和Ⅲ类切口手术部位感染率；（现在是</w:t>
      </w:r>
      <w:r>
        <w:rPr>
          <w:color w:val="auto"/>
          <w:lang w:eastAsia="zh-CN"/>
        </w:rPr>
        <w:t>4</w:t>
      </w:r>
      <w:r>
        <w:rPr>
          <w:rFonts w:hint="eastAsia"/>
          <w:color w:val="auto"/>
          <w:lang w:eastAsia="zh-CN"/>
        </w:rPr>
        <w:t>类切口分类）</w:t>
      </w:r>
    </w:p>
    <w:p w14:paraId="7F213963">
      <w:pPr>
        <w:bidi w:val="0"/>
        <w:rPr>
          <w:rFonts w:hint="eastAsia"/>
          <w:color w:val="auto"/>
          <w:lang w:eastAsia="zh-CN"/>
        </w:rPr>
      </w:pPr>
      <w:r>
        <w:rPr>
          <w:color w:val="auto"/>
          <w:lang w:eastAsia="zh-CN"/>
        </w:rPr>
        <w:t>7)</w:t>
      </w:r>
      <w:r>
        <w:rPr>
          <w:rFonts w:hint="eastAsia"/>
          <w:color w:val="auto"/>
          <w:lang w:eastAsia="zh-CN"/>
        </w:rPr>
        <w:t>要能按科室分类，自动计算</w:t>
      </w:r>
      <w:r>
        <w:rPr>
          <w:color w:val="auto"/>
          <w:lang w:eastAsia="zh-CN"/>
        </w:rPr>
        <w:t xml:space="preserve"> NNIS0</w:t>
      </w:r>
      <w:r>
        <w:rPr>
          <w:rFonts w:hint="eastAsia"/>
          <w:color w:val="auto"/>
          <w:lang w:eastAsia="zh-CN"/>
        </w:rPr>
        <w:t>、</w:t>
      </w:r>
      <w:r>
        <w:rPr>
          <w:color w:val="auto"/>
          <w:lang w:eastAsia="zh-CN"/>
        </w:rPr>
        <w:t>NNIS1</w:t>
      </w:r>
      <w:r>
        <w:rPr>
          <w:rFonts w:hint="eastAsia"/>
          <w:color w:val="auto"/>
          <w:lang w:eastAsia="zh-CN"/>
        </w:rPr>
        <w:t>、</w:t>
      </w:r>
      <w:r>
        <w:rPr>
          <w:color w:val="auto"/>
          <w:lang w:eastAsia="zh-CN"/>
        </w:rPr>
        <w:t>NNIS2</w:t>
      </w:r>
      <w:r>
        <w:rPr>
          <w:rFonts w:hint="eastAsia"/>
          <w:color w:val="auto"/>
          <w:lang w:eastAsia="zh-CN"/>
        </w:rPr>
        <w:t>和</w:t>
      </w:r>
      <w:r>
        <w:rPr>
          <w:color w:val="auto"/>
          <w:lang w:eastAsia="zh-CN"/>
        </w:rPr>
        <w:t xml:space="preserve"> NNIS3</w:t>
      </w:r>
      <w:r>
        <w:rPr>
          <w:rFonts w:hint="eastAsia"/>
          <w:color w:val="auto"/>
          <w:lang w:eastAsia="zh-CN"/>
        </w:rPr>
        <w:t>分级的</w:t>
      </w:r>
      <w:r>
        <w:rPr>
          <w:color w:val="auto"/>
          <w:lang w:eastAsia="zh-CN"/>
        </w:rPr>
        <w:t xml:space="preserve"> </w:t>
      </w:r>
      <w:r>
        <w:rPr>
          <w:rFonts w:hint="eastAsia"/>
          <w:color w:val="auto"/>
          <w:lang w:eastAsia="zh-CN"/>
        </w:rPr>
        <w:t>手术感染人数和手术感染率；</w:t>
      </w:r>
    </w:p>
    <w:p w14:paraId="0DAD10EF">
      <w:pPr>
        <w:bidi w:val="0"/>
        <w:rPr>
          <w:rFonts w:hint="eastAsia"/>
          <w:color w:val="auto"/>
          <w:lang w:eastAsia="zh-CN"/>
        </w:rPr>
      </w:pPr>
      <w:r>
        <w:rPr>
          <w:color w:val="auto"/>
          <w:lang w:eastAsia="zh-CN"/>
        </w:rPr>
        <w:t>8)</w:t>
      </w:r>
      <w:r>
        <w:rPr>
          <w:rFonts w:hint="eastAsia"/>
          <w:color w:val="auto"/>
          <w:lang w:eastAsia="zh-CN"/>
        </w:rPr>
        <w:t>要能按医生分类，自动计算手术感染人数和手术感染率；</w:t>
      </w:r>
    </w:p>
    <w:p w14:paraId="1476608D">
      <w:pPr>
        <w:bidi w:val="0"/>
        <w:rPr>
          <w:rFonts w:hint="eastAsia"/>
          <w:color w:val="auto"/>
          <w:lang w:eastAsia="zh-CN"/>
        </w:rPr>
      </w:pPr>
      <w:r>
        <w:rPr>
          <w:color w:val="auto"/>
          <w:lang w:eastAsia="zh-CN"/>
        </w:rPr>
        <w:t>9)</w:t>
      </w:r>
      <w:r>
        <w:rPr>
          <w:rFonts w:hint="eastAsia"/>
          <w:color w:val="auto"/>
          <w:lang w:eastAsia="zh-CN"/>
        </w:rPr>
        <w:t>要能按医生分类，自动计算手术平均危险指数和手术调整感染率；</w:t>
      </w:r>
    </w:p>
    <w:p w14:paraId="291B295B">
      <w:pPr>
        <w:bidi w:val="0"/>
        <w:rPr>
          <w:rFonts w:hint="eastAsia"/>
          <w:color w:val="auto"/>
          <w:lang w:eastAsia="zh-CN"/>
        </w:rPr>
      </w:pPr>
      <w:r>
        <w:rPr>
          <w:color w:val="auto"/>
          <w:lang w:eastAsia="zh-CN"/>
        </w:rPr>
        <w:t>10)</w:t>
      </w:r>
      <w:r>
        <w:rPr>
          <w:rFonts w:hint="eastAsia"/>
          <w:color w:val="auto"/>
          <w:lang w:eastAsia="zh-CN"/>
        </w:rPr>
        <w:t>要能自动计算围术期抗菌药物使用率。</w:t>
      </w:r>
    </w:p>
    <w:p w14:paraId="48A5A427">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59" w:name="_Toc150931837"/>
      <w:r>
        <w:rPr>
          <w:rFonts w:ascii="宋体" w:hAnsi="宋体" w:eastAsia="宋体" w:cs="宋体"/>
          <w:b/>
          <w:bCs/>
          <w:color w:val="auto"/>
          <w:sz w:val="24"/>
          <w:szCs w:val="24"/>
          <w:lang w:eastAsia="zh-CN"/>
        </w:rPr>
        <w:t xml:space="preserve">ICU </w:t>
      </w:r>
      <w:r>
        <w:rPr>
          <w:rFonts w:hint="eastAsia" w:ascii="宋体" w:hAnsi="宋体" w:eastAsia="宋体" w:cs="宋体"/>
          <w:b/>
          <w:bCs/>
          <w:color w:val="auto"/>
          <w:sz w:val="24"/>
          <w:szCs w:val="24"/>
          <w:lang w:eastAsia="zh-CN"/>
        </w:rPr>
        <w:t>监测</w:t>
      </w:r>
      <w:bookmarkEnd w:id="359"/>
    </w:p>
    <w:p w14:paraId="4BD873CE">
      <w:pPr>
        <w:bidi w:val="0"/>
        <w:rPr>
          <w:rFonts w:hint="eastAsia"/>
          <w:color w:val="auto"/>
          <w:lang w:eastAsia="zh-CN"/>
        </w:rPr>
      </w:pPr>
      <w:r>
        <w:rPr>
          <w:color w:val="auto"/>
          <w:lang w:eastAsia="zh-CN"/>
        </w:rPr>
        <w:t>1)</w:t>
      </w:r>
      <w:r>
        <w:rPr>
          <w:rFonts w:hint="eastAsia"/>
          <w:color w:val="auto"/>
          <w:lang w:eastAsia="zh-CN"/>
        </w:rPr>
        <w:t>要能对</w:t>
      </w:r>
      <w:r>
        <w:rPr>
          <w:color w:val="auto"/>
          <w:lang w:eastAsia="zh-CN"/>
        </w:rPr>
        <w:t>ICU</w:t>
      </w:r>
      <w:r>
        <w:rPr>
          <w:rFonts w:hint="eastAsia"/>
          <w:color w:val="auto"/>
          <w:lang w:eastAsia="zh-CN"/>
        </w:rPr>
        <w:t>进行的院感病例和日志进行监测</w:t>
      </w:r>
      <w:r>
        <w:rPr>
          <w:color w:val="auto"/>
          <w:lang w:eastAsia="zh-CN"/>
        </w:rPr>
        <w:t>,</w:t>
      </w:r>
      <w:r>
        <w:rPr>
          <w:rFonts w:hint="eastAsia"/>
          <w:color w:val="auto"/>
          <w:lang w:eastAsia="zh-CN"/>
        </w:rPr>
        <w:t>并进行三个导管感染率的统计。</w:t>
      </w:r>
    </w:p>
    <w:p w14:paraId="7205F3EF">
      <w:pPr>
        <w:bidi w:val="0"/>
        <w:rPr>
          <w:rFonts w:hint="eastAsia"/>
          <w:color w:val="auto"/>
          <w:lang w:eastAsia="zh-CN"/>
        </w:rPr>
      </w:pPr>
      <w:r>
        <w:rPr>
          <w:color w:val="auto"/>
          <w:lang w:eastAsia="zh-CN"/>
        </w:rPr>
        <w:t>2)</w:t>
      </w:r>
      <w:r>
        <w:rPr>
          <w:rFonts w:hint="eastAsia"/>
          <w:color w:val="auto"/>
          <w:lang w:eastAsia="zh-CN"/>
        </w:rPr>
        <w:t>要能对新生儿</w:t>
      </w:r>
      <w:r>
        <w:rPr>
          <w:color w:val="auto"/>
          <w:lang w:eastAsia="zh-CN"/>
        </w:rPr>
        <w:t xml:space="preserve"> ICU </w:t>
      </w:r>
      <w:r>
        <w:rPr>
          <w:rFonts w:hint="eastAsia"/>
          <w:color w:val="auto"/>
          <w:lang w:eastAsia="zh-CN"/>
        </w:rPr>
        <w:t>进行的院感病例和日志进行监测</w:t>
      </w:r>
      <w:r>
        <w:rPr>
          <w:color w:val="auto"/>
          <w:lang w:eastAsia="zh-CN"/>
        </w:rPr>
        <w:t>,</w:t>
      </w:r>
      <w:r>
        <w:rPr>
          <w:rFonts w:hint="eastAsia"/>
          <w:color w:val="auto"/>
          <w:lang w:eastAsia="zh-CN"/>
        </w:rPr>
        <w:t>并进行三个导管感染率的统计。</w:t>
      </w:r>
    </w:p>
    <w:p w14:paraId="781FF1BB">
      <w:pPr>
        <w:bidi w:val="0"/>
        <w:rPr>
          <w:rFonts w:hint="eastAsia"/>
          <w:color w:val="auto"/>
          <w:lang w:eastAsia="zh-CN"/>
        </w:rPr>
      </w:pPr>
      <w:r>
        <w:rPr>
          <w:color w:val="auto"/>
          <w:lang w:eastAsia="zh-CN"/>
        </w:rPr>
        <w:t>3)</w:t>
      </w:r>
      <w:r>
        <w:rPr>
          <w:rFonts w:hint="eastAsia"/>
          <w:color w:val="auto"/>
          <w:lang w:eastAsia="zh-CN"/>
        </w:rPr>
        <w:t>要能输入临床等级评分表。</w:t>
      </w:r>
    </w:p>
    <w:p w14:paraId="04927F05">
      <w:pPr>
        <w:bidi w:val="0"/>
        <w:rPr>
          <w:rFonts w:hint="eastAsia"/>
          <w:color w:val="auto"/>
          <w:lang w:eastAsia="zh-CN"/>
        </w:rPr>
      </w:pPr>
      <w:r>
        <w:rPr>
          <w:color w:val="auto"/>
          <w:lang w:eastAsia="zh-CN"/>
        </w:rPr>
        <w:t>4)</w:t>
      </w:r>
      <w:r>
        <w:rPr>
          <w:rFonts w:hint="eastAsia"/>
          <w:color w:val="auto"/>
          <w:lang w:eastAsia="zh-CN"/>
        </w:rPr>
        <w:t>要能自动计算使用呼吸机病人数、中心静脉插管病人数、留置导尿管病人数。</w:t>
      </w:r>
    </w:p>
    <w:p w14:paraId="2CC36986">
      <w:pPr>
        <w:bidi w:val="0"/>
        <w:rPr>
          <w:rFonts w:hint="eastAsia"/>
          <w:color w:val="auto"/>
          <w:lang w:eastAsia="zh-CN"/>
        </w:rPr>
      </w:pPr>
      <w:r>
        <w:rPr>
          <w:color w:val="auto"/>
          <w:lang w:eastAsia="zh-CN"/>
        </w:rPr>
        <w:t>5)</w:t>
      </w:r>
      <w:r>
        <w:rPr>
          <w:rFonts w:hint="eastAsia"/>
          <w:color w:val="auto"/>
          <w:lang w:eastAsia="zh-CN"/>
        </w:rPr>
        <w:t>要能自动计算病人使用呼吸机天数、病人中心静脉插管天数、病人留置导尿管天数。</w:t>
      </w:r>
    </w:p>
    <w:p w14:paraId="24E25070">
      <w:pPr>
        <w:bidi w:val="0"/>
        <w:rPr>
          <w:rFonts w:hint="eastAsia"/>
          <w:color w:val="auto"/>
          <w:lang w:eastAsia="zh-CN"/>
        </w:rPr>
      </w:pPr>
      <w:r>
        <w:rPr>
          <w:color w:val="auto"/>
          <w:lang w:eastAsia="zh-CN"/>
        </w:rPr>
        <w:t>6)</w:t>
      </w:r>
      <w:r>
        <w:rPr>
          <w:rFonts w:hint="eastAsia"/>
          <w:color w:val="auto"/>
          <w:lang w:eastAsia="zh-CN"/>
        </w:rPr>
        <w:t>要能自动计算呼吸机使用率、中心静脉插管使用率和导尿管插管使用率。</w:t>
      </w:r>
    </w:p>
    <w:p w14:paraId="3C90EF28">
      <w:pPr>
        <w:bidi w:val="0"/>
        <w:rPr>
          <w:rFonts w:hint="eastAsia"/>
          <w:color w:val="auto"/>
          <w:lang w:eastAsia="zh-CN"/>
        </w:rPr>
      </w:pPr>
      <w:r>
        <w:rPr>
          <w:color w:val="auto"/>
          <w:lang w:eastAsia="zh-CN"/>
        </w:rPr>
        <w:t>7)</w:t>
      </w:r>
      <w:r>
        <w:rPr>
          <w:rFonts w:hint="eastAsia"/>
          <w:color w:val="auto"/>
          <w:lang w:eastAsia="zh-CN"/>
        </w:rPr>
        <w:t>要能自动计算呼吸机相关肺炎例次数和发病率。</w:t>
      </w:r>
    </w:p>
    <w:p w14:paraId="7C6FB971">
      <w:pPr>
        <w:bidi w:val="0"/>
        <w:rPr>
          <w:rFonts w:hint="eastAsia"/>
          <w:color w:val="auto"/>
          <w:lang w:eastAsia="zh-CN"/>
        </w:rPr>
      </w:pPr>
      <w:r>
        <w:rPr>
          <w:color w:val="auto"/>
          <w:lang w:eastAsia="zh-CN"/>
        </w:rPr>
        <w:t>8)</w:t>
      </w:r>
      <w:r>
        <w:rPr>
          <w:rFonts w:hint="eastAsia"/>
          <w:color w:val="auto"/>
          <w:lang w:eastAsia="zh-CN"/>
        </w:rPr>
        <w:t>要能自动计算血管内导管相关血流感染人数和发病率。</w:t>
      </w:r>
    </w:p>
    <w:p w14:paraId="60F4CA02">
      <w:pPr>
        <w:bidi w:val="0"/>
        <w:rPr>
          <w:rFonts w:hint="eastAsia"/>
          <w:color w:val="auto"/>
          <w:lang w:eastAsia="zh-CN"/>
        </w:rPr>
      </w:pPr>
      <w:r>
        <w:rPr>
          <w:color w:val="auto"/>
          <w:lang w:eastAsia="zh-CN"/>
        </w:rPr>
        <w:t>9)</w:t>
      </w:r>
      <w:r>
        <w:rPr>
          <w:rFonts w:hint="eastAsia"/>
          <w:color w:val="auto"/>
          <w:lang w:eastAsia="zh-CN"/>
        </w:rPr>
        <w:t>要能自动计算导尿管相关泌尿系感染人数和发病率。</w:t>
      </w:r>
    </w:p>
    <w:p w14:paraId="0F7C0461">
      <w:pPr>
        <w:bidi w:val="0"/>
        <w:rPr>
          <w:rFonts w:hint="eastAsia"/>
          <w:color w:val="auto"/>
          <w:lang w:eastAsia="zh-CN"/>
        </w:rPr>
      </w:pPr>
      <w:r>
        <w:rPr>
          <w:color w:val="auto"/>
          <w:lang w:eastAsia="zh-CN"/>
        </w:rPr>
        <w:t>10)</w:t>
      </w:r>
      <w:r>
        <w:rPr>
          <w:rFonts w:hint="eastAsia"/>
          <w:color w:val="auto"/>
          <w:lang w:eastAsia="zh-CN"/>
        </w:rPr>
        <w:t>要能自动计算</w:t>
      </w:r>
      <w:r>
        <w:rPr>
          <w:color w:val="auto"/>
          <w:lang w:eastAsia="zh-CN"/>
        </w:rPr>
        <w:t xml:space="preserve"> ICU </w:t>
      </w:r>
      <w:r>
        <w:rPr>
          <w:rFonts w:hint="eastAsia"/>
          <w:color w:val="auto"/>
          <w:lang w:eastAsia="zh-CN"/>
        </w:rPr>
        <w:t>感染率、感染例次率、日感染率、日感染例次率、日调整感染率和日调整例次感染率。</w:t>
      </w:r>
    </w:p>
    <w:p w14:paraId="7DB32C03">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60" w:name="_Toc150931838"/>
      <w:r>
        <w:rPr>
          <w:rFonts w:hint="eastAsia" w:ascii="宋体" w:hAnsi="宋体" w:eastAsia="宋体" w:cs="宋体"/>
          <w:b/>
          <w:bCs/>
          <w:color w:val="auto"/>
          <w:sz w:val="24"/>
          <w:szCs w:val="24"/>
          <w:lang w:eastAsia="zh-CN"/>
        </w:rPr>
        <w:t>新生儿</w:t>
      </w:r>
      <w:r>
        <w:rPr>
          <w:rFonts w:ascii="宋体" w:hAnsi="宋体" w:eastAsia="宋体" w:cs="宋体"/>
          <w:b/>
          <w:bCs/>
          <w:color w:val="auto"/>
          <w:sz w:val="24"/>
          <w:szCs w:val="24"/>
          <w:lang w:eastAsia="zh-CN"/>
        </w:rPr>
        <w:t>ICU</w:t>
      </w:r>
      <w:r>
        <w:rPr>
          <w:rFonts w:hint="eastAsia" w:ascii="宋体" w:hAnsi="宋体" w:eastAsia="宋体" w:cs="宋体"/>
          <w:b/>
          <w:bCs/>
          <w:color w:val="auto"/>
          <w:sz w:val="24"/>
          <w:szCs w:val="24"/>
          <w:lang w:eastAsia="zh-CN"/>
        </w:rPr>
        <w:t>监测</w:t>
      </w:r>
      <w:bookmarkEnd w:id="360"/>
    </w:p>
    <w:p w14:paraId="4F448258">
      <w:pPr>
        <w:bidi w:val="0"/>
        <w:rPr>
          <w:rFonts w:hint="eastAsia"/>
          <w:color w:val="auto"/>
          <w:lang w:eastAsia="zh-CN"/>
        </w:rPr>
      </w:pPr>
      <w:r>
        <w:rPr>
          <w:color w:val="auto"/>
          <w:lang w:eastAsia="zh-CN"/>
        </w:rPr>
        <w:t>1)</w:t>
      </w:r>
      <w:r>
        <w:rPr>
          <w:rFonts w:hint="eastAsia"/>
          <w:color w:val="auto"/>
          <w:lang w:eastAsia="zh-CN"/>
        </w:rPr>
        <w:t>要能自动计算使用呼吸机人数、脐</w:t>
      </w:r>
      <w:r>
        <w:rPr>
          <w:color w:val="auto"/>
          <w:lang w:eastAsia="zh-CN"/>
        </w:rPr>
        <w:t>/</w:t>
      </w:r>
      <w:r>
        <w:rPr>
          <w:rFonts w:hint="eastAsia"/>
          <w:color w:val="auto"/>
          <w:lang w:eastAsia="zh-CN"/>
        </w:rPr>
        <w:t>中心静脉插管人数。</w:t>
      </w:r>
    </w:p>
    <w:p w14:paraId="315D3F69">
      <w:pPr>
        <w:bidi w:val="0"/>
        <w:rPr>
          <w:rFonts w:hint="eastAsia"/>
          <w:color w:val="auto"/>
          <w:lang w:eastAsia="zh-CN"/>
        </w:rPr>
      </w:pPr>
      <w:r>
        <w:rPr>
          <w:color w:val="auto"/>
          <w:lang w:eastAsia="zh-CN"/>
        </w:rPr>
        <w:t>2)</w:t>
      </w:r>
      <w:r>
        <w:rPr>
          <w:rFonts w:hint="eastAsia"/>
          <w:color w:val="auto"/>
          <w:lang w:eastAsia="zh-CN"/>
        </w:rPr>
        <w:t>要能自动计算使用呼吸机天数、脐</w:t>
      </w:r>
      <w:r>
        <w:rPr>
          <w:color w:val="auto"/>
          <w:lang w:eastAsia="zh-CN"/>
        </w:rPr>
        <w:t>/</w:t>
      </w:r>
      <w:r>
        <w:rPr>
          <w:rFonts w:hint="eastAsia"/>
          <w:color w:val="auto"/>
          <w:lang w:eastAsia="zh-CN"/>
        </w:rPr>
        <w:t>中心静脉插管天数。</w:t>
      </w:r>
    </w:p>
    <w:p w14:paraId="56F93AC0">
      <w:pPr>
        <w:bidi w:val="0"/>
        <w:rPr>
          <w:rFonts w:hint="eastAsia"/>
          <w:color w:val="auto"/>
          <w:lang w:eastAsia="zh-CN"/>
        </w:rPr>
      </w:pPr>
      <w:r>
        <w:rPr>
          <w:color w:val="auto"/>
          <w:lang w:eastAsia="zh-CN"/>
        </w:rPr>
        <w:t>3)</w:t>
      </w:r>
      <w:r>
        <w:rPr>
          <w:rFonts w:hint="eastAsia"/>
          <w:color w:val="auto"/>
          <w:lang w:eastAsia="zh-CN"/>
        </w:rPr>
        <w:t>要能自动计算呼吸机使用率、脐</w:t>
      </w:r>
      <w:r>
        <w:rPr>
          <w:color w:val="auto"/>
          <w:lang w:eastAsia="zh-CN"/>
        </w:rPr>
        <w:t>/</w:t>
      </w:r>
      <w:r>
        <w:rPr>
          <w:rFonts w:hint="eastAsia"/>
          <w:color w:val="auto"/>
          <w:lang w:eastAsia="zh-CN"/>
        </w:rPr>
        <w:t>中心静脉插管使用率。</w:t>
      </w:r>
    </w:p>
    <w:p w14:paraId="34E77FE7">
      <w:pPr>
        <w:bidi w:val="0"/>
        <w:rPr>
          <w:rFonts w:hint="eastAsia"/>
          <w:color w:val="auto"/>
          <w:lang w:eastAsia="zh-CN"/>
        </w:rPr>
      </w:pPr>
      <w:r>
        <w:rPr>
          <w:color w:val="auto"/>
          <w:lang w:eastAsia="zh-CN"/>
        </w:rPr>
        <w:t>4)</w:t>
      </w:r>
      <w:r>
        <w:rPr>
          <w:rFonts w:hint="eastAsia"/>
          <w:color w:val="auto"/>
          <w:lang w:eastAsia="zh-CN"/>
        </w:rPr>
        <w:t>要能自动计算呼吸机相关肺炎例次数和发病率。</w:t>
      </w:r>
    </w:p>
    <w:p w14:paraId="2BAFB26F">
      <w:pPr>
        <w:bidi w:val="0"/>
        <w:rPr>
          <w:rFonts w:hint="eastAsia"/>
          <w:color w:val="auto"/>
          <w:lang w:eastAsia="zh-CN"/>
        </w:rPr>
      </w:pPr>
      <w:r>
        <w:rPr>
          <w:color w:val="auto"/>
          <w:lang w:eastAsia="zh-CN"/>
        </w:rPr>
        <w:t>5)</w:t>
      </w:r>
      <w:r>
        <w:rPr>
          <w:rFonts w:hint="eastAsia"/>
          <w:color w:val="auto"/>
          <w:lang w:eastAsia="zh-CN"/>
        </w:rPr>
        <w:t>要能自动计算脐</w:t>
      </w:r>
      <w:r>
        <w:rPr>
          <w:color w:val="auto"/>
          <w:lang w:eastAsia="zh-CN"/>
        </w:rPr>
        <w:t>/</w:t>
      </w:r>
      <w:r>
        <w:rPr>
          <w:rFonts w:hint="eastAsia"/>
          <w:color w:val="auto"/>
          <w:lang w:eastAsia="zh-CN"/>
        </w:rPr>
        <w:t>中心静脉插管相关血液感染人数和发病率。</w:t>
      </w:r>
    </w:p>
    <w:p w14:paraId="0E2B95DB">
      <w:pPr>
        <w:bidi w:val="0"/>
        <w:rPr>
          <w:rFonts w:hint="eastAsia"/>
          <w:color w:val="auto"/>
          <w:lang w:eastAsia="zh-CN"/>
        </w:rPr>
      </w:pPr>
      <w:r>
        <w:rPr>
          <w:color w:val="auto"/>
          <w:lang w:eastAsia="zh-CN"/>
        </w:rPr>
        <w:t>6)</w:t>
      </w:r>
      <w:r>
        <w:rPr>
          <w:rFonts w:hint="eastAsia"/>
          <w:color w:val="auto"/>
          <w:lang w:eastAsia="zh-CN"/>
        </w:rPr>
        <w:t>要能自动计算新生儿</w:t>
      </w:r>
      <w:r>
        <w:rPr>
          <w:color w:val="auto"/>
          <w:lang w:eastAsia="zh-CN"/>
        </w:rPr>
        <w:t xml:space="preserve"> ICU </w:t>
      </w:r>
      <w:r>
        <w:rPr>
          <w:rFonts w:hint="eastAsia"/>
          <w:color w:val="auto"/>
          <w:lang w:eastAsia="zh-CN"/>
        </w:rPr>
        <w:t>感染率、感染例次率、日感染率、日感染例次率、日调整感染率和日调整例次感染率。</w:t>
      </w:r>
    </w:p>
    <w:p w14:paraId="013AEC62">
      <w:pPr>
        <w:bidi w:val="0"/>
        <w:rPr>
          <w:rFonts w:hint="eastAsia"/>
          <w:color w:val="auto"/>
          <w:lang w:eastAsia="zh-CN"/>
        </w:rPr>
      </w:pPr>
      <w:r>
        <w:rPr>
          <w:color w:val="auto"/>
          <w:lang w:eastAsia="zh-CN"/>
        </w:rPr>
        <w:t>7)</w:t>
      </w:r>
      <w:r>
        <w:rPr>
          <w:rFonts w:hint="eastAsia"/>
          <w:color w:val="auto"/>
          <w:lang w:eastAsia="zh-CN"/>
        </w:rPr>
        <w:t>所有统计数据均要能按年月或体重分类统计。</w:t>
      </w:r>
    </w:p>
    <w:p w14:paraId="24E57550">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61" w:name="_Toc150931839"/>
      <w:r>
        <w:rPr>
          <w:rFonts w:hint="eastAsia" w:ascii="宋体" w:hAnsi="宋体" w:eastAsia="宋体" w:cs="宋体"/>
          <w:b/>
          <w:bCs/>
          <w:color w:val="auto"/>
          <w:sz w:val="24"/>
          <w:szCs w:val="24"/>
          <w:lang w:eastAsia="zh-CN"/>
        </w:rPr>
        <w:t>环境卫生学监测</w:t>
      </w:r>
      <w:bookmarkEnd w:id="361"/>
    </w:p>
    <w:p w14:paraId="16EDF3E9">
      <w:pPr>
        <w:bidi w:val="0"/>
        <w:rPr>
          <w:rFonts w:hint="eastAsia"/>
          <w:color w:val="auto"/>
          <w:lang w:eastAsia="zh-CN"/>
        </w:rPr>
      </w:pPr>
      <w:r>
        <w:rPr>
          <w:color w:val="auto"/>
          <w:lang w:eastAsia="zh-CN"/>
        </w:rPr>
        <w:t>1)</w:t>
      </w:r>
      <w:r>
        <w:rPr>
          <w:rFonts w:hint="eastAsia"/>
          <w:color w:val="auto"/>
          <w:lang w:eastAsia="zh-CN"/>
        </w:rPr>
        <w:t>要能收集和录入消毒卫生学的检测结果</w:t>
      </w:r>
      <w:r>
        <w:rPr>
          <w:color w:val="auto"/>
          <w:lang w:eastAsia="zh-CN"/>
        </w:rPr>
        <w:t xml:space="preserve">, </w:t>
      </w:r>
      <w:r>
        <w:rPr>
          <w:rFonts w:hint="eastAsia"/>
          <w:color w:val="auto"/>
          <w:lang w:eastAsia="zh-CN"/>
        </w:rPr>
        <w:t>主要包括空气监测、物体表面、医务人员手监测、使用中消毒剂、灭菌药物、消毒物品、细菌学监测、一次性用品、污染监测等内容。</w:t>
      </w:r>
    </w:p>
    <w:p w14:paraId="43EB9602">
      <w:pPr>
        <w:bidi w:val="0"/>
        <w:rPr>
          <w:rFonts w:hint="eastAsia"/>
          <w:color w:val="auto"/>
          <w:lang w:eastAsia="zh-CN"/>
        </w:rPr>
      </w:pPr>
      <w:r>
        <w:rPr>
          <w:color w:val="auto"/>
          <w:lang w:eastAsia="zh-CN"/>
        </w:rPr>
        <w:t>2)</w:t>
      </w:r>
      <w:r>
        <w:rPr>
          <w:rFonts w:hint="eastAsia"/>
          <w:color w:val="auto"/>
          <w:lang w:eastAsia="zh-CN"/>
        </w:rPr>
        <w:t>要能克隆以前月份已输入过的数据，快速复制过来，减少输入工作量。</w:t>
      </w:r>
    </w:p>
    <w:p w14:paraId="5C3DAFF9">
      <w:pPr>
        <w:bidi w:val="0"/>
        <w:rPr>
          <w:rFonts w:hint="eastAsia"/>
          <w:color w:val="auto"/>
          <w:lang w:eastAsia="zh-CN"/>
        </w:rPr>
      </w:pPr>
      <w:r>
        <w:rPr>
          <w:color w:val="auto"/>
          <w:lang w:eastAsia="zh-CN"/>
        </w:rPr>
        <w:t>3)</w:t>
      </w:r>
      <w:r>
        <w:rPr>
          <w:rFonts w:hint="eastAsia"/>
          <w:color w:val="auto"/>
          <w:lang w:eastAsia="zh-CN"/>
        </w:rPr>
        <w:t>要能自定义配置监测项目、监测内容、检查方式、采样点等内容。</w:t>
      </w:r>
    </w:p>
    <w:p w14:paraId="6099FAB5">
      <w:pPr>
        <w:bidi w:val="0"/>
        <w:rPr>
          <w:rFonts w:hint="eastAsia"/>
          <w:color w:val="auto"/>
          <w:lang w:eastAsia="zh-CN"/>
        </w:rPr>
      </w:pPr>
      <w:r>
        <w:rPr>
          <w:color w:val="auto"/>
          <w:lang w:eastAsia="zh-CN"/>
        </w:rPr>
        <w:t>4)</w:t>
      </w:r>
      <w:r>
        <w:rPr>
          <w:rFonts w:hint="eastAsia"/>
          <w:color w:val="auto"/>
          <w:lang w:eastAsia="zh-CN"/>
        </w:rPr>
        <w:t>要能直接打印监测结果报告单；；</w:t>
      </w:r>
    </w:p>
    <w:p w14:paraId="764BE631">
      <w:pPr>
        <w:bidi w:val="0"/>
        <w:rPr>
          <w:rFonts w:hint="eastAsia"/>
          <w:color w:val="auto"/>
          <w:lang w:eastAsia="zh-CN"/>
        </w:rPr>
      </w:pPr>
      <w:r>
        <w:rPr>
          <w:color w:val="auto"/>
          <w:lang w:eastAsia="zh-CN"/>
        </w:rPr>
        <w:t>5)</w:t>
      </w:r>
      <w:r>
        <w:rPr>
          <w:rFonts w:hint="eastAsia"/>
          <w:color w:val="auto"/>
          <w:lang w:eastAsia="zh-CN"/>
        </w:rPr>
        <w:t>监测结果合格率</w:t>
      </w:r>
      <w:r>
        <w:rPr>
          <w:color w:val="auto"/>
          <w:lang w:eastAsia="zh-CN"/>
        </w:rPr>
        <w:t>,</w:t>
      </w:r>
      <w:r>
        <w:rPr>
          <w:rFonts w:hint="eastAsia"/>
          <w:color w:val="auto"/>
          <w:lang w:eastAsia="zh-CN"/>
        </w:rPr>
        <w:t>不合格统计；</w:t>
      </w:r>
    </w:p>
    <w:p w14:paraId="35DA16BF">
      <w:pPr>
        <w:bidi w:val="0"/>
        <w:rPr>
          <w:rFonts w:hint="eastAsia" w:ascii="宋体" w:hAnsi="宋体" w:eastAsia="宋体" w:cs="宋体"/>
          <w:color w:val="auto"/>
          <w:sz w:val="24"/>
          <w:szCs w:val="24"/>
          <w:lang w:eastAsia="zh-CN"/>
        </w:rPr>
      </w:pPr>
      <w:r>
        <w:rPr>
          <w:color w:val="auto"/>
          <w:lang w:eastAsia="zh-CN"/>
        </w:rPr>
        <w:t>6)</w:t>
      </w:r>
      <w:r>
        <w:rPr>
          <w:rFonts w:hint="eastAsia"/>
          <w:color w:val="auto"/>
          <w:lang w:eastAsia="zh-CN"/>
        </w:rPr>
        <w:t>要能发布后全院科室可直接查看，打印，实现全院无纸化办公。</w:t>
      </w:r>
    </w:p>
    <w:p w14:paraId="00901536">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62" w:name="_Toc150931840"/>
      <w:r>
        <w:rPr>
          <w:rFonts w:hint="eastAsia" w:ascii="宋体" w:hAnsi="宋体" w:eastAsia="宋体" w:cs="宋体"/>
          <w:b/>
          <w:bCs/>
          <w:color w:val="auto"/>
          <w:sz w:val="24"/>
          <w:szCs w:val="24"/>
          <w:lang w:eastAsia="zh-CN"/>
        </w:rPr>
        <w:t>职业暴露监测</w:t>
      </w:r>
      <w:bookmarkEnd w:id="362"/>
    </w:p>
    <w:p w14:paraId="4D7E2FFF">
      <w:pPr>
        <w:bidi w:val="0"/>
        <w:rPr>
          <w:rFonts w:hint="eastAsia"/>
          <w:color w:val="auto"/>
          <w:lang w:eastAsia="zh-CN"/>
        </w:rPr>
      </w:pPr>
      <w:r>
        <w:rPr>
          <w:color w:val="auto"/>
          <w:lang w:eastAsia="zh-CN"/>
        </w:rPr>
        <w:t>1)</w:t>
      </w:r>
      <w:r>
        <w:rPr>
          <w:rFonts w:hint="eastAsia"/>
          <w:color w:val="auto"/>
          <w:lang w:eastAsia="zh-CN"/>
        </w:rPr>
        <w:t>要能在医生站或护士站直接填写医务人员的针刺伤情况和相关处理结果</w:t>
      </w:r>
      <w:r>
        <w:rPr>
          <w:color w:val="auto"/>
          <w:lang w:eastAsia="zh-CN"/>
        </w:rPr>
        <w:t>,</w:t>
      </w:r>
      <w:r>
        <w:rPr>
          <w:rFonts w:hint="eastAsia"/>
          <w:color w:val="auto"/>
          <w:lang w:eastAsia="zh-CN"/>
        </w:rPr>
        <w:t>可提示处理措施和评估方法，并进行相关的统计。</w:t>
      </w:r>
    </w:p>
    <w:p w14:paraId="6B9497E8">
      <w:pPr>
        <w:bidi w:val="0"/>
        <w:rPr>
          <w:rFonts w:hint="eastAsia"/>
          <w:color w:val="auto"/>
          <w:lang w:eastAsia="zh-CN"/>
        </w:rPr>
      </w:pPr>
      <w:r>
        <w:rPr>
          <w:color w:val="auto"/>
          <w:lang w:eastAsia="zh-CN"/>
        </w:rPr>
        <w:t>2)</w:t>
      </w:r>
      <w:r>
        <w:rPr>
          <w:rFonts w:hint="eastAsia"/>
          <w:color w:val="auto"/>
          <w:lang w:eastAsia="zh-CN"/>
        </w:rPr>
        <w:t>要能上报血液和体液暴露。</w:t>
      </w:r>
    </w:p>
    <w:p w14:paraId="6E183014">
      <w:pPr>
        <w:bidi w:val="0"/>
        <w:rPr>
          <w:rFonts w:hint="eastAsia"/>
          <w:color w:val="auto"/>
          <w:lang w:eastAsia="zh-CN"/>
        </w:rPr>
      </w:pPr>
      <w:r>
        <w:rPr>
          <w:color w:val="auto"/>
          <w:lang w:eastAsia="zh-CN"/>
        </w:rPr>
        <w:t>3)</w:t>
      </w:r>
      <w:r>
        <w:rPr>
          <w:rFonts w:hint="eastAsia"/>
          <w:color w:val="auto"/>
          <w:lang w:eastAsia="zh-CN"/>
        </w:rPr>
        <w:t>要能上报针刺伤和锐器伤。</w:t>
      </w:r>
    </w:p>
    <w:p w14:paraId="61F4B901">
      <w:pPr>
        <w:bidi w:val="0"/>
        <w:rPr>
          <w:rFonts w:hint="eastAsia"/>
          <w:color w:val="auto"/>
          <w:lang w:eastAsia="zh-CN"/>
        </w:rPr>
      </w:pPr>
      <w:r>
        <w:rPr>
          <w:color w:val="auto"/>
          <w:lang w:eastAsia="zh-CN"/>
        </w:rPr>
        <w:t>4)</w:t>
      </w:r>
      <w:r>
        <w:rPr>
          <w:rFonts w:hint="eastAsia"/>
          <w:color w:val="auto"/>
          <w:lang w:eastAsia="zh-CN"/>
        </w:rPr>
        <w:t>要能录入暴露源信息。</w:t>
      </w:r>
    </w:p>
    <w:p w14:paraId="736E2E0E">
      <w:pPr>
        <w:bidi w:val="0"/>
        <w:rPr>
          <w:rFonts w:hint="eastAsia"/>
          <w:color w:val="auto"/>
          <w:lang w:eastAsia="zh-CN"/>
        </w:rPr>
      </w:pPr>
      <w:r>
        <w:rPr>
          <w:color w:val="auto"/>
          <w:lang w:eastAsia="zh-CN"/>
        </w:rPr>
        <w:t>5)</w:t>
      </w:r>
      <w:r>
        <w:rPr>
          <w:rFonts w:hint="eastAsia"/>
          <w:color w:val="auto"/>
          <w:lang w:eastAsia="zh-CN"/>
        </w:rPr>
        <w:t>要能自动提醒暴露者进行后续检查，并登记检查结果。</w:t>
      </w:r>
    </w:p>
    <w:p w14:paraId="786C5745">
      <w:pPr>
        <w:bidi w:val="0"/>
        <w:rPr>
          <w:rFonts w:hint="eastAsia"/>
          <w:color w:val="auto"/>
          <w:lang w:eastAsia="zh-CN"/>
        </w:rPr>
      </w:pPr>
      <w:r>
        <w:rPr>
          <w:color w:val="auto"/>
          <w:lang w:eastAsia="zh-CN"/>
        </w:rPr>
        <w:t>6)</w:t>
      </w:r>
      <w:r>
        <w:rPr>
          <w:rFonts w:hint="eastAsia"/>
          <w:color w:val="auto"/>
          <w:lang w:eastAsia="zh-CN"/>
        </w:rPr>
        <w:t>要能记录暴露者用药情况。</w:t>
      </w:r>
    </w:p>
    <w:p w14:paraId="44F98270">
      <w:pPr>
        <w:bidi w:val="0"/>
        <w:rPr>
          <w:rFonts w:hint="eastAsia"/>
          <w:color w:val="auto"/>
          <w:lang w:eastAsia="zh-CN"/>
        </w:rPr>
      </w:pPr>
      <w:r>
        <w:rPr>
          <w:color w:val="auto"/>
          <w:lang w:eastAsia="zh-CN"/>
        </w:rPr>
        <w:t>7)</w:t>
      </w:r>
      <w:r>
        <w:rPr>
          <w:rFonts w:hint="eastAsia"/>
          <w:color w:val="auto"/>
          <w:lang w:eastAsia="zh-CN"/>
        </w:rPr>
        <w:t>要能让管理人员对暴露做出评价。</w:t>
      </w:r>
    </w:p>
    <w:p w14:paraId="12899A67">
      <w:pPr>
        <w:bidi w:val="0"/>
        <w:rPr>
          <w:rFonts w:hint="eastAsia"/>
          <w:color w:val="auto"/>
          <w:lang w:eastAsia="zh-CN"/>
        </w:rPr>
      </w:pPr>
      <w:r>
        <w:rPr>
          <w:color w:val="auto"/>
          <w:lang w:eastAsia="zh-CN"/>
        </w:rPr>
        <w:t>8)</w:t>
      </w:r>
      <w:r>
        <w:rPr>
          <w:rFonts w:hint="eastAsia"/>
          <w:color w:val="auto"/>
          <w:lang w:eastAsia="zh-CN"/>
        </w:rPr>
        <w:t>要能自动计算引起锐器伤的器具的分布情况；</w:t>
      </w:r>
    </w:p>
    <w:p w14:paraId="06640C60">
      <w:pPr>
        <w:bidi w:val="0"/>
        <w:rPr>
          <w:rFonts w:hint="eastAsia"/>
          <w:color w:val="auto"/>
          <w:lang w:eastAsia="zh-CN"/>
        </w:rPr>
      </w:pPr>
      <w:r>
        <w:rPr>
          <w:color w:val="auto"/>
          <w:lang w:eastAsia="zh-CN"/>
        </w:rPr>
        <w:t>9)</w:t>
      </w:r>
      <w:r>
        <w:rPr>
          <w:rFonts w:hint="eastAsia"/>
          <w:color w:val="auto"/>
          <w:lang w:eastAsia="zh-CN"/>
        </w:rPr>
        <w:t>要能自动计算引起暴露的操作的分布情况；</w:t>
      </w:r>
    </w:p>
    <w:p w14:paraId="7CD86896">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63" w:name="_Toc150931841"/>
      <w:r>
        <w:rPr>
          <w:rFonts w:hint="eastAsia" w:ascii="宋体" w:hAnsi="宋体" w:eastAsia="宋体" w:cs="宋体"/>
          <w:b/>
          <w:bCs/>
          <w:color w:val="auto"/>
          <w:sz w:val="24"/>
          <w:szCs w:val="24"/>
          <w:lang w:eastAsia="zh-CN"/>
        </w:rPr>
        <w:t>现患率调查</w:t>
      </w:r>
      <w:bookmarkEnd w:id="363"/>
    </w:p>
    <w:p w14:paraId="4A2BF287">
      <w:pPr>
        <w:bidi w:val="0"/>
        <w:rPr>
          <w:rFonts w:hint="eastAsia"/>
          <w:color w:val="auto"/>
          <w:lang w:eastAsia="zh-CN"/>
        </w:rPr>
      </w:pPr>
      <w:r>
        <w:rPr>
          <w:color w:val="auto"/>
          <w:lang w:eastAsia="zh-CN"/>
        </w:rPr>
        <w:t>1)</w:t>
      </w:r>
      <w:r>
        <w:rPr>
          <w:rFonts w:hint="eastAsia"/>
          <w:color w:val="auto"/>
          <w:lang w:eastAsia="zh-CN"/>
        </w:rPr>
        <w:t>要能自动收集全院所有在院病人的病例及相关感染，使用抗生素，相关送检等情况，自动提取任意时间点的调查所需的相关数据，并自动统计出各科室现患率及部位分布等相关报表。</w:t>
      </w:r>
    </w:p>
    <w:p w14:paraId="3417F0F2">
      <w:pPr>
        <w:bidi w:val="0"/>
        <w:rPr>
          <w:rFonts w:hint="eastAsia"/>
          <w:color w:val="auto"/>
          <w:lang w:eastAsia="zh-CN"/>
        </w:rPr>
      </w:pPr>
      <w:r>
        <w:rPr>
          <w:color w:val="auto"/>
          <w:lang w:eastAsia="zh-CN"/>
        </w:rPr>
        <w:t>2)</w:t>
      </w:r>
      <w:r>
        <w:rPr>
          <w:rFonts w:hint="eastAsia"/>
          <w:color w:val="auto"/>
          <w:lang w:eastAsia="zh-CN"/>
        </w:rPr>
        <w:t>要能自动化现患率调查，尽可能的缩减现患率调查的工作量。</w:t>
      </w:r>
    </w:p>
    <w:p w14:paraId="60A45302">
      <w:pPr>
        <w:bidi w:val="0"/>
        <w:rPr>
          <w:rFonts w:hint="eastAsia"/>
          <w:color w:val="auto"/>
          <w:lang w:eastAsia="zh-CN"/>
        </w:rPr>
      </w:pPr>
      <w:r>
        <w:rPr>
          <w:color w:val="auto"/>
          <w:lang w:eastAsia="zh-CN"/>
        </w:rPr>
        <w:t>3)</w:t>
      </w:r>
      <w:r>
        <w:rPr>
          <w:rFonts w:hint="eastAsia"/>
          <w:color w:val="auto"/>
          <w:lang w:eastAsia="zh-CN"/>
        </w:rPr>
        <w:t>要能按科室分类，自动计算现患人数、现患率、现患例次数；</w:t>
      </w:r>
    </w:p>
    <w:p w14:paraId="2AF105B4">
      <w:pPr>
        <w:bidi w:val="0"/>
        <w:rPr>
          <w:rFonts w:hint="eastAsia"/>
          <w:color w:val="auto"/>
          <w:lang w:eastAsia="zh-CN"/>
        </w:rPr>
      </w:pPr>
      <w:r>
        <w:rPr>
          <w:color w:val="auto"/>
          <w:lang w:eastAsia="zh-CN"/>
        </w:rPr>
        <w:t>4)</w:t>
      </w:r>
      <w:r>
        <w:rPr>
          <w:rFonts w:hint="eastAsia"/>
          <w:color w:val="auto"/>
          <w:lang w:eastAsia="zh-CN"/>
        </w:rPr>
        <w:t>要能自动计算各种易感因素的出现例次数和在所有感染病例的占比；</w:t>
      </w:r>
    </w:p>
    <w:p w14:paraId="1151BF2B">
      <w:pPr>
        <w:bidi w:val="0"/>
        <w:rPr>
          <w:rFonts w:hint="eastAsia"/>
          <w:color w:val="auto"/>
          <w:lang w:eastAsia="zh-CN"/>
        </w:rPr>
      </w:pPr>
      <w:r>
        <w:rPr>
          <w:color w:val="auto"/>
          <w:lang w:eastAsia="zh-CN"/>
        </w:rPr>
        <w:t>5)</w:t>
      </w:r>
      <w:r>
        <w:rPr>
          <w:rFonts w:hint="eastAsia"/>
          <w:color w:val="auto"/>
          <w:lang w:eastAsia="zh-CN"/>
        </w:rPr>
        <w:t>要能自动生成现患率病例调查表和现患率床旁调查表。</w:t>
      </w:r>
    </w:p>
    <w:p w14:paraId="2A4C55CA">
      <w:pPr>
        <w:bidi w:val="0"/>
        <w:rPr>
          <w:rFonts w:hint="eastAsia"/>
          <w:color w:val="auto"/>
          <w:lang w:eastAsia="zh-CN"/>
        </w:rPr>
      </w:pPr>
      <w:r>
        <w:rPr>
          <w:color w:val="auto"/>
          <w:lang w:eastAsia="zh-CN"/>
        </w:rPr>
        <w:t>6)</w:t>
      </w:r>
      <w:r>
        <w:rPr>
          <w:rFonts w:hint="eastAsia"/>
          <w:color w:val="auto"/>
          <w:lang w:eastAsia="zh-CN"/>
        </w:rPr>
        <w:t>要能自动计算实查率，现患率；</w:t>
      </w:r>
    </w:p>
    <w:p w14:paraId="3DB5D37E">
      <w:pPr>
        <w:bidi w:val="0"/>
        <w:rPr>
          <w:rFonts w:hint="eastAsia"/>
          <w:color w:val="auto"/>
          <w:lang w:eastAsia="zh-CN"/>
        </w:rPr>
      </w:pPr>
      <w:r>
        <w:rPr>
          <w:color w:val="auto"/>
          <w:lang w:eastAsia="zh-CN"/>
        </w:rPr>
        <w:t>7)</w:t>
      </w:r>
      <w:r>
        <w:rPr>
          <w:rFonts w:hint="eastAsia"/>
          <w:color w:val="auto"/>
          <w:lang w:eastAsia="zh-CN"/>
        </w:rPr>
        <w:t>要能自动计算现患病人的感染部位构成比；</w:t>
      </w:r>
    </w:p>
    <w:p w14:paraId="009D2C14">
      <w:pPr>
        <w:bidi w:val="0"/>
        <w:rPr>
          <w:rFonts w:hint="eastAsia"/>
          <w:color w:val="auto"/>
          <w:lang w:eastAsia="zh-CN"/>
        </w:rPr>
      </w:pPr>
      <w:r>
        <w:rPr>
          <w:color w:val="auto"/>
          <w:lang w:eastAsia="zh-CN"/>
        </w:rPr>
        <w:t>8)</w:t>
      </w:r>
      <w:r>
        <w:rPr>
          <w:rFonts w:hint="eastAsia"/>
          <w:color w:val="auto"/>
          <w:lang w:eastAsia="zh-CN"/>
        </w:rPr>
        <w:t>要能自动计算现患病人的抗菌药物使用情况；</w:t>
      </w:r>
    </w:p>
    <w:p w14:paraId="151A29F9">
      <w:pPr>
        <w:bidi w:val="0"/>
        <w:rPr>
          <w:rFonts w:hint="eastAsia"/>
          <w:color w:val="auto"/>
          <w:lang w:eastAsia="zh-CN"/>
        </w:rPr>
      </w:pPr>
      <w:r>
        <w:rPr>
          <w:color w:val="auto"/>
          <w:lang w:eastAsia="zh-CN"/>
        </w:rPr>
        <w:t>9)</w:t>
      </w:r>
      <w:r>
        <w:rPr>
          <w:rFonts w:hint="eastAsia"/>
          <w:color w:val="auto"/>
          <w:lang w:eastAsia="zh-CN"/>
        </w:rPr>
        <w:t>要能自动计算现患病人的联合用药情况；</w:t>
      </w:r>
    </w:p>
    <w:p w14:paraId="504F6928">
      <w:pPr>
        <w:bidi w:val="0"/>
        <w:rPr>
          <w:rFonts w:hint="eastAsia"/>
          <w:color w:val="auto"/>
          <w:lang w:eastAsia="zh-CN"/>
        </w:rPr>
      </w:pPr>
      <w:r>
        <w:rPr>
          <w:color w:val="auto"/>
          <w:lang w:eastAsia="zh-CN"/>
        </w:rPr>
        <w:t>10)</w:t>
      </w:r>
      <w:r>
        <w:rPr>
          <w:rFonts w:hint="eastAsia"/>
          <w:color w:val="auto"/>
          <w:lang w:eastAsia="zh-CN"/>
        </w:rPr>
        <w:t>要能自动计算现患病人的治疗用药细菌培养情况；</w:t>
      </w:r>
    </w:p>
    <w:p w14:paraId="1E5C2E76">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64" w:name="_Toc150931842"/>
      <w:r>
        <w:rPr>
          <w:rFonts w:hint="eastAsia" w:ascii="宋体" w:hAnsi="宋体" w:eastAsia="宋体" w:cs="宋体"/>
          <w:b/>
          <w:bCs/>
          <w:color w:val="auto"/>
          <w:sz w:val="24"/>
          <w:szCs w:val="24"/>
          <w:lang w:eastAsia="zh-CN"/>
        </w:rPr>
        <w:t>医生消息沟通</w:t>
      </w:r>
      <w:bookmarkEnd w:id="364"/>
    </w:p>
    <w:p w14:paraId="48D1AE9F">
      <w:pPr>
        <w:bidi w:val="0"/>
        <w:rPr>
          <w:rFonts w:hint="eastAsia"/>
          <w:color w:val="auto"/>
          <w:lang w:eastAsia="zh-CN"/>
        </w:rPr>
      </w:pPr>
      <w:r>
        <w:rPr>
          <w:color w:val="auto"/>
          <w:lang w:eastAsia="zh-CN"/>
        </w:rPr>
        <w:t xml:space="preserve">1) </w:t>
      </w:r>
      <w:r>
        <w:rPr>
          <w:rFonts w:hint="eastAsia"/>
          <w:color w:val="auto"/>
          <w:lang w:eastAsia="zh-CN"/>
        </w:rPr>
        <w:t>消息要能在医生工作站提示。可以接收院感科发送的漏报提示（院感，传染病，肿瘤等报卡），干预及指导措施，</w:t>
      </w:r>
      <w:r>
        <w:rPr>
          <w:color w:val="auto"/>
          <w:lang w:eastAsia="zh-CN"/>
        </w:rPr>
        <w:t xml:space="preserve">SOP </w:t>
      </w:r>
      <w:r>
        <w:rPr>
          <w:rFonts w:hint="eastAsia"/>
          <w:color w:val="auto"/>
          <w:lang w:eastAsia="zh-CN"/>
        </w:rPr>
        <w:t>等。</w:t>
      </w:r>
      <w:r>
        <w:rPr>
          <w:color w:val="auto"/>
          <w:lang w:eastAsia="zh-CN"/>
        </w:rPr>
        <w:t xml:space="preserve"> </w:t>
      </w:r>
    </w:p>
    <w:p w14:paraId="2F6BA9C2">
      <w:pPr>
        <w:bidi w:val="0"/>
        <w:rPr>
          <w:rFonts w:hint="eastAsia"/>
          <w:color w:val="auto"/>
          <w:lang w:eastAsia="zh-CN"/>
        </w:rPr>
      </w:pPr>
      <w:r>
        <w:rPr>
          <w:color w:val="auto"/>
          <w:lang w:eastAsia="zh-CN"/>
        </w:rPr>
        <w:t xml:space="preserve">2) </w:t>
      </w:r>
      <w:r>
        <w:rPr>
          <w:rFonts w:hint="eastAsia"/>
          <w:color w:val="auto"/>
          <w:lang w:eastAsia="zh-CN"/>
        </w:rPr>
        <w:t>要能提示到全科，要能已读，医生还要可以反馈信息，可直接双击上报各种报卡等。</w:t>
      </w:r>
      <w:r>
        <w:rPr>
          <w:color w:val="auto"/>
          <w:lang w:eastAsia="zh-CN"/>
        </w:rPr>
        <w:t xml:space="preserve"> </w:t>
      </w:r>
    </w:p>
    <w:p w14:paraId="7F8B88DB">
      <w:pPr>
        <w:bidi w:val="0"/>
        <w:rPr>
          <w:rFonts w:hint="eastAsia"/>
          <w:color w:val="auto"/>
          <w:lang w:eastAsia="zh-CN"/>
        </w:rPr>
      </w:pPr>
      <w:r>
        <w:rPr>
          <w:color w:val="auto"/>
          <w:lang w:eastAsia="zh-CN"/>
        </w:rPr>
        <w:t xml:space="preserve">3) </w:t>
      </w:r>
      <w:r>
        <w:rPr>
          <w:rFonts w:hint="eastAsia"/>
          <w:color w:val="auto"/>
          <w:lang w:eastAsia="zh-CN"/>
        </w:rPr>
        <w:t>要能自定义设置给医生端查看相关统计报表的权限，可以控制到看全院或只能看本科室数据。</w:t>
      </w:r>
      <w:r>
        <w:rPr>
          <w:color w:val="auto"/>
          <w:lang w:eastAsia="zh-CN"/>
        </w:rPr>
        <w:t xml:space="preserve"> </w:t>
      </w:r>
    </w:p>
    <w:p w14:paraId="7DEBAFF6">
      <w:pPr>
        <w:bidi w:val="0"/>
        <w:rPr>
          <w:rFonts w:hint="eastAsia"/>
          <w:color w:val="auto"/>
          <w:lang w:eastAsia="zh-CN"/>
        </w:rPr>
      </w:pPr>
      <w:r>
        <w:rPr>
          <w:color w:val="auto"/>
          <w:lang w:eastAsia="zh-CN"/>
        </w:rPr>
        <w:t xml:space="preserve">4) </w:t>
      </w:r>
      <w:r>
        <w:rPr>
          <w:rFonts w:hint="eastAsia"/>
          <w:color w:val="auto"/>
          <w:lang w:eastAsia="zh-CN"/>
        </w:rPr>
        <w:t>要能保存和查询所有的沟通交流记录。</w:t>
      </w:r>
      <w:r>
        <w:rPr>
          <w:color w:val="auto"/>
          <w:lang w:eastAsia="zh-CN"/>
        </w:rPr>
        <w:t xml:space="preserve"> </w:t>
      </w:r>
    </w:p>
    <w:p w14:paraId="0FDA6BCA">
      <w:pPr>
        <w:bidi w:val="0"/>
        <w:rPr>
          <w:rFonts w:hint="eastAsia"/>
          <w:color w:val="auto"/>
          <w:lang w:eastAsia="zh-CN"/>
        </w:rPr>
      </w:pPr>
      <w:r>
        <w:rPr>
          <w:color w:val="auto"/>
          <w:lang w:eastAsia="zh-CN"/>
        </w:rPr>
        <w:t xml:space="preserve">5) </w:t>
      </w:r>
      <w:r>
        <w:rPr>
          <w:rFonts w:hint="eastAsia"/>
          <w:color w:val="auto"/>
          <w:lang w:eastAsia="zh-CN"/>
        </w:rPr>
        <w:t>要能反复提醒临床医生未完成事项。</w:t>
      </w:r>
      <w:r>
        <w:rPr>
          <w:color w:val="auto"/>
          <w:lang w:eastAsia="zh-CN"/>
        </w:rPr>
        <w:t xml:space="preserve"> </w:t>
      </w:r>
    </w:p>
    <w:p w14:paraId="0F3ADC08">
      <w:pPr>
        <w:bidi w:val="0"/>
        <w:rPr>
          <w:rFonts w:hint="eastAsia"/>
          <w:color w:val="auto"/>
          <w:lang w:eastAsia="zh-CN"/>
        </w:rPr>
      </w:pPr>
      <w:r>
        <w:rPr>
          <w:color w:val="auto"/>
          <w:lang w:eastAsia="zh-CN"/>
        </w:rPr>
        <w:t xml:space="preserve">6) </w:t>
      </w:r>
      <w:r>
        <w:rPr>
          <w:rFonts w:hint="eastAsia"/>
          <w:color w:val="auto"/>
          <w:lang w:eastAsia="zh-CN"/>
        </w:rPr>
        <w:t>要能直接查看消毒卫生检测结果</w:t>
      </w:r>
      <w:r>
        <w:rPr>
          <w:color w:val="auto"/>
          <w:lang w:eastAsia="zh-CN"/>
        </w:rPr>
        <w:t xml:space="preserve"> </w:t>
      </w:r>
    </w:p>
    <w:p w14:paraId="65C1EED7">
      <w:pPr>
        <w:bidi w:val="0"/>
        <w:rPr>
          <w:rFonts w:hint="eastAsia"/>
          <w:color w:val="auto"/>
          <w:lang w:eastAsia="zh-CN"/>
        </w:rPr>
      </w:pPr>
      <w:r>
        <w:rPr>
          <w:color w:val="auto"/>
          <w:lang w:eastAsia="zh-CN"/>
        </w:rPr>
        <w:t xml:space="preserve">7) </w:t>
      </w:r>
      <w:r>
        <w:rPr>
          <w:rFonts w:hint="eastAsia"/>
          <w:color w:val="auto"/>
          <w:lang w:eastAsia="zh-CN"/>
        </w:rPr>
        <w:t>要能开展现患率个案调查</w:t>
      </w:r>
      <w:r>
        <w:rPr>
          <w:color w:val="auto"/>
          <w:lang w:eastAsia="zh-CN"/>
        </w:rPr>
        <w:t xml:space="preserve"> </w:t>
      </w:r>
    </w:p>
    <w:p w14:paraId="46CDE738">
      <w:pPr>
        <w:bidi w:val="0"/>
        <w:rPr>
          <w:rFonts w:hint="eastAsia"/>
          <w:color w:val="auto"/>
          <w:lang w:eastAsia="zh-CN"/>
        </w:rPr>
      </w:pPr>
      <w:r>
        <w:rPr>
          <w:color w:val="auto"/>
          <w:lang w:eastAsia="zh-CN"/>
        </w:rPr>
        <w:t xml:space="preserve">8) </w:t>
      </w:r>
      <w:r>
        <w:rPr>
          <w:rFonts w:hint="eastAsia"/>
          <w:color w:val="auto"/>
          <w:lang w:eastAsia="zh-CN"/>
        </w:rPr>
        <w:t>要能开机自动启动</w:t>
      </w:r>
      <w:r>
        <w:rPr>
          <w:color w:val="auto"/>
          <w:lang w:eastAsia="zh-CN"/>
        </w:rPr>
        <w:t xml:space="preserve"> </w:t>
      </w:r>
    </w:p>
    <w:p w14:paraId="04C72D3E">
      <w:pPr>
        <w:bidi w:val="0"/>
        <w:rPr>
          <w:rFonts w:hint="eastAsia"/>
          <w:color w:val="auto"/>
          <w:lang w:eastAsia="zh-CN"/>
        </w:rPr>
      </w:pPr>
      <w:r>
        <w:rPr>
          <w:color w:val="auto"/>
          <w:lang w:eastAsia="zh-CN"/>
        </w:rPr>
        <w:t xml:space="preserve">9) </w:t>
      </w:r>
      <w:r>
        <w:rPr>
          <w:rFonts w:hint="eastAsia"/>
          <w:color w:val="auto"/>
          <w:lang w:eastAsia="zh-CN"/>
        </w:rPr>
        <w:t>要能逾时自动提醒到全科室电脑。</w:t>
      </w:r>
    </w:p>
    <w:p w14:paraId="58EDB036">
      <w:pPr>
        <w:pStyle w:val="188"/>
        <w:kinsoku w:val="0"/>
        <w:overflowPunct w:val="0"/>
        <w:spacing w:before="120" w:line="360" w:lineRule="auto"/>
        <w:ind w:right="100" w:firstLine="482"/>
        <w:jc w:val="both"/>
        <w:rPr>
          <w:rFonts w:hint="eastAsia" w:ascii="宋体" w:hAnsi="宋体" w:eastAsia="宋体" w:cs="宋体"/>
          <w:b/>
          <w:bCs/>
          <w:color w:val="auto"/>
          <w:sz w:val="24"/>
          <w:szCs w:val="24"/>
          <w:lang w:eastAsia="zh-CN"/>
        </w:rPr>
      </w:pPr>
      <w:bookmarkStart w:id="365" w:name="_Toc150931843"/>
      <w:r>
        <w:rPr>
          <w:rFonts w:hint="eastAsia" w:ascii="宋体" w:hAnsi="宋体" w:eastAsia="宋体" w:cs="宋体"/>
          <w:b/>
          <w:bCs/>
          <w:color w:val="auto"/>
          <w:sz w:val="24"/>
          <w:szCs w:val="24"/>
          <w:lang w:eastAsia="zh-CN"/>
        </w:rPr>
        <w:t>手卫生调查</w:t>
      </w:r>
      <w:bookmarkEnd w:id="365"/>
    </w:p>
    <w:p w14:paraId="244FF225">
      <w:pPr>
        <w:bidi w:val="0"/>
        <w:rPr>
          <w:rFonts w:hint="eastAsia"/>
          <w:color w:val="auto"/>
          <w:lang w:eastAsia="zh-CN"/>
        </w:rPr>
      </w:pPr>
      <w:r>
        <w:rPr>
          <w:color w:val="auto"/>
          <w:lang w:eastAsia="zh-CN"/>
        </w:rPr>
        <w:t>1)</w:t>
      </w:r>
      <w:r>
        <w:rPr>
          <w:rFonts w:hint="eastAsia"/>
          <w:color w:val="auto"/>
          <w:lang w:eastAsia="zh-CN"/>
        </w:rPr>
        <w:t>能开展全院手卫生调查。</w:t>
      </w:r>
      <w:r>
        <w:rPr>
          <w:color w:val="auto"/>
          <w:lang w:eastAsia="zh-CN"/>
        </w:rPr>
        <w:t xml:space="preserve"> </w:t>
      </w:r>
    </w:p>
    <w:p w14:paraId="7A11AA74">
      <w:pPr>
        <w:bidi w:val="0"/>
        <w:rPr>
          <w:rFonts w:hint="eastAsia"/>
          <w:color w:val="auto"/>
          <w:lang w:eastAsia="zh-CN"/>
        </w:rPr>
      </w:pPr>
      <w:r>
        <w:rPr>
          <w:color w:val="auto"/>
          <w:lang w:eastAsia="zh-CN"/>
        </w:rPr>
        <w:t>2)</w:t>
      </w:r>
      <w:r>
        <w:rPr>
          <w:rFonts w:hint="eastAsia"/>
          <w:color w:val="auto"/>
          <w:lang w:eastAsia="zh-CN"/>
        </w:rPr>
        <w:t>能按科室自动计算医务人员手卫生依从率和手卫生正确率；</w:t>
      </w:r>
      <w:r>
        <w:rPr>
          <w:color w:val="auto"/>
          <w:lang w:eastAsia="zh-CN"/>
        </w:rPr>
        <w:t xml:space="preserve">  </w:t>
      </w:r>
    </w:p>
    <w:p w14:paraId="66C3540D">
      <w:pPr>
        <w:bidi w:val="0"/>
        <w:rPr>
          <w:rFonts w:hint="eastAsia"/>
          <w:color w:val="auto"/>
          <w:lang w:eastAsia="zh-CN"/>
        </w:rPr>
      </w:pPr>
      <w:r>
        <w:rPr>
          <w:color w:val="auto"/>
          <w:lang w:eastAsia="zh-CN"/>
        </w:rPr>
        <w:t>3)</w:t>
      </w:r>
      <w:r>
        <w:rPr>
          <w:rFonts w:hint="eastAsia"/>
          <w:color w:val="auto"/>
          <w:lang w:eastAsia="zh-CN"/>
        </w:rPr>
        <w:t>能按医务人员职业自动计算医务人员手卫生依从率和手卫生正确率；</w:t>
      </w:r>
    </w:p>
    <w:p w14:paraId="05BFE43C">
      <w:pPr>
        <w:bidi w:val="0"/>
        <w:rPr>
          <w:rFonts w:hint="eastAsia"/>
          <w:color w:val="auto"/>
          <w:lang w:eastAsia="zh-CN"/>
        </w:rPr>
      </w:pPr>
      <w:r>
        <w:rPr>
          <w:color w:val="auto"/>
          <w:lang w:eastAsia="zh-CN"/>
        </w:rPr>
        <w:t>1)</w:t>
      </w:r>
      <w:r>
        <w:rPr>
          <w:rFonts w:hint="eastAsia"/>
          <w:color w:val="auto"/>
          <w:lang w:eastAsia="zh-CN"/>
        </w:rPr>
        <w:t>医院感染发病率调查监测</w:t>
      </w:r>
      <w:r>
        <w:rPr>
          <w:color w:val="auto"/>
          <w:lang w:eastAsia="zh-CN"/>
        </w:rPr>
        <w:t xml:space="preserve"> </w:t>
      </w:r>
    </w:p>
    <w:p w14:paraId="1B58CC0E">
      <w:pPr>
        <w:bidi w:val="0"/>
        <w:rPr>
          <w:rFonts w:hint="eastAsia"/>
          <w:color w:val="auto"/>
          <w:lang w:eastAsia="zh-CN"/>
        </w:rPr>
      </w:pPr>
      <w:r>
        <w:rPr>
          <w:color w:val="auto"/>
          <w:lang w:eastAsia="zh-CN"/>
        </w:rPr>
        <w:t>2)</w:t>
      </w:r>
      <w:r>
        <w:rPr>
          <w:rFonts w:hint="eastAsia"/>
          <w:color w:val="auto"/>
          <w:lang w:eastAsia="zh-CN"/>
        </w:rPr>
        <w:t>多重耐药菌（</w:t>
      </w:r>
      <w:r>
        <w:rPr>
          <w:color w:val="auto"/>
          <w:lang w:eastAsia="zh-CN"/>
        </w:rPr>
        <w:t>MDROs</w:t>
      </w:r>
      <w:r>
        <w:rPr>
          <w:rFonts w:hint="eastAsia"/>
          <w:color w:val="auto"/>
          <w:lang w:eastAsia="zh-CN"/>
        </w:rPr>
        <w:t>）检出情况监测</w:t>
      </w:r>
      <w:r>
        <w:rPr>
          <w:color w:val="auto"/>
          <w:lang w:eastAsia="zh-CN"/>
        </w:rPr>
        <w:t xml:space="preserve"> </w:t>
      </w:r>
    </w:p>
    <w:p w14:paraId="213C711D">
      <w:pPr>
        <w:bidi w:val="0"/>
        <w:rPr>
          <w:rFonts w:hint="eastAsia"/>
          <w:color w:val="auto"/>
          <w:lang w:eastAsia="zh-CN"/>
        </w:rPr>
      </w:pPr>
      <w:r>
        <w:rPr>
          <w:color w:val="auto"/>
          <w:lang w:eastAsia="zh-CN"/>
        </w:rPr>
        <w:t>3)</w:t>
      </w:r>
      <w:r>
        <w:rPr>
          <w:rFonts w:hint="eastAsia"/>
          <w:color w:val="auto"/>
          <w:lang w:eastAsia="zh-CN"/>
        </w:rPr>
        <w:t>多重耐药菌（</w:t>
      </w:r>
      <w:r>
        <w:rPr>
          <w:color w:val="auto"/>
          <w:lang w:eastAsia="zh-CN"/>
        </w:rPr>
        <w:t>MDROs</w:t>
      </w:r>
      <w:r>
        <w:rPr>
          <w:rFonts w:hint="eastAsia"/>
          <w:color w:val="auto"/>
          <w:lang w:eastAsia="zh-CN"/>
        </w:rPr>
        <w:t>）医院感染发生率监测</w:t>
      </w:r>
      <w:r>
        <w:rPr>
          <w:color w:val="auto"/>
          <w:lang w:eastAsia="zh-CN"/>
        </w:rPr>
        <w:t xml:space="preserve"> </w:t>
      </w:r>
    </w:p>
    <w:p w14:paraId="39E34AD9">
      <w:pPr>
        <w:bidi w:val="0"/>
        <w:rPr>
          <w:rFonts w:hint="eastAsia"/>
          <w:color w:val="auto"/>
          <w:lang w:eastAsia="zh-CN"/>
        </w:rPr>
      </w:pPr>
      <w:r>
        <w:rPr>
          <w:color w:val="auto"/>
          <w:lang w:eastAsia="zh-CN"/>
        </w:rPr>
        <w:t>4)</w:t>
      </w:r>
      <w:r>
        <w:rPr>
          <w:rFonts w:hint="eastAsia"/>
          <w:color w:val="auto"/>
          <w:lang w:eastAsia="zh-CN"/>
        </w:rPr>
        <w:t>住院患者抗菌药物使用率监测</w:t>
      </w:r>
      <w:r>
        <w:rPr>
          <w:color w:val="auto"/>
          <w:lang w:eastAsia="zh-CN"/>
        </w:rPr>
        <w:t xml:space="preserve"> </w:t>
      </w:r>
    </w:p>
    <w:p w14:paraId="2583A954">
      <w:pPr>
        <w:bidi w:val="0"/>
        <w:rPr>
          <w:rFonts w:hint="eastAsia"/>
          <w:color w:val="auto"/>
          <w:lang w:eastAsia="zh-CN"/>
        </w:rPr>
      </w:pPr>
      <w:r>
        <w:rPr>
          <w:color w:val="auto"/>
          <w:lang w:eastAsia="zh-CN"/>
        </w:rPr>
        <w:t>5)</w:t>
      </w:r>
      <w:r>
        <w:rPr>
          <w:rFonts w:hint="eastAsia"/>
          <w:color w:val="auto"/>
          <w:lang w:eastAsia="zh-CN"/>
        </w:rPr>
        <w:t>抗菌药物治疗前病原体送检率监测</w:t>
      </w:r>
      <w:r>
        <w:rPr>
          <w:color w:val="auto"/>
          <w:lang w:eastAsia="zh-CN"/>
        </w:rPr>
        <w:t xml:space="preserve"> </w:t>
      </w:r>
    </w:p>
    <w:p w14:paraId="3BAFAC21">
      <w:pPr>
        <w:bidi w:val="0"/>
        <w:rPr>
          <w:rFonts w:hint="eastAsia"/>
          <w:color w:val="auto"/>
          <w:lang w:eastAsia="zh-CN"/>
        </w:rPr>
      </w:pPr>
      <w:r>
        <w:rPr>
          <w:color w:val="auto"/>
          <w:lang w:eastAsia="zh-CN"/>
        </w:rPr>
        <w:t>6)</w:t>
      </w:r>
      <w:r>
        <w:rPr>
          <w:rFonts w:hint="eastAsia"/>
          <w:color w:val="auto"/>
          <w:lang w:eastAsia="zh-CN"/>
        </w:rPr>
        <w:t>不同切口类型手术部位感染（</w:t>
      </w:r>
      <w:r>
        <w:rPr>
          <w:color w:val="auto"/>
          <w:lang w:eastAsia="zh-CN"/>
        </w:rPr>
        <w:t>SSI</w:t>
      </w:r>
      <w:r>
        <w:rPr>
          <w:rFonts w:hint="eastAsia"/>
          <w:color w:val="auto"/>
          <w:lang w:eastAsia="zh-CN"/>
        </w:rPr>
        <w:t>）监测</w:t>
      </w:r>
      <w:r>
        <w:rPr>
          <w:color w:val="auto"/>
          <w:lang w:eastAsia="zh-CN"/>
        </w:rPr>
        <w:t xml:space="preserve"> </w:t>
      </w:r>
    </w:p>
    <w:p w14:paraId="18E523E1">
      <w:pPr>
        <w:bidi w:val="0"/>
        <w:rPr>
          <w:rFonts w:hint="eastAsia"/>
          <w:color w:val="auto"/>
          <w:lang w:eastAsia="zh-CN"/>
        </w:rPr>
      </w:pPr>
      <w:r>
        <w:rPr>
          <w:color w:val="auto"/>
          <w:lang w:eastAsia="zh-CN"/>
        </w:rPr>
        <w:t xml:space="preserve">7)I </w:t>
      </w:r>
      <w:r>
        <w:rPr>
          <w:rFonts w:hint="eastAsia"/>
          <w:color w:val="auto"/>
          <w:lang w:eastAsia="zh-CN"/>
        </w:rPr>
        <w:t>类切口手术抗菌药物预防使用率监测</w:t>
      </w:r>
      <w:r>
        <w:rPr>
          <w:color w:val="auto"/>
          <w:lang w:eastAsia="zh-CN"/>
        </w:rPr>
        <w:t xml:space="preserve"> </w:t>
      </w:r>
      <w:r>
        <w:rPr>
          <w:rFonts w:hint="eastAsia"/>
          <w:color w:val="auto"/>
          <w:lang w:eastAsia="zh-CN"/>
        </w:rPr>
        <w:t>（术前30min-1 h预防用药例数、术前使用术后未用、术后预防用药≤24h例数、术后预防用药24-48h例数、术后预防用药≥48h例数），预防联合用药（一联、二联、三联）例数。</w:t>
      </w:r>
    </w:p>
    <w:p w14:paraId="5F38B304">
      <w:pPr>
        <w:bidi w:val="0"/>
        <w:rPr>
          <w:rFonts w:hint="eastAsia"/>
          <w:color w:val="auto"/>
          <w:lang w:eastAsia="zh-CN"/>
        </w:rPr>
      </w:pPr>
      <w:r>
        <w:rPr>
          <w:color w:val="auto"/>
          <w:lang w:eastAsia="zh-CN"/>
        </w:rPr>
        <w:t xml:space="preserve">8)ICU </w:t>
      </w:r>
      <w:r>
        <w:rPr>
          <w:rFonts w:hint="eastAsia"/>
          <w:color w:val="auto"/>
          <w:lang w:eastAsia="zh-CN"/>
        </w:rPr>
        <w:t>医务人员手卫生依从性调查</w:t>
      </w:r>
      <w:r>
        <w:rPr>
          <w:color w:val="auto"/>
          <w:lang w:eastAsia="zh-CN"/>
        </w:rPr>
        <w:t xml:space="preserve"> </w:t>
      </w:r>
    </w:p>
    <w:p w14:paraId="5C2322E0">
      <w:pPr>
        <w:bidi w:val="0"/>
        <w:rPr>
          <w:rFonts w:hint="eastAsia"/>
          <w:color w:val="auto"/>
          <w:lang w:eastAsia="zh-CN"/>
        </w:rPr>
      </w:pPr>
      <w:r>
        <w:rPr>
          <w:color w:val="auto"/>
          <w:lang w:eastAsia="zh-CN"/>
        </w:rPr>
        <w:t>9)</w:t>
      </w:r>
      <w:r>
        <w:rPr>
          <w:rFonts w:hint="eastAsia"/>
          <w:color w:val="auto"/>
          <w:lang w:eastAsia="zh-CN"/>
        </w:rPr>
        <w:t>呼吸机相关肺炎（</w:t>
      </w:r>
      <w:r>
        <w:rPr>
          <w:color w:val="auto"/>
          <w:lang w:eastAsia="zh-CN"/>
        </w:rPr>
        <w:t>VAP</w:t>
      </w:r>
      <w:r>
        <w:rPr>
          <w:rFonts w:hint="eastAsia"/>
          <w:color w:val="auto"/>
          <w:lang w:eastAsia="zh-CN"/>
        </w:rPr>
        <w:t>）及床头抬高预防数据</w:t>
      </w:r>
      <w:r>
        <w:rPr>
          <w:color w:val="auto"/>
          <w:lang w:eastAsia="zh-CN"/>
        </w:rPr>
        <w:t xml:space="preserve"> </w:t>
      </w:r>
    </w:p>
    <w:p w14:paraId="660A1824">
      <w:pPr>
        <w:bidi w:val="0"/>
        <w:rPr>
          <w:rFonts w:hint="eastAsia"/>
          <w:color w:val="auto"/>
          <w:lang w:eastAsia="zh-CN"/>
        </w:rPr>
      </w:pPr>
      <w:r>
        <w:rPr>
          <w:color w:val="auto"/>
          <w:lang w:eastAsia="zh-CN"/>
        </w:rPr>
        <w:t>10)</w:t>
      </w:r>
      <w:r>
        <w:rPr>
          <w:rFonts w:hint="eastAsia"/>
          <w:color w:val="auto"/>
          <w:lang w:eastAsia="zh-CN"/>
        </w:rPr>
        <w:t>中心静脉导管相关血流感染（</w:t>
      </w:r>
      <w:r>
        <w:rPr>
          <w:color w:val="auto"/>
          <w:lang w:eastAsia="zh-CN"/>
        </w:rPr>
        <w:t>CLA-BSI</w:t>
      </w:r>
      <w:r>
        <w:rPr>
          <w:rFonts w:hint="eastAsia"/>
          <w:color w:val="auto"/>
          <w:lang w:eastAsia="zh-CN"/>
        </w:rPr>
        <w:t>）监测数据</w:t>
      </w:r>
      <w:r>
        <w:rPr>
          <w:color w:val="auto"/>
          <w:lang w:eastAsia="zh-CN"/>
        </w:rPr>
        <w:t xml:space="preserve"> </w:t>
      </w:r>
    </w:p>
    <w:p w14:paraId="00DB7454">
      <w:pPr>
        <w:bidi w:val="0"/>
        <w:rPr>
          <w:rFonts w:hint="eastAsia"/>
          <w:color w:val="auto"/>
          <w:lang w:eastAsia="zh-CN"/>
        </w:rPr>
      </w:pPr>
      <w:r>
        <w:rPr>
          <w:color w:val="auto"/>
          <w:lang w:eastAsia="zh-CN"/>
        </w:rPr>
        <w:t>11)</w:t>
      </w:r>
      <w:r>
        <w:rPr>
          <w:rFonts w:hint="eastAsia"/>
          <w:color w:val="auto"/>
          <w:lang w:eastAsia="zh-CN"/>
        </w:rPr>
        <w:t>导尿管相关尿路感染（</w:t>
      </w:r>
      <w:r>
        <w:rPr>
          <w:color w:val="auto"/>
          <w:lang w:eastAsia="zh-CN"/>
        </w:rPr>
        <w:t>CA-UTI</w:t>
      </w:r>
      <w:r>
        <w:rPr>
          <w:rFonts w:hint="eastAsia"/>
          <w:color w:val="auto"/>
          <w:lang w:eastAsia="zh-CN"/>
        </w:rPr>
        <w:t>）监测数据</w:t>
      </w:r>
      <w:r>
        <w:rPr>
          <w:color w:val="auto"/>
          <w:lang w:eastAsia="zh-CN"/>
        </w:rPr>
        <w:t xml:space="preserve"> </w:t>
      </w:r>
    </w:p>
    <w:p w14:paraId="701D7AFC">
      <w:pPr>
        <w:bidi w:val="0"/>
        <w:rPr>
          <w:rFonts w:hint="eastAsia"/>
          <w:color w:val="auto"/>
          <w:lang w:eastAsia="zh-CN"/>
        </w:rPr>
      </w:pPr>
      <w:r>
        <w:rPr>
          <w:color w:val="auto"/>
          <w:lang w:eastAsia="zh-CN"/>
        </w:rPr>
        <w:t>12)</w:t>
      </w:r>
      <w:r>
        <w:rPr>
          <w:rFonts w:hint="eastAsia"/>
          <w:color w:val="auto"/>
          <w:lang w:eastAsia="zh-CN"/>
        </w:rPr>
        <w:t>新生儿医院感染监测</w:t>
      </w:r>
      <w:r>
        <w:rPr>
          <w:color w:val="auto"/>
          <w:lang w:eastAsia="zh-CN"/>
        </w:rPr>
        <w:t xml:space="preserve"> </w:t>
      </w:r>
    </w:p>
    <w:p w14:paraId="52C44C78">
      <w:pPr>
        <w:bidi w:val="0"/>
        <w:rPr>
          <w:rFonts w:hint="eastAsia"/>
          <w:color w:val="auto"/>
          <w:lang w:eastAsia="zh-CN"/>
        </w:rPr>
      </w:pPr>
      <w:r>
        <w:rPr>
          <w:color w:val="auto"/>
          <w:lang w:eastAsia="zh-CN"/>
        </w:rPr>
        <w:t>13)</w:t>
      </w:r>
      <w:r>
        <w:rPr>
          <w:rFonts w:hint="eastAsia"/>
          <w:color w:val="auto"/>
          <w:lang w:eastAsia="zh-CN"/>
        </w:rPr>
        <w:t>医院感染漏报率</w:t>
      </w:r>
      <w:r>
        <w:rPr>
          <w:color w:val="auto"/>
          <w:lang w:eastAsia="zh-CN"/>
        </w:rPr>
        <w:t xml:space="preserve"> </w:t>
      </w:r>
    </w:p>
    <w:p w14:paraId="61EB2B10">
      <w:pPr>
        <w:bidi w:val="0"/>
        <w:rPr>
          <w:rFonts w:hint="eastAsia"/>
          <w:color w:val="auto"/>
          <w:lang w:eastAsia="zh-CN"/>
        </w:rPr>
      </w:pPr>
      <w:r>
        <w:rPr>
          <w:color w:val="auto"/>
          <w:lang w:eastAsia="zh-CN"/>
        </w:rPr>
        <w:t>14)</w:t>
      </w:r>
      <w:r>
        <w:rPr>
          <w:rFonts w:hint="eastAsia"/>
          <w:color w:val="auto"/>
          <w:lang w:eastAsia="zh-CN"/>
        </w:rPr>
        <w:t>现患率调查</w:t>
      </w:r>
      <w:r>
        <w:rPr>
          <w:color w:val="auto"/>
          <w:lang w:eastAsia="zh-CN"/>
        </w:rPr>
        <w:t>-</w:t>
      </w:r>
      <w:r>
        <w:rPr>
          <w:rFonts w:hint="eastAsia"/>
          <w:color w:val="auto"/>
          <w:lang w:eastAsia="zh-CN"/>
        </w:rPr>
        <w:t>医院感染现患率</w:t>
      </w:r>
      <w:r>
        <w:rPr>
          <w:color w:val="auto"/>
          <w:lang w:eastAsia="zh-CN"/>
        </w:rPr>
        <w:t xml:space="preserve"> </w:t>
      </w:r>
    </w:p>
    <w:p w14:paraId="1A59FD33">
      <w:pPr>
        <w:bidi w:val="0"/>
        <w:rPr>
          <w:rFonts w:hint="eastAsia"/>
          <w:color w:val="auto"/>
          <w:lang w:eastAsia="zh-CN"/>
        </w:rPr>
      </w:pPr>
      <w:r>
        <w:rPr>
          <w:color w:val="auto"/>
          <w:lang w:eastAsia="zh-CN"/>
        </w:rPr>
        <w:t>15)</w:t>
      </w:r>
      <w:r>
        <w:rPr>
          <w:rFonts w:hint="eastAsia"/>
          <w:color w:val="auto"/>
          <w:lang w:eastAsia="zh-CN"/>
        </w:rPr>
        <w:t>现患率调查</w:t>
      </w:r>
      <w:r>
        <w:rPr>
          <w:color w:val="auto"/>
          <w:lang w:eastAsia="zh-CN"/>
        </w:rPr>
        <w:t>-</w:t>
      </w:r>
      <w:r>
        <w:rPr>
          <w:rFonts w:hint="eastAsia"/>
          <w:color w:val="auto"/>
          <w:lang w:eastAsia="zh-CN"/>
        </w:rPr>
        <w:t>医院感染病原体分布</w:t>
      </w:r>
    </w:p>
    <w:p w14:paraId="2438D77A">
      <w:pPr>
        <w:pStyle w:val="14"/>
        <w:bidi w:val="0"/>
        <w:rPr>
          <w:color w:val="auto"/>
        </w:rPr>
      </w:pPr>
      <w:r>
        <w:rPr>
          <w:rFonts w:hint="eastAsia"/>
          <w:color w:val="auto"/>
          <w:lang w:val="en-US" w:eastAsia="zh-CN"/>
        </w:rPr>
        <w:t xml:space="preserve"> </w:t>
      </w:r>
      <w:r>
        <w:rPr>
          <w:rFonts w:hint="eastAsia"/>
          <w:color w:val="auto"/>
        </w:rPr>
        <w:t>传染病上报</w:t>
      </w:r>
    </w:p>
    <w:p w14:paraId="74AC782F">
      <w:pPr>
        <w:bidi w:val="0"/>
        <w:rPr>
          <w:color w:val="auto"/>
        </w:rPr>
      </w:pPr>
      <w:r>
        <w:rPr>
          <w:color w:val="auto"/>
        </w:rPr>
        <w:t>自动关联诊断生成传染病/肿瘤等报卡，支持地址智能转换与附卡生成，简化上报流程并确保疾控数据准确性。</w:t>
      </w:r>
    </w:p>
    <w:p w14:paraId="34E5D692">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950B055">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66" w:name="_Toc117237730"/>
      <w:r>
        <w:rPr>
          <w:rFonts w:hint="eastAsia" w:ascii="宋体" w:hAnsi="宋体" w:eastAsia="宋体" w:cs="宋体"/>
          <w:b/>
          <w:bCs/>
          <w:color w:val="auto"/>
          <w:sz w:val="24"/>
          <w:szCs w:val="24"/>
          <w:lang w:eastAsia="zh-CN"/>
        </w:rPr>
        <w:t>医生报卡管理</w:t>
      </w:r>
      <w:bookmarkEnd w:id="366"/>
    </w:p>
    <w:p w14:paraId="5838E130">
      <w:pPr>
        <w:pStyle w:val="94"/>
        <w:numPr>
          <w:ilvl w:val="0"/>
          <w:numId w:val="183"/>
        </w:numPr>
        <w:ind w:left="0" w:firstLine="480"/>
        <w:rPr>
          <w:color w:val="auto"/>
          <w:sz w:val="24"/>
        </w:rPr>
      </w:pPr>
      <w:bookmarkStart w:id="367" w:name="_Toc117237731"/>
      <w:r>
        <w:rPr>
          <w:rFonts w:hint="eastAsia"/>
          <w:color w:val="auto"/>
          <w:sz w:val="24"/>
        </w:rPr>
        <w:t>所有报卡均自动提取患者一般情况信息，门诊病例包括姓名、性别、年龄等，住院病例包括姓名、性别、年龄、住址、电话、身份证等。</w:t>
      </w:r>
    </w:p>
    <w:p w14:paraId="7AE5476E">
      <w:pPr>
        <w:pStyle w:val="94"/>
        <w:numPr>
          <w:ilvl w:val="0"/>
          <w:numId w:val="183"/>
        </w:numPr>
        <w:ind w:left="0" w:firstLine="480"/>
        <w:rPr>
          <w:color w:val="auto"/>
          <w:sz w:val="24"/>
        </w:rPr>
      </w:pPr>
      <w:r>
        <w:rPr>
          <w:rFonts w:hint="eastAsia"/>
          <w:color w:val="auto"/>
          <w:sz w:val="24"/>
        </w:rPr>
        <w:t>报卡中所有的必填项目要有醒目的颜色标识。</w:t>
      </w:r>
    </w:p>
    <w:p w14:paraId="4F51F4F5">
      <w:pPr>
        <w:pStyle w:val="94"/>
        <w:numPr>
          <w:ilvl w:val="0"/>
          <w:numId w:val="183"/>
        </w:numPr>
        <w:ind w:left="0" w:firstLine="480"/>
        <w:rPr>
          <w:color w:val="auto"/>
          <w:sz w:val="24"/>
        </w:rPr>
      </w:pPr>
      <w:r>
        <w:rPr>
          <w:rFonts w:hint="eastAsia"/>
          <w:color w:val="auto"/>
          <w:sz w:val="24"/>
        </w:rPr>
        <w:t>传染病报告卡：14周岁以下儿童报卡时应强制填报家长姓名信息。</w:t>
      </w:r>
    </w:p>
    <w:p w14:paraId="6FCEFD0A">
      <w:pPr>
        <w:pStyle w:val="94"/>
        <w:numPr>
          <w:ilvl w:val="0"/>
          <w:numId w:val="183"/>
        </w:numPr>
        <w:ind w:left="0" w:firstLine="480"/>
        <w:rPr>
          <w:color w:val="auto"/>
          <w:sz w:val="24"/>
        </w:rPr>
      </w:pPr>
      <w:r>
        <w:rPr>
          <w:rFonts w:hint="eastAsia"/>
          <w:color w:val="auto"/>
          <w:sz w:val="24"/>
        </w:rPr>
        <w:t>传染病报告卡:根据传染病诊断名称自动附加传染病相应附卡。</w:t>
      </w:r>
    </w:p>
    <w:p w14:paraId="64A0FDA1">
      <w:pPr>
        <w:pStyle w:val="94"/>
        <w:numPr>
          <w:ilvl w:val="0"/>
          <w:numId w:val="183"/>
        </w:numPr>
        <w:ind w:left="0" w:firstLine="480"/>
        <w:rPr>
          <w:color w:val="auto"/>
          <w:sz w:val="24"/>
        </w:rPr>
      </w:pPr>
      <w:r>
        <w:rPr>
          <w:rFonts w:hint="eastAsia"/>
          <w:color w:val="auto"/>
          <w:sz w:val="24"/>
        </w:rPr>
        <w:t xml:space="preserve">在报卡界面，醒目显示当前报卡的状态。 </w:t>
      </w:r>
    </w:p>
    <w:p w14:paraId="16536C0D">
      <w:pPr>
        <w:pStyle w:val="94"/>
        <w:numPr>
          <w:ilvl w:val="0"/>
          <w:numId w:val="183"/>
        </w:numPr>
        <w:ind w:left="0" w:firstLine="480"/>
        <w:rPr>
          <w:color w:val="auto"/>
          <w:sz w:val="24"/>
        </w:rPr>
      </w:pPr>
      <w:r>
        <w:rPr>
          <w:rFonts w:hint="eastAsia"/>
          <w:color w:val="auto"/>
          <w:sz w:val="24"/>
        </w:rPr>
        <w:t>支持同一页面显示出多个传染病及多个传染病附卡。</w:t>
      </w:r>
    </w:p>
    <w:p w14:paraId="475D35AC">
      <w:pPr>
        <w:pStyle w:val="94"/>
        <w:numPr>
          <w:ilvl w:val="0"/>
          <w:numId w:val="183"/>
        </w:numPr>
        <w:ind w:left="0" w:firstLine="480"/>
        <w:rPr>
          <w:color w:val="auto"/>
          <w:sz w:val="24"/>
        </w:rPr>
      </w:pPr>
      <w:r>
        <w:rPr>
          <w:rFonts w:hint="eastAsia"/>
          <w:color w:val="auto"/>
          <w:sz w:val="24"/>
        </w:rPr>
        <w:t>支持对病人地址进行疾控标准地址的精准智能转换。能通过地址快速分析到省、市、县、区。可识别比较复杂的地址模式。</w:t>
      </w:r>
    </w:p>
    <w:p w14:paraId="0A950F7A">
      <w:pPr>
        <w:pStyle w:val="94"/>
        <w:numPr>
          <w:ilvl w:val="0"/>
          <w:numId w:val="183"/>
        </w:numPr>
        <w:ind w:left="0" w:firstLine="480"/>
        <w:rPr>
          <w:color w:val="auto"/>
          <w:sz w:val="24"/>
        </w:rPr>
      </w:pPr>
      <w:r>
        <w:rPr>
          <w:rFonts w:hint="eastAsia"/>
          <w:color w:val="auto"/>
          <w:sz w:val="24"/>
        </w:rPr>
        <w:t>集中展示出医生所有待上报卡片，并可同时打开多个不同传染病、疾病报卡。</w:t>
      </w:r>
    </w:p>
    <w:p w14:paraId="293766CE">
      <w:pPr>
        <w:pStyle w:val="94"/>
        <w:numPr>
          <w:ilvl w:val="0"/>
          <w:numId w:val="183"/>
        </w:numPr>
        <w:ind w:left="0" w:firstLine="480"/>
        <w:rPr>
          <w:color w:val="auto"/>
          <w:sz w:val="24"/>
        </w:rPr>
      </w:pPr>
      <w:r>
        <w:rPr>
          <w:rFonts w:hint="eastAsia"/>
          <w:color w:val="auto"/>
          <w:sz w:val="24"/>
        </w:rPr>
        <w:t>可方便快速查看每个报卡的填写说明</w:t>
      </w:r>
    </w:p>
    <w:p w14:paraId="26077921">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中华人民共和国传染病报告卡</w:t>
      </w:r>
      <w:bookmarkEnd w:id="367"/>
    </w:p>
    <w:p w14:paraId="631ED5F9">
      <w:pPr>
        <w:pStyle w:val="94"/>
        <w:numPr>
          <w:ilvl w:val="0"/>
          <w:numId w:val="184"/>
        </w:numPr>
        <w:ind w:firstLineChars="0"/>
        <w:rPr>
          <w:color w:val="auto"/>
          <w:sz w:val="24"/>
        </w:rPr>
      </w:pPr>
      <w:bookmarkStart w:id="368" w:name="_Toc117237737"/>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6026698D">
      <w:pPr>
        <w:pStyle w:val="94"/>
        <w:numPr>
          <w:ilvl w:val="0"/>
          <w:numId w:val="184"/>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64D7A7F1">
      <w:pPr>
        <w:pStyle w:val="94"/>
        <w:numPr>
          <w:ilvl w:val="0"/>
          <w:numId w:val="184"/>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5E845069">
      <w:pPr>
        <w:pStyle w:val="94"/>
        <w:numPr>
          <w:ilvl w:val="0"/>
          <w:numId w:val="184"/>
        </w:numPr>
        <w:ind w:left="0" w:firstLine="480"/>
        <w:rPr>
          <w:color w:val="auto"/>
          <w:sz w:val="24"/>
        </w:rPr>
      </w:pPr>
      <w:r>
        <w:rPr>
          <w:color w:val="auto"/>
          <w:sz w:val="24"/>
        </w:rPr>
        <w:t>支持定义报告卡弹出关联诊断类型</w:t>
      </w:r>
      <w:r>
        <w:rPr>
          <w:rFonts w:hint="eastAsia"/>
          <w:color w:val="auto"/>
          <w:sz w:val="24"/>
        </w:rPr>
        <w:t>。</w:t>
      </w:r>
    </w:p>
    <w:p w14:paraId="579F11E0">
      <w:pPr>
        <w:pStyle w:val="94"/>
        <w:numPr>
          <w:ilvl w:val="0"/>
          <w:numId w:val="184"/>
        </w:numPr>
        <w:ind w:left="0" w:firstLine="480"/>
        <w:rPr>
          <w:color w:val="auto"/>
          <w:sz w:val="24"/>
        </w:rPr>
      </w:pPr>
      <w:r>
        <w:rPr>
          <w:color w:val="auto"/>
          <w:sz w:val="24"/>
        </w:rPr>
        <w:t>支持患者信息自动导入</w:t>
      </w:r>
      <w:r>
        <w:rPr>
          <w:rFonts w:hint="eastAsia"/>
          <w:color w:val="auto"/>
          <w:sz w:val="24"/>
        </w:rPr>
        <w:t>。</w:t>
      </w:r>
    </w:p>
    <w:p w14:paraId="0D50C5D2">
      <w:pPr>
        <w:pStyle w:val="94"/>
        <w:numPr>
          <w:ilvl w:val="0"/>
          <w:numId w:val="184"/>
        </w:numPr>
        <w:ind w:left="0" w:firstLine="480"/>
        <w:rPr>
          <w:color w:val="auto"/>
          <w:sz w:val="24"/>
        </w:rPr>
      </w:pPr>
      <w:r>
        <w:rPr>
          <w:color w:val="auto"/>
          <w:sz w:val="24"/>
        </w:rPr>
        <w:t>支持打印或导出报告卡内容</w:t>
      </w:r>
      <w:r>
        <w:rPr>
          <w:rFonts w:hint="eastAsia"/>
          <w:color w:val="auto"/>
          <w:sz w:val="24"/>
        </w:rPr>
        <w:t>。</w:t>
      </w:r>
    </w:p>
    <w:p w14:paraId="11D2462B">
      <w:pPr>
        <w:pStyle w:val="94"/>
        <w:numPr>
          <w:ilvl w:val="0"/>
          <w:numId w:val="184"/>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746D7BAA">
      <w:pPr>
        <w:pStyle w:val="94"/>
        <w:numPr>
          <w:ilvl w:val="0"/>
          <w:numId w:val="184"/>
        </w:numPr>
        <w:ind w:left="0" w:firstLine="480"/>
        <w:rPr>
          <w:color w:val="auto"/>
          <w:sz w:val="24"/>
        </w:rPr>
      </w:pPr>
      <w:r>
        <w:rPr>
          <w:color w:val="auto"/>
          <w:sz w:val="24"/>
        </w:rPr>
        <w:t>支持定义时间范围内不再重复报卡</w:t>
      </w:r>
      <w:r>
        <w:rPr>
          <w:rFonts w:hint="eastAsia"/>
          <w:color w:val="auto"/>
          <w:sz w:val="24"/>
        </w:rPr>
        <w:t>。</w:t>
      </w:r>
    </w:p>
    <w:p w14:paraId="2EF6A7BC">
      <w:pPr>
        <w:pStyle w:val="94"/>
        <w:numPr>
          <w:ilvl w:val="0"/>
          <w:numId w:val="184"/>
        </w:numPr>
        <w:ind w:left="0" w:firstLine="480"/>
        <w:rPr>
          <w:color w:val="auto"/>
          <w:sz w:val="24"/>
        </w:rPr>
      </w:pPr>
      <w:r>
        <w:rPr>
          <w:rFonts w:hint="eastAsia"/>
          <w:color w:val="auto"/>
          <w:sz w:val="24"/>
        </w:rPr>
        <w:t>包含传染病（艾滋病性病附卡）</w:t>
      </w:r>
    </w:p>
    <w:p w14:paraId="387E0FF8">
      <w:pPr>
        <w:pStyle w:val="94"/>
        <w:numPr>
          <w:ilvl w:val="0"/>
          <w:numId w:val="184"/>
        </w:numPr>
        <w:ind w:left="0" w:firstLine="480"/>
        <w:rPr>
          <w:color w:val="auto"/>
          <w:sz w:val="24"/>
        </w:rPr>
      </w:pPr>
      <w:r>
        <w:rPr>
          <w:rFonts w:hint="eastAsia"/>
          <w:color w:val="auto"/>
          <w:sz w:val="24"/>
        </w:rPr>
        <w:t>传染病（手足口病附卡）</w:t>
      </w:r>
    </w:p>
    <w:p w14:paraId="6ECE2289">
      <w:pPr>
        <w:pStyle w:val="94"/>
        <w:numPr>
          <w:ilvl w:val="0"/>
          <w:numId w:val="184"/>
        </w:numPr>
        <w:ind w:left="0" w:firstLine="480"/>
        <w:rPr>
          <w:color w:val="auto"/>
          <w:sz w:val="24"/>
        </w:rPr>
      </w:pPr>
      <w:r>
        <w:rPr>
          <w:rFonts w:hint="eastAsia"/>
          <w:color w:val="auto"/>
          <w:sz w:val="24"/>
        </w:rPr>
        <w:t>传染病（乙肝附卡）</w:t>
      </w:r>
    </w:p>
    <w:bookmarkEnd w:id="368"/>
    <w:p w14:paraId="506F9DFC">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69" w:name="_Toc153618390"/>
      <w:r>
        <w:rPr>
          <w:rFonts w:hint="eastAsia" w:ascii="宋体" w:hAnsi="宋体" w:eastAsia="宋体" w:cs="宋体"/>
          <w:b/>
          <w:bCs/>
          <w:color w:val="auto"/>
          <w:sz w:val="24"/>
          <w:szCs w:val="24"/>
          <w:lang w:eastAsia="zh-CN"/>
        </w:rPr>
        <w:t>肿瘤卡上报</w:t>
      </w:r>
      <w:bookmarkEnd w:id="369"/>
    </w:p>
    <w:p w14:paraId="78E8E6F0">
      <w:pPr>
        <w:pStyle w:val="94"/>
        <w:numPr>
          <w:ilvl w:val="0"/>
          <w:numId w:val="185"/>
        </w:numPr>
        <w:ind w:firstLineChars="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11901287">
      <w:pPr>
        <w:pStyle w:val="94"/>
        <w:numPr>
          <w:ilvl w:val="0"/>
          <w:numId w:val="185"/>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759E3120">
      <w:pPr>
        <w:pStyle w:val="94"/>
        <w:numPr>
          <w:ilvl w:val="0"/>
          <w:numId w:val="185"/>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7F0997A1">
      <w:pPr>
        <w:pStyle w:val="94"/>
        <w:numPr>
          <w:ilvl w:val="0"/>
          <w:numId w:val="185"/>
        </w:numPr>
        <w:ind w:left="0" w:firstLine="480"/>
        <w:rPr>
          <w:color w:val="auto"/>
          <w:sz w:val="24"/>
        </w:rPr>
      </w:pPr>
      <w:r>
        <w:rPr>
          <w:color w:val="auto"/>
          <w:sz w:val="24"/>
        </w:rPr>
        <w:t>支持定义报告卡弹出关联诊断类型</w:t>
      </w:r>
      <w:r>
        <w:rPr>
          <w:rFonts w:hint="eastAsia"/>
          <w:color w:val="auto"/>
          <w:sz w:val="24"/>
        </w:rPr>
        <w:t>。</w:t>
      </w:r>
    </w:p>
    <w:p w14:paraId="780A2B09">
      <w:pPr>
        <w:pStyle w:val="94"/>
        <w:numPr>
          <w:ilvl w:val="0"/>
          <w:numId w:val="185"/>
        </w:numPr>
        <w:ind w:left="0" w:firstLine="480"/>
        <w:rPr>
          <w:color w:val="auto"/>
          <w:sz w:val="24"/>
        </w:rPr>
      </w:pPr>
      <w:r>
        <w:rPr>
          <w:color w:val="auto"/>
          <w:sz w:val="24"/>
        </w:rPr>
        <w:t>支持患者信息自动导入</w:t>
      </w:r>
      <w:r>
        <w:rPr>
          <w:rFonts w:hint="eastAsia"/>
          <w:color w:val="auto"/>
          <w:sz w:val="24"/>
        </w:rPr>
        <w:t>。</w:t>
      </w:r>
    </w:p>
    <w:p w14:paraId="65F5FD7F">
      <w:pPr>
        <w:pStyle w:val="94"/>
        <w:numPr>
          <w:ilvl w:val="0"/>
          <w:numId w:val="185"/>
        </w:numPr>
        <w:ind w:left="0" w:firstLine="480"/>
        <w:rPr>
          <w:color w:val="auto"/>
          <w:sz w:val="24"/>
        </w:rPr>
      </w:pPr>
      <w:r>
        <w:rPr>
          <w:color w:val="auto"/>
          <w:sz w:val="24"/>
        </w:rPr>
        <w:t>支持打印或导出报告卡内容</w:t>
      </w:r>
      <w:r>
        <w:rPr>
          <w:rFonts w:hint="eastAsia"/>
          <w:color w:val="auto"/>
          <w:sz w:val="24"/>
        </w:rPr>
        <w:t>。</w:t>
      </w:r>
    </w:p>
    <w:p w14:paraId="418DCA5F">
      <w:pPr>
        <w:pStyle w:val="94"/>
        <w:numPr>
          <w:ilvl w:val="0"/>
          <w:numId w:val="185"/>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6DB88FE5">
      <w:pPr>
        <w:pStyle w:val="94"/>
        <w:numPr>
          <w:ilvl w:val="0"/>
          <w:numId w:val="185"/>
        </w:numPr>
        <w:ind w:left="0" w:firstLine="480"/>
        <w:rPr>
          <w:color w:val="auto"/>
          <w:sz w:val="24"/>
        </w:rPr>
      </w:pPr>
      <w:r>
        <w:rPr>
          <w:color w:val="auto"/>
          <w:sz w:val="24"/>
        </w:rPr>
        <w:t>支持定义时间范围内不再重复报卡</w:t>
      </w:r>
      <w:r>
        <w:rPr>
          <w:rFonts w:hint="eastAsia"/>
          <w:color w:val="auto"/>
          <w:sz w:val="24"/>
        </w:rPr>
        <w:t>。</w:t>
      </w:r>
    </w:p>
    <w:p w14:paraId="359ECC84">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70" w:name="_Toc153618391"/>
      <w:r>
        <w:rPr>
          <w:rFonts w:hint="eastAsia" w:ascii="宋体" w:hAnsi="宋体" w:eastAsia="宋体" w:cs="宋体"/>
          <w:b/>
          <w:bCs/>
          <w:color w:val="auto"/>
          <w:sz w:val="24"/>
          <w:szCs w:val="24"/>
          <w:lang w:eastAsia="zh-CN"/>
        </w:rPr>
        <w:t>新生儿卡上报</w:t>
      </w:r>
      <w:bookmarkEnd w:id="370"/>
    </w:p>
    <w:p w14:paraId="2630DBA9">
      <w:pPr>
        <w:pStyle w:val="94"/>
        <w:numPr>
          <w:ilvl w:val="0"/>
          <w:numId w:val="186"/>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1848689D">
      <w:pPr>
        <w:pStyle w:val="94"/>
        <w:numPr>
          <w:ilvl w:val="0"/>
          <w:numId w:val="186"/>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10A319C0">
      <w:pPr>
        <w:pStyle w:val="94"/>
        <w:numPr>
          <w:ilvl w:val="0"/>
          <w:numId w:val="186"/>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0771E3B5">
      <w:pPr>
        <w:pStyle w:val="94"/>
        <w:numPr>
          <w:ilvl w:val="0"/>
          <w:numId w:val="186"/>
        </w:numPr>
        <w:ind w:left="0" w:firstLine="480"/>
        <w:rPr>
          <w:color w:val="auto"/>
          <w:sz w:val="24"/>
        </w:rPr>
      </w:pPr>
      <w:r>
        <w:rPr>
          <w:color w:val="auto"/>
          <w:sz w:val="24"/>
        </w:rPr>
        <w:t>支持定义报告卡弹出关联诊断类型</w:t>
      </w:r>
      <w:r>
        <w:rPr>
          <w:rFonts w:hint="eastAsia"/>
          <w:color w:val="auto"/>
          <w:sz w:val="24"/>
        </w:rPr>
        <w:t>。</w:t>
      </w:r>
    </w:p>
    <w:p w14:paraId="677AC397">
      <w:pPr>
        <w:pStyle w:val="94"/>
        <w:numPr>
          <w:ilvl w:val="0"/>
          <w:numId w:val="186"/>
        </w:numPr>
        <w:ind w:left="0" w:firstLine="480"/>
        <w:rPr>
          <w:color w:val="auto"/>
          <w:sz w:val="24"/>
        </w:rPr>
      </w:pPr>
      <w:r>
        <w:rPr>
          <w:color w:val="auto"/>
          <w:sz w:val="24"/>
        </w:rPr>
        <w:t>支持患者信息自动导入</w:t>
      </w:r>
      <w:r>
        <w:rPr>
          <w:rFonts w:hint="eastAsia"/>
          <w:color w:val="auto"/>
          <w:sz w:val="24"/>
        </w:rPr>
        <w:t>。</w:t>
      </w:r>
    </w:p>
    <w:p w14:paraId="00C74444">
      <w:pPr>
        <w:pStyle w:val="94"/>
        <w:numPr>
          <w:ilvl w:val="0"/>
          <w:numId w:val="186"/>
        </w:numPr>
        <w:ind w:left="0" w:firstLine="480"/>
        <w:rPr>
          <w:color w:val="auto"/>
          <w:sz w:val="24"/>
        </w:rPr>
      </w:pPr>
      <w:r>
        <w:rPr>
          <w:color w:val="auto"/>
          <w:sz w:val="24"/>
        </w:rPr>
        <w:t>支持打印或导出报告卡内容</w:t>
      </w:r>
      <w:r>
        <w:rPr>
          <w:rFonts w:hint="eastAsia"/>
          <w:color w:val="auto"/>
          <w:sz w:val="24"/>
        </w:rPr>
        <w:t>。</w:t>
      </w:r>
    </w:p>
    <w:p w14:paraId="544C1A79">
      <w:pPr>
        <w:pStyle w:val="94"/>
        <w:numPr>
          <w:ilvl w:val="0"/>
          <w:numId w:val="186"/>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76C1E899">
      <w:pPr>
        <w:pStyle w:val="94"/>
        <w:numPr>
          <w:ilvl w:val="0"/>
          <w:numId w:val="186"/>
        </w:numPr>
        <w:ind w:left="0" w:firstLine="480"/>
        <w:rPr>
          <w:color w:val="auto"/>
          <w:sz w:val="24"/>
        </w:rPr>
      </w:pPr>
      <w:r>
        <w:rPr>
          <w:color w:val="auto"/>
          <w:sz w:val="24"/>
        </w:rPr>
        <w:t>支持定义时间范围内不再重复报卡</w:t>
      </w:r>
      <w:r>
        <w:rPr>
          <w:rFonts w:hint="eastAsia"/>
          <w:color w:val="auto"/>
          <w:sz w:val="24"/>
        </w:rPr>
        <w:t>。</w:t>
      </w:r>
    </w:p>
    <w:p w14:paraId="11B033B6">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71" w:name="_Toc153618392"/>
      <w:r>
        <w:rPr>
          <w:rFonts w:hint="eastAsia" w:ascii="宋体" w:hAnsi="宋体" w:eastAsia="宋体" w:cs="宋体"/>
          <w:b/>
          <w:bCs/>
          <w:color w:val="auto"/>
          <w:sz w:val="24"/>
          <w:szCs w:val="24"/>
          <w:lang w:eastAsia="zh-CN"/>
        </w:rPr>
        <w:t>死亡卡上报</w:t>
      </w:r>
      <w:bookmarkEnd w:id="371"/>
    </w:p>
    <w:p w14:paraId="21CA82B6">
      <w:pPr>
        <w:pStyle w:val="94"/>
        <w:numPr>
          <w:ilvl w:val="0"/>
          <w:numId w:val="187"/>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541E4D6D">
      <w:pPr>
        <w:pStyle w:val="94"/>
        <w:numPr>
          <w:ilvl w:val="0"/>
          <w:numId w:val="187"/>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3547F772">
      <w:pPr>
        <w:pStyle w:val="94"/>
        <w:numPr>
          <w:ilvl w:val="0"/>
          <w:numId w:val="187"/>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41FED3DA">
      <w:pPr>
        <w:pStyle w:val="94"/>
        <w:numPr>
          <w:ilvl w:val="0"/>
          <w:numId w:val="187"/>
        </w:numPr>
        <w:ind w:left="0" w:firstLine="480"/>
        <w:rPr>
          <w:color w:val="auto"/>
          <w:sz w:val="24"/>
        </w:rPr>
      </w:pPr>
      <w:r>
        <w:rPr>
          <w:color w:val="auto"/>
          <w:sz w:val="24"/>
        </w:rPr>
        <w:t>支持定义报告卡弹出关联诊断类型</w:t>
      </w:r>
      <w:r>
        <w:rPr>
          <w:rFonts w:hint="eastAsia"/>
          <w:color w:val="auto"/>
          <w:sz w:val="24"/>
        </w:rPr>
        <w:t>。</w:t>
      </w:r>
    </w:p>
    <w:p w14:paraId="556536E3">
      <w:pPr>
        <w:pStyle w:val="94"/>
        <w:numPr>
          <w:ilvl w:val="0"/>
          <w:numId w:val="187"/>
        </w:numPr>
        <w:ind w:left="0" w:firstLine="480"/>
        <w:rPr>
          <w:color w:val="auto"/>
          <w:sz w:val="24"/>
        </w:rPr>
      </w:pPr>
      <w:r>
        <w:rPr>
          <w:color w:val="auto"/>
          <w:sz w:val="24"/>
        </w:rPr>
        <w:t>支持患者信息自动导入</w:t>
      </w:r>
      <w:r>
        <w:rPr>
          <w:rFonts w:hint="eastAsia"/>
          <w:color w:val="auto"/>
          <w:sz w:val="24"/>
        </w:rPr>
        <w:t>。</w:t>
      </w:r>
    </w:p>
    <w:p w14:paraId="3EC25DA1">
      <w:pPr>
        <w:pStyle w:val="94"/>
        <w:numPr>
          <w:ilvl w:val="0"/>
          <w:numId w:val="187"/>
        </w:numPr>
        <w:ind w:left="0" w:firstLine="480"/>
        <w:rPr>
          <w:color w:val="auto"/>
          <w:sz w:val="24"/>
        </w:rPr>
      </w:pPr>
      <w:r>
        <w:rPr>
          <w:color w:val="auto"/>
          <w:sz w:val="24"/>
        </w:rPr>
        <w:t>支持打印或导出报告卡内容</w:t>
      </w:r>
      <w:r>
        <w:rPr>
          <w:rFonts w:hint="eastAsia"/>
          <w:color w:val="auto"/>
          <w:sz w:val="24"/>
        </w:rPr>
        <w:t>。</w:t>
      </w:r>
    </w:p>
    <w:p w14:paraId="181AA1ED">
      <w:pPr>
        <w:pStyle w:val="94"/>
        <w:numPr>
          <w:ilvl w:val="0"/>
          <w:numId w:val="187"/>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1748B043">
      <w:pPr>
        <w:pStyle w:val="94"/>
        <w:numPr>
          <w:ilvl w:val="0"/>
          <w:numId w:val="187"/>
        </w:numPr>
        <w:ind w:left="0" w:firstLine="480"/>
        <w:rPr>
          <w:color w:val="auto"/>
          <w:sz w:val="24"/>
        </w:rPr>
      </w:pPr>
      <w:r>
        <w:rPr>
          <w:color w:val="auto"/>
          <w:sz w:val="24"/>
        </w:rPr>
        <w:t>支持定义时间范围内不再重复报卡</w:t>
      </w:r>
      <w:r>
        <w:rPr>
          <w:rFonts w:hint="eastAsia"/>
          <w:color w:val="auto"/>
          <w:sz w:val="24"/>
        </w:rPr>
        <w:t>。</w:t>
      </w:r>
    </w:p>
    <w:p w14:paraId="6275B737">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72" w:name="_Toc153618393"/>
      <w:r>
        <w:rPr>
          <w:rFonts w:hint="eastAsia" w:ascii="宋体" w:hAnsi="宋体" w:eastAsia="宋体" w:cs="宋体"/>
          <w:b/>
          <w:bCs/>
          <w:color w:val="auto"/>
          <w:sz w:val="24"/>
          <w:szCs w:val="24"/>
          <w:lang w:eastAsia="zh-CN"/>
        </w:rPr>
        <w:t>心脑血管卡上报</w:t>
      </w:r>
      <w:bookmarkEnd w:id="372"/>
    </w:p>
    <w:p w14:paraId="39C6C6B2">
      <w:pPr>
        <w:pStyle w:val="94"/>
        <w:numPr>
          <w:ilvl w:val="0"/>
          <w:numId w:val="188"/>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3191FC1F">
      <w:pPr>
        <w:pStyle w:val="94"/>
        <w:numPr>
          <w:ilvl w:val="0"/>
          <w:numId w:val="188"/>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6D3C54E0">
      <w:pPr>
        <w:pStyle w:val="94"/>
        <w:numPr>
          <w:ilvl w:val="0"/>
          <w:numId w:val="188"/>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3F85275B">
      <w:pPr>
        <w:pStyle w:val="94"/>
        <w:numPr>
          <w:ilvl w:val="0"/>
          <w:numId w:val="188"/>
        </w:numPr>
        <w:ind w:left="0" w:firstLine="480"/>
        <w:rPr>
          <w:color w:val="auto"/>
          <w:sz w:val="24"/>
        </w:rPr>
      </w:pPr>
      <w:r>
        <w:rPr>
          <w:color w:val="auto"/>
          <w:sz w:val="24"/>
        </w:rPr>
        <w:t>支持定义报告卡弹出关联诊断类型</w:t>
      </w:r>
      <w:r>
        <w:rPr>
          <w:rFonts w:hint="eastAsia"/>
          <w:color w:val="auto"/>
          <w:sz w:val="24"/>
        </w:rPr>
        <w:t>。</w:t>
      </w:r>
    </w:p>
    <w:p w14:paraId="35DD92EF">
      <w:pPr>
        <w:pStyle w:val="94"/>
        <w:numPr>
          <w:ilvl w:val="0"/>
          <w:numId w:val="188"/>
        </w:numPr>
        <w:ind w:left="0" w:firstLine="480"/>
        <w:rPr>
          <w:color w:val="auto"/>
          <w:sz w:val="24"/>
        </w:rPr>
      </w:pPr>
      <w:r>
        <w:rPr>
          <w:color w:val="auto"/>
          <w:sz w:val="24"/>
        </w:rPr>
        <w:t>支持患者信息自动导入</w:t>
      </w:r>
      <w:r>
        <w:rPr>
          <w:rFonts w:hint="eastAsia"/>
          <w:color w:val="auto"/>
          <w:sz w:val="24"/>
        </w:rPr>
        <w:t>。</w:t>
      </w:r>
    </w:p>
    <w:p w14:paraId="0A3782D0">
      <w:pPr>
        <w:pStyle w:val="94"/>
        <w:numPr>
          <w:ilvl w:val="0"/>
          <w:numId w:val="188"/>
        </w:numPr>
        <w:ind w:left="0" w:firstLine="480"/>
        <w:rPr>
          <w:color w:val="auto"/>
          <w:sz w:val="24"/>
        </w:rPr>
      </w:pPr>
      <w:r>
        <w:rPr>
          <w:color w:val="auto"/>
          <w:sz w:val="24"/>
        </w:rPr>
        <w:t>支持打印或导出报告卡内容</w:t>
      </w:r>
      <w:r>
        <w:rPr>
          <w:rFonts w:hint="eastAsia"/>
          <w:color w:val="auto"/>
          <w:sz w:val="24"/>
        </w:rPr>
        <w:t>。</w:t>
      </w:r>
    </w:p>
    <w:p w14:paraId="7C64C6BC">
      <w:pPr>
        <w:pStyle w:val="94"/>
        <w:numPr>
          <w:ilvl w:val="0"/>
          <w:numId w:val="188"/>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554EAC3A">
      <w:pPr>
        <w:pStyle w:val="94"/>
        <w:numPr>
          <w:ilvl w:val="0"/>
          <w:numId w:val="188"/>
        </w:numPr>
        <w:ind w:left="0" w:firstLine="480"/>
        <w:rPr>
          <w:color w:val="auto"/>
          <w:sz w:val="24"/>
        </w:rPr>
      </w:pPr>
      <w:r>
        <w:rPr>
          <w:color w:val="auto"/>
          <w:sz w:val="24"/>
        </w:rPr>
        <w:t>支持定义时间范围内不再重复报卡</w:t>
      </w:r>
      <w:r>
        <w:rPr>
          <w:rFonts w:hint="eastAsia"/>
          <w:color w:val="auto"/>
          <w:sz w:val="24"/>
        </w:rPr>
        <w:t>。</w:t>
      </w:r>
    </w:p>
    <w:p w14:paraId="1903A8A6">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73" w:name="_Toc153618394"/>
      <w:r>
        <w:rPr>
          <w:rFonts w:hint="eastAsia" w:ascii="宋体" w:hAnsi="宋体" w:eastAsia="宋体" w:cs="宋体"/>
          <w:b/>
          <w:bCs/>
          <w:color w:val="auto"/>
          <w:sz w:val="24"/>
          <w:szCs w:val="24"/>
          <w:lang w:eastAsia="zh-CN"/>
        </w:rPr>
        <w:t>慢阻肺卡上报</w:t>
      </w:r>
      <w:bookmarkEnd w:id="373"/>
    </w:p>
    <w:p w14:paraId="086DEA17">
      <w:pPr>
        <w:pStyle w:val="94"/>
        <w:numPr>
          <w:ilvl w:val="0"/>
          <w:numId w:val="189"/>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5ACB28AB">
      <w:pPr>
        <w:pStyle w:val="94"/>
        <w:numPr>
          <w:ilvl w:val="0"/>
          <w:numId w:val="189"/>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67F1971F">
      <w:pPr>
        <w:pStyle w:val="94"/>
        <w:numPr>
          <w:ilvl w:val="0"/>
          <w:numId w:val="189"/>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216B1625">
      <w:pPr>
        <w:pStyle w:val="94"/>
        <w:numPr>
          <w:ilvl w:val="0"/>
          <w:numId w:val="189"/>
        </w:numPr>
        <w:ind w:left="0" w:firstLine="480"/>
        <w:rPr>
          <w:color w:val="auto"/>
          <w:sz w:val="24"/>
        </w:rPr>
      </w:pPr>
      <w:r>
        <w:rPr>
          <w:color w:val="auto"/>
          <w:sz w:val="24"/>
        </w:rPr>
        <w:t>支持定义报告卡弹出关联诊断类型</w:t>
      </w:r>
      <w:r>
        <w:rPr>
          <w:rFonts w:hint="eastAsia"/>
          <w:color w:val="auto"/>
          <w:sz w:val="24"/>
        </w:rPr>
        <w:t>。</w:t>
      </w:r>
    </w:p>
    <w:p w14:paraId="4AE2F1AF">
      <w:pPr>
        <w:pStyle w:val="94"/>
        <w:numPr>
          <w:ilvl w:val="0"/>
          <w:numId w:val="189"/>
        </w:numPr>
        <w:ind w:left="0" w:firstLine="480"/>
        <w:rPr>
          <w:color w:val="auto"/>
          <w:sz w:val="24"/>
        </w:rPr>
      </w:pPr>
      <w:r>
        <w:rPr>
          <w:color w:val="auto"/>
          <w:sz w:val="24"/>
        </w:rPr>
        <w:t>支持患者信息自动导入</w:t>
      </w:r>
      <w:r>
        <w:rPr>
          <w:rFonts w:hint="eastAsia"/>
          <w:color w:val="auto"/>
          <w:sz w:val="24"/>
        </w:rPr>
        <w:t>。</w:t>
      </w:r>
    </w:p>
    <w:p w14:paraId="33F8D3D4">
      <w:pPr>
        <w:pStyle w:val="94"/>
        <w:numPr>
          <w:ilvl w:val="0"/>
          <w:numId w:val="189"/>
        </w:numPr>
        <w:ind w:left="0" w:firstLine="480"/>
        <w:rPr>
          <w:color w:val="auto"/>
          <w:sz w:val="24"/>
        </w:rPr>
      </w:pPr>
      <w:r>
        <w:rPr>
          <w:color w:val="auto"/>
          <w:sz w:val="24"/>
        </w:rPr>
        <w:t>支持打印或导出报告卡内容</w:t>
      </w:r>
      <w:r>
        <w:rPr>
          <w:rFonts w:hint="eastAsia"/>
          <w:color w:val="auto"/>
          <w:sz w:val="24"/>
        </w:rPr>
        <w:t>。</w:t>
      </w:r>
    </w:p>
    <w:p w14:paraId="3F5BD388">
      <w:pPr>
        <w:pStyle w:val="94"/>
        <w:numPr>
          <w:ilvl w:val="0"/>
          <w:numId w:val="189"/>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7D7DAB6F">
      <w:pPr>
        <w:pStyle w:val="94"/>
        <w:numPr>
          <w:ilvl w:val="0"/>
          <w:numId w:val="189"/>
        </w:numPr>
        <w:ind w:left="0" w:firstLine="480"/>
        <w:rPr>
          <w:color w:val="auto"/>
          <w:sz w:val="24"/>
        </w:rPr>
      </w:pPr>
      <w:r>
        <w:rPr>
          <w:color w:val="auto"/>
          <w:sz w:val="24"/>
        </w:rPr>
        <w:t>支持定义时间范围内不再重复报卡</w:t>
      </w:r>
      <w:r>
        <w:rPr>
          <w:rFonts w:hint="eastAsia"/>
          <w:color w:val="auto"/>
          <w:sz w:val="24"/>
        </w:rPr>
        <w:t>。</w:t>
      </w:r>
    </w:p>
    <w:p w14:paraId="104C2FB7">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74" w:name="_Toc153618395"/>
      <w:r>
        <w:rPr>
          <w:rFonts w:hint="eastAsia" w:ascii="宋体" w:hAnsi="宋体" w:eastAsia="宋体" w:cs="宋体"/>
          <w:b/>
          <w:bCs/>
          <w:color w:val="auto"/>
          <w:sz w:val="24"/>
          <w:szCs w:val="24"/>
          <w:lang w:eastAsia="zh-CN"/>
        </w:rPr>
        <w:t>审核</w:t>
      </w:r>
      <w:bookmarkEnd w:id="374"/>
    </w:p>
    <w:p w14:paraId="6193D9C9">
      <w:pPr>
        <w:pStyle w:val="94"/>
        <w:numPr>
          <w:ilvl w:val="0"/>
          <w:numId w:val="190"/>
        </w:numPr>
        <w:ind w:left="0" w:firstLine="480"/>
        <w:rPr>
          <w:color w:val="auto"/>
          <w:sz w:val="24"/>
        </w:rPr>
      </w:pPr>
      <w:r>
        <w:rPr>
          <w:rFonts w:hint="eastAsia"/>
          <w:color w:val="auto"/>
          <w:sz w:val="24"/>
        </w:rPr>
        <w:t>支持医师对未审核报告卡信息修改。</w:t>
      </w:r>
    </w:p>
    <w:p w14:paraId="0CE9AB99">
      <w:pPr>
        <w:pStyle w:val="94"/>
        <w:numPr>
          <w:ilvl w:val="0"/>
          <w:numId w:val="190"/>
        </w:numPr>
        <w:ind w:left="0" w:firstLine="480"/>
        <w:rPr>
          <w:color w:val="auto"/>
          <w:sz w:val="24"/>
        </w:rPr>
      </w:pPr>
      <w:r>
        <w:rPr>
          <w:color w:val="auto"/>
          <w:sz w:val="24"/>
        </w:rPr>
        <w:t>支持报告卡填报完成后审核</w:t>
      </w:r>
      <w:r>
        <w:rPr>
          <w:rFonts w:hint="eastAsia"/>
          <w:color w:val="auto"/>
          <w:sz w:val="24"/>
        </w:rPr>
        <w:t>。</w:t>
      </w:r>
    </w:p>
    <w:p w14:paraId="3EF64756">
      <w:pPr>
        <w:pStyle w:val="94"/>
        <w:numPr>
          <w:ilvl w:val="0"/>
          <w:numId w:val="190"/>
        </w:numPr>
        <w:ind w:left="0" w:firstLine="480"/>
        <w:rPr>
          <w:color w:val="auto"/>
          <w:sz w:val="24"/>
        </w:rPr>
      </w:pPr>
      <w:r>
        <w:rPr>
          <w:color w:val="auto"/>
          <w:sz w:val="24"/>
        </w:rPr>
        <w:t>支持公卫科依据权限修改</w:t>
      </w:r>
      <w:r>
        <w:rPr>
          <w:rFonts w:hint="eastAsia"/>
          <w:color w:val="auto"/>
          <w:sz w:val="24"/>
        </w:rPr>
        <w:t>、</w:t>
      </w:r>
      <w:r>
        <w:rPr>
          <w:color w:val="auto"/>
          <w:sz w:val="24"/>
        </w:rPr>
        <w:t>删除报告卡信息</w:t>
      </w:r>
      <w:r>
        <w:rPr>
          <w:rFonts w:hint="eastAsia"/>
          <w:color w:val="auto"/>
          <w:sz w:val="24"/>
        </w:rPr>
        <w:t>。</w:t>
      </w:r>
    </w:p>
    <w:p w14:paraId="59B6482F">
      <w:pPr>
        <w:pStyle w:val="188"/>
        <w:kinsoku w:val="0"/>
        <w:overflowPunct w:val="0"/>
        <w:spacing w:before="43" w:line="360" w:lineRule="auto"/>
        <w:ind w:left="103" w:right="102" w:firstLine="482"/>
        <w:rPr>
          <w:rFonts w:hint="eastAsia" w:ascii="宋体" w:hAnsi="宋体" w:eastAsia="宋体" w:cs="宋体"/>
          <w:b/>
          <w:bCs/>
          <w:color w:val="auto"/>
          <w:sz w:val="24"/>
          <w:szCs w:val="24"/>
          <w:lang w:eastAsia="zh-CN"/>
        </w:rPr>
      </w:pPr>
      <w:bookmarkStart w:id="375" w:name="_Toc153618396"/>
      <w:r>
        <w:rPr>
          <w:rFonts w:hint="eastAsia" w:ascii="宋体" w:hAnsi="宋体" w:eastAsia="宋体" w:cs="宋体"/>
          <w:b/>
          <w:bCs/>
          <w:color w:val="auto"/>
          <w:sz w:val="24"/>
          <w:szCs w:val="24"/>
          <w:lang w:eastAsia="zh-CN"/>
        </w:rPr>
        <w:t>查询统计</w:t>
      </w:r>
      <w:bookmarkEnd w:id="375"/>
    </w:p>
    <w:p w14:paraId="4E8FDECA">
      <w:pPr>
        <w:pStyle w:val="94"/>
        <w:numPr>
          <w:ilvl w:val="0"/>
          <w:numId w:val="191"/>
        </w:numPr>
        <w:ind w:left="0" w:firstLine="480"/>
        <w:rPr>
          <w:color w:val="auto"/>
          <w:sz w:val="24"/>
        </w:rPr>
      </w:pPr>
      <w:r>
        <w:rPr>
          <w:rFonts w:hint="eastAsia"/>
          <w:color w:val="auto"/>
          <w:sz w:val="24"/>
        </w:rPr>
        <w:t>支持根据病种、患者、上报科室、上报医师、审核状态等信息查询报告卡。</w:t>
      </w:r>
    </w:p>
    <w:p w14:paraId="18A1BD09">
      <w:pPr>
        <w:pStyle w:val="94"/>
        <w:numPr>
          <w:ilvl w:val="0"/>
          <w:numId w:val="191"/>
        </w:numPr>
        <w:ind w:left="0" w:firstLine="480"/>
        <w:rPr>
          <w:color w:val="auto"/>
          <w:sz w:val="24"/>
        </w:rPr>
      </w:pPr>
      <w:r>
        <w:rPr>
          <w:color w:val="auto"/>
          <w:sz w:val="24"/>
        </w:rPr>
        <w:t>支持未报卡查询</w:t>
      </w:r>
      <w:r>
        <w:rPr>
          <w:rFonts w:hint="eastAsia"/>
          <w:color w:val="auto"/>
          <w:sz w:val="24"/>
        </w:rPr>
        <w:t>。</w:t>
      </w:r>
    </w:p>
    <w:p w14:paraId="7FC7F465">
      <w:pPr>
        <w:pStyle w:val="14"/>
        <w:bidi w:val="0"/>
        <w:rPr>
          <w:color w:val="auto"/>
        </w:rPr>
      </w:pPr>
      <w:bookmarkStart w:id="376" w:name="_Toc153618397"/>
      <w:r>
        <w:rPr>
          <w:rFonts w:hint="eastAsia"/>
          <w:color w:val="auto"/>
          <w:lang w:val="en-US" w:eastAsia="zh-CN"/>
        </w:rPr>
        <w:t xml:space="preserve"> </w:t>
      </w:r>
      <w:r>
        <w:rPr>
          <w:rFonts w:hint="eastAsia"/>
          <w:color w:val="auto"/>
        </w:rPr>
        <w:t>食源性疾病信息上报</w:t>
      </w:r>
      <w:bookmarkEnd w:id="376"/>
    </w:p>
    <w:p w14:paraId="481A50D2">
      <w:pPr>
        <w:bidi w:val="0"/>
        <w:rPr>
          <w:color w:val="auto"/>
        </w:rPr>
      </w:pPr>
      <w:r>
        <w:rPr>
          <w:rFonts w:hint="default"/>
          <w:color w:val="auto"/>
        </w:rPr>
        <w:t>集成标准化报卡模板与自动填充功能，支持多条件查询与审核管理，满足公共卫生事件快速上报需求。</w:t>
      </w:r>
    </w:p>
    <w:p w14:paraId="019739AA">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E5C8FFF">
      <w:pPr>
        <w:pStyle w:val="94"/>
        <w:numPr>
          <w:ilvl w:val="0"/>
          <w:numId w:val="192"/>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07B6C9E6">
      <w:pPr>
        <w:pStyle w:val="94"/>
        <w:numPr>
          <w:ilvl w:val="0"/>
          <w:numId w:val="192"/>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4C6BCC79">
      <w:pPr>
        <w:pStyle w:val="94"/>
        <w:numPr>
          <w:ilvl w:val="0"/>
          <w:numId w:val="192"/>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24C066F4">
      <w:pPr>
        <w:pStyle w:val="94"/>
        <w:numPr>
          <w:ilvl w:val="0"/>
          <w:numId w:val="192"/>
        </w:numPr>
        <w:ind w:left="0" w:firstLine="480"/>
        <w:rPr>
          <w:color w:val="auto"/>
          <w:sz w:val="24"/>
        </w:rPr>
      </w:pPr>
      <w:r>
        <w:rPr>
          <w:color w:val="auto"/>
          <w:sz w:val="24"/>
        </w:rPr>
        <w:t>支持定义报告卡弹出关联诊断类型</w:t>
      </w:r>
      <w:r>
        <w:rPr>
          <w:rFonts w:hint="eastAsia"/>
          <w:color w:val="auto"/>
          <w:sz w:val="24"/>
        </w:rPr>
        <w:t>。</w:t>
      </w:r>
    </w:p>
    <w:p w14:paraId="16CB39F7">
      <w:pPr>
        <w:pStyle w:val="94"/>
        <w:numPr>
          <w:ilvl w:val="0"/>
          <w:numId w:val="192"/>
        </w:numPr>
        <w:ind w:left="0" w:firstLine="480"/>
        <w:rPr>
          <w:color w:val="auto"/>
          <w:sz w:val="24"/>
        </w:rPr>
      </w:pPr>
      <w:r>
        <w:rPr>
          <w:color w:val="auto"/>
          <w:sz w:val="24"/>
        </w:rPr>
        <w:t>支持患者信息自动导入</w:t>
      </w:r>
      <w:r>
        <w:rPr>
          <w:rFonts w:hint="eastAsia"/>
          <w:color w:val="auto"/>
          <w:sz w:val="24"/>
        </w:rPr>
        <w:t>。</w:t>
      </w:r>
    </w:p>
    <w:p w14:paraId="20359435">
      <w:pPr>
        <w:pStyle w:val="94"/>
        <w:numPr>
          <w:ilvl w:val="0"/>
          <w:numId w:val="192"/>
        </w:numPr>
        <w:ind w:left="0" w:firstLine="480"/>
        <w:rPr>
          <w:color w:val="auto"/>
          <w:sz w:val="24"/>
        </w:rPr>
      </w:pPr>
      <w:r>
        <w:rPr>
          <w:color w:val="auto"/>
          <w:sz w:val="24"/>
        </w:rPr>
        <w:t>支持打印或导出报告卡内容</w:t>
      </w:r>
      <w:r>
        <w:rPr>
          <w:rFonts w:hint="eastAsia"/>
          <w:color w:val="auto"/>
          <w:sz w:val="24"/>
        </w:rPr>
        <w:t>。</w:t>
      </w:r>
    </w:p>
    <w:p w14:paraId="5F1724DF">
      <w:pPr>
        <w:pStyle w:val="94"/>
        <w:numPr>
          <w:ilvl w:val="0"/>
          <w:numId w:val="192"/>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0B5259A3">
      <w:pPr>
        <w:pStyle w:val="94"/>
        <w:numPr>
          <w:ilvl w:val="0"/>
          <w:numId w:val="192"/>
        </w:numPr>
        <w:ind w:left="0" w:firstLine="480"/>
        <w:rPr>
          <w:color w:val="auto"/>
          <w:sz w:val="24"/>
        </w:rPr>
      </w:pPr>
      <w:r>
        <w:rPr>
          <w:color w:val="auto"/>
          <w:sz w:val="24"/>
        </w:rPr>
        <w:t>支持定义时间范围内不再重复报卡</w:t>
      </w:r>
      <w:r>
        <w:rPr>
          <w:rFonts w:hint="eastAsia"/>
          <w:color w:val="auto"/>
          <w:sz w:val="24"/>
        </w:rPr>
        <w:t>。</w:t>
      </w:r>
    </w:p>
    <w:p w14:paraId="52F4A162">
      <w:pPr>
        <w:pStyle w:val="14"/>
        <w:bidi w:val="0"/>
        <w:rPr>
          <w:color w:val="auto"/>
        </w:rPr>
      </w:pPr>
      <w:bookmarkStart w:id="377" w:name="_Toc153618398"/>
      <w:r>
        <w:rPr>
          <w:rFonts w:hint="eastAsia"/>
          <w:color w:val="auto"/>
          <w:lang w:val="en-US" w:eastAsia="zh-CN"/>
        </w:rPr>
        <w:t xml:space="preserve"> </w:t>
      </w:r>
      <w:r>
        <w:rPr>
          <w:rFonts w:hint="eastAsia"/>
          <w:color w:val="auto"/>
        </w:rPr>
        <w:t>重大非传染疾病及死亡上报</w:t>
      </w:r>
      <w:bookmarkEnd w:id="377"/>
    </w:p>
    <w:p w14:paraId="17892652">
      <w:pPr>
        <w:bidi w:val="0"/>
        <w:rPr>
          <w:color w:val="auto"/>
        </w:rPr>
      </w:pPr>
      <w:r>
        <w:rPr>
          <w:rFonts w:hint="default"/>
          <w:color w:val="auto"/>
        </w:rPr>
        <w:t>集成标准化报卡模板与自动填充功能，支持多条件查询与审核管理，满足公共卫生事件快速上报需求。</w:t>
      </w:r>
    </w:p>
    <w:p w14:paraId="47025247">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05E2400">
      <w:pPr>
        <w:pStyle w:val="94"/>
        <w:numPr>
          <w:ilvl w:val="0"/>
          <w:numId w:val="193"/>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42E7EED1">
      <w:pPr>
        <w:pStyle w:val="94"/>
        <w:numPr>
          <w:ilvl w:val="0"/>
          <w:numId w:val="193"/>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4AE5A8BA">
      <w:pPr>
        <w:pStyle w:val="94"/>
        <w:numPr>
          <w:ilvl w:val="0"/>
          <w:numId w:val="193"/>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7778ED2A">
      <w:pPr>
        <w:pStyle w:val="94"/>
        <w:numPr>
          <w:ilvl w:val="0"/>
          <w:numId w:val="193"/>
        </w:numPr>
        <w:ind w:left="0" w:firstLine="480"/>
        <w:rPr>
          <w:color w:val="auto"/>
          <w:sz w:val="24"/>
        </w:rPr>
      </w:pPr>
      <w:r>
        <w:rPr>
          <w:color w:val="auto"/>
          <w:sz w:val="24"/>
        </w:rPr>
        <w:t>支持定义报告卡弹出关联诊断类型</w:t>
      </w:r>
      <w:r>
        <w:rPr>
          <w:rFonts w:hint="eastAsia"/>
          <w:color w:val="auto"/>
          <w:sz w:val="24"/>
        </w:rPr>
        <w:t>。</w:t>
      </w:r>
    </w:p>
    <w:p w14:paraId="35FFEA16">
      <w:pPr>
        <w:pStyle w:val="94"/>
        <w:numPr>
          <w:ilvl w:val="0"/>
          <w:numId w:val="193"/>
        </w:numPr>
        <w:ind w:left="0" w:firstLine="480"/>
        <w:rPr>
          <w:color w:val="auto"/>
          <w:sz w:val="24"/>
        </w:rPr>
      </w:pPr>
      <w:r>
        <w:rPr>
          <w:color w:val="auto"/>
          <w:sz w:val="24"/>
        </w:rPr>
        <w:t>支持患者信息自动导入</w:t>
      </w:r>
      <w:r>
        <w:rPr>
          <w:rFonts w:hint="eastAsia"/>
          <w:color w:val="auto"/>
          <w:sz w:val="24"/>
        </w:rPr>
        <w:t>。</w:t>
      </w:r>
    </w:p>
    <w:p w14:paraId="55EBD196">
      <w:pPr>
        <w:pStyle w:val="94"/>
        <w:numPr>
          <w:ilvl w:val="0"/>
          <w:numId w:val="193"/>
        </w:numPr>
        <w:ind w:left="0" w:firstLine="480"/>
        <w:rPr>
          <w:color w:val="auto"/>
          <w:sz w:val="24"/>
        </w:rPr>
      </w:pPr>
      <w:r>
        <w:rPr>
          <w:color w:val="auto"/>
          <w:sz w:val="24"/>
        </w:rPr>
        <w:t>支持打印或导出报告卡内容</w:t>
      </w:r>
      <w:r>
        <w:rPr>
          <w:rFonts w:hint="eastAsia"/>
          <w:color w:val="auto"/>
          <w:sz w:val="24"/>
        </w:rPr>
        <w:t>。</w:t>
      </w:r>
    </w:p>
    <w:p w14:paraId="637619D5">
      <w:pPr>
        <w:pStyle w:val="94"/>
        <w:numPr>
          <w:ilvl w:val="0"/>
          <w:numId w:val="193"/>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05E8D418">
      <w:pPr>
        <w:pStyle w:val="94"/>
        <w:numPr>
          <w:ilvl w:val="0"/>
          <w:numId w:val="193"/>
        </w:numPr>
        <w:ind w:left="0" w:firstLine="480"/>
        <w:rPr>
          <w:color w:val="auto"/>
          <w:sz w:val="24"/>
        </w:rPr>
      </w:pPr>
      <w:r>
        <w:rPr>
          <w:color w:val="auto"/>
          <w:sz w:val="24"/>
        </w:rPr>
        <w:t>支持定义时间范围内不再重复报卡</w:t>
      </w:r>
      <w:r>
        <w:rPr>
          <w:rFonts w:hint="eastAsia"/>
          <w:color w:val="auto"/>
          <w:sz w:val="24"/>
        </w:rPr>
        <w:t>。</w:t>
      </w:r>
    </w:p>
    <w:p w14:paraId="56C16293">
      <w:pPr>
        <w:pStyle w:val="14"/>
        <w:bidi w:val="0"/>
        <w:rPr>
          <w:color w:val="auto"/>
        </w:rPr>
      </w:pPr>
      <w:r>
        <w:rPr>
          <w:rFonts w:hint="eastAsia"/>
          <w:color w:val="auto"/>
        </w:rPr>
        <w:tab/>
      </w:r>
      <w:r>
        <w:rPr>
          <w:rFonts w:hint="eastAsia"/>
          <w:color w:val="auto"/>
        </w:rPr>
        <w:t>预防接种信息上报</w:t>
      </w:r>
    </w:p>
    <w:p w14:paraId="2C2BF266">
      <w:pPr>
        <w:bidi w:val="0"/>
        <w:rPr>
          <w:color w:val="auto"/>
        </w:rPr>
      </w:pPr>
      <w:r>
        <w:rPr>
          <w:color w:val="auto"/>
        </w:rPr>
        <w:t>联动门诊诊断自动触发报卡，支持附卡生成与重复报卡过滤，提升疫苗接种数据管理效率。</w:t>
      </w:r>
    </w:p>
    <w:p w14:paraId="24601813">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A57793E">
      <w:pPr>
        <w:pStyle w:val="94"/>
        <w:numPr>
          <w:ilvl w:val="0"/>
          <w:numId w:val="194"/>
        </w:numPr>
        <w:ind w:left="0" w:firstLine="480"/>
        <w:rPr>
          <w:color w:val="auto"/>
          <w:sz w:val="24"/>
        </w:rPr>
      </w:pPr>
      <w:r>
        <w:rPr>
          <w:color w:val="auto"/>
          <w:sz w:val="24"/>
        </w:rPr>
        <w:t>支持按病种</w:t>
      </w:r>
      <w:r>
        <w:rPr>
          <w:rFonts w:hint="eastAsia"/>
          <w:color w:val="auto"/>
          <w:sz w:val="24"/>
        </w:rPr>
        <w:t>、</w:t>
      </w:r>
      <w:r>
        <w:rPr>
          <w:color w:val="auto"/>
          <w:sz w:val="24"/>
        </w:rPr>
        <w:t>科室</w:t>
      </w:r>
      <w:r>
        <w:rPr>
          <w:rFonts w:hint="eastAsia"/>
          <w:color w:val="auto"/>
          <w:sz w:val="24"/>
        </w:rPr>
        <w:t>、</w:t>
      </w:r>
      <w:r>
        <w:rPr>
          <w:color w:val="auto"/>
          <w:sz w:val="24"/>
        </w:rPr>
        <w:t>状态分类查询</w:t>
      </w:r>
      <w:r>
        <w:rPr>
          <w:rFonts w:hint="eastAsia"/>
          <w:color w:val="auto"/>
          <w:sz w:val="24"/>
        </w:rPr>
        <w:t>。</w:t>
      </w:r>
    </w:p>
    <w:p w14:paraId="0C30652A">
      <w:pPr>
        <w:pStyle w:val="94"/>
        <w:numPr>
          <w:ilvl w:val="0"/>
          <w:numId w:val="194"/>
        </w:numPr>
        <w:ind w:left="0" w:firstLine="480"/>
        <w:rPr>
          <w:color w:val="auto"/>
          <w:sz w:val="24"/>
        </w:rPr>
      </w:pPr>
      <w:r>
        <w:rPr>
          <w:color w:val="auto"/>
          <w:sz w:val="24"/>
        </w:rPr>
        <w:t>支持在门诊医师</w:t>
      </w:r>
      <w:r>
        <w:rPr>
          <w:rFonts w:hint="eastAsia"/>
          <w:color w:val="auto"/>
          <w:sz w:val="24"/>
        </w:rPr>
        <w:t>、</w:t>
      </w:r>
      <w:r>
        <w:rPr>
          <w:color w:val="auto"/>
          <w:sz w:val="24"/>
        </w:rPr>
        <w:t>住院医师</w:t>
      </w:r>
      <w:r>
        <w:rPr>
          <w:rFonts w:hint="eastAsia"/>
          <w:color w:val="auto"/>
          <w:sz w:val="24"/>
        </w:rPr>
        <w:t>、</w:t>
      </w:r>
      <w:r>
        <w:rPr>
          <w:color w:val="auto"/>
          <w:sz w:val="24"/>
        </w:rPr>
        <w:t>病案首页下诊断时</w:t>
      </w:r>
      <w:r>
        <w:rPr>
          <w:rFonts w:hint="eastAsia"/>
          <w:color w:val="auto"/>
          <w:sz w:val="24"/>
        </w:rPr>
        <w:t>，</w:t>
      </w:r>
      <w:r>
        <w:rPr>
          <w:color w:val="auto"/>
          <w:sz w:val="24"/>
        </w:rPr>
        <w:t>自动弹出报告卡内容</w:t>
      </w:r>
      <w:r>
        <w:rPr>
          <w:rFonts w:hint="eastAsia"/>
          <w:color w:val="auto"/>
          <w:sz w:val="24"/>
        </w:rPr>
        <w:t>。</w:t>
      </w:r>
    </w:p>
    <w:p w14:paraId="4F90A5D0">
      <w:pPr>
        <w:pStyle w:val="94"/>
        <w:numPr>
          <w:ilvl w:val="0"/>
          <w:numId w:val="194"/>
        </w:numPr>
        <w:ind w:left="0" w:firstLine="480"/>
        <w:rPr>
          <w:color w:val="auto"/>
          <w:sz w:val="24"/>
        </w:rPr>
      </w:pPr>
      <w:r>
        <w:rPr>
          <w:color w:val="auto"/>
          <w:sz w:val="24"/>
        </w:rPr>
        <w:t>支持定义报告卡是否启用</w:t>
      </w:r>
      <w:r>
        <w:rPr>
          <w:rFonts w:hint="eastAsia"/>
          <w:color w:val="auto"/>
          <w:sz w:val="24"/>
        </w:rPr>
        <w:t>、</w:t>
      </w:r>
      <w:r>
        <w:rPr>
          <w:color w:val="auto"/>
          <w:sz w:val="24"/>
        </w:rPr>
        <w:t>是否必填</w:t>
      </w:r>
      <w:r>
        <w:rPr>
          <w:rFonts w:hint="eastAsia"/>
          <w:color w:val="auto"/>
          <w:sz w:val="24"/>
        </w:rPr>
        <w:t>、</w:t>
      </w:r>
      <w:r>
        <w:rPr>
          <w:color w:val="auto"/>
          <w:sz w:val="24"/>
        </w:rPr>
        <w:t>优先级等信息</w:t>
      </w:r>
      <w:r>
        <w:rPr>
          <w:rFonts w:hint="eastAsia"/>
          <w:color w:val="auto"/>
          <w:sz w:val="24"/>
        </w:rPr>
        <w:t>。</w:t>
      </w:r>
    </w:p>
    <w:p w14:paraId="6B76DBCA">
      <w:pPr>
        <w:pStyle w:val="94"/>
        <w:numPr>
          <w:ilvl w:val="0"/>
          <w:numId w:val="194"/>
        </w:numPr>
        <w:ind w:left="0" w:firstLine="480"/>
        <w:rPr>
          <w:color w:val="auto"/>
          <w:sz w:val="24"/>
        </w:rPr>
      </w:pPr>
      <w:r>
        <w:rPr>
          <w:color w:val="auto"/>
          <w:sz w:val="24"/>
        </w:rPr>
        <w:t>支持定义报告卡弹出关联诊断类型</w:t>
      </w:r>
      <w:r>
        <w:rPr>
          <w:rFonts w:hint="eastAsia"/>
          <w:color w:val="auto"/>
          <w:sz w:val="24"/>
        </w:rPr>
        <w:t>。</w:t>
      </w:r>
    </w:p>
    <w:p w14:paraId="26E5E423">
      <w:pPr>
        <w:pStyle w:val="94"/>
        <w:numPr>
          <w:ilvl w:val="0"/>
          <w:numId w:val="194"/>
        </w:numPr>
        <w:ind w:left="0" w:firstLine="480"/>
        <w:rPr>
          <w:color w:val="auto"/>
          <w:sz w:val="24"/>
        </w:rPr>
      </w:pPr>
      <w:r>
        <w:rPr>
          <w:color w:val="auto"/>
          <w:sz w:val="24"/>
        </w:rPr>
        <w:t>支持患者信息自动导入</w:t>
      </w:r>
      <w:r>
        <w:rPr>
          <w:rFonts w:hint="eastAsia"/>
          <w:color w:val="auto"/>
          <w:sz w:val="24"/>
        </w:rPr>
        <w:t>。</w:t>
      </w:r>
    </w:p>
    <w:p w14:paraId="065DB806">
      <w:pPr>
        <w:pStyle w:val="94"/>
        <w:numPr>
          <w:ilvl w:val="0"/>
          <w:numId w:val="194"/>
        </w:numPr>
        <w:ind w:left="0" w:firstLine="480"/>
        <w:rPr>
          <w:color w:val="auto"/>
          <w:sz w:val="24"/>
        </w:rPr>
      </w:pPr>
      <w:r>
        <w:rPr>
          <w:color w:val="auto"/>
          <w:sz w:val="24"/>
        </w:rPr>
        <w:t>支持打印或导出报告卡内容</w:t>
      </w:r>
      <w:r>
        <w:rPr>
          <w:rFonts w:hint="eastAsia"/>
          <w:color w:val="auto"/>
          <w:sz w:val="24"/>
        </w:rPr>
        <w:t>。</w:t>
      </w:r>
    </w:p>
    <w:p w14:paraId="092411C7">
      <w:pPr>
        <w:pStyle w:val="94"/>
        <w:numPr>
          <w:ilvl w:val="0"/>
          <w:numId w:val="194"/>
        </w:numPr>
        <w:ind w:left="0" w:firstLine="480"/>
        <w:rPr>
          <w:color w:val="auto"/>
          <w:sz w:val="24"/>
        </w:rPr>
      </w:pPr>
      <w:r>
        <w:rPr>
          <w:color w:val="auto"/>
          <w:sz w:val="24"/>
        </w:rPr>
        <w:t>支持根据医师选项自动判断生成</w:t>
      </w:r>
      <w:r>
        <w:rPr>
          <w:rFonts w:hint="eastAsia"/>
          <w:color w:val="auto"/>
          <w:sz w:val="24"/>
        </w:rPr>
        <w:t>相关</w:t>
      </w:r>
      <w:r>
        <w:rPr>
          <w:color w:val="auto"/>
          <w:sz w:val="24"/>
        </w:rPr>
        <w:t>附卡</w:t>
      </w:r>
      <w:r>
        <w:rPr>
          <w:rFonts w:hint="eastAsia"/>
          <w:color w:val="auto"/>
          <w:sz w:val="24"/>
        </w:rPr>
        <w:t>。</w:t>
      </w:r>
    </w:p>
    <w:p w14:paraId="09425858">
      <w:pPr>
        <w:pStyle w:val="94"/>
        <w:numPr>
          <w:ilvl w:val="0"/>
          <w:numId w:val="194"/>
        </w:numPr>
        <w:ind w:left="0" w:firstLine="480"/>
        <w:rPr>
          <w:color w:val="auto"/>
          <w:sz w:val="24"/>
        </w:rPr>
      </w:pPr>
      <w:r>
        <w:rPr>
          <w:color w:val="auto"/>
          <w:sz w:val="24"/>
        </w:rPr>
        <w:t>支持定义时间范围内不再重复报卡</w:t>
      </w:r>
      <w:r>
        <w:rPr>
          <w:rFonts w:hint="eastAsia"/>
          <w:color w:val="auto"/>
          <w:sz w:val="24"/>
        </w:rPr>
        <w:t>。</w:t>
      </w:r>
    </w:p>
    <w:p w14:paraId="76FD3AB8">
      <w:pPr>
        <w:pStyle w:val="14"/>
        <w:bidi w:val="0"/>
        <w:rPr>
          <w:color w:val="auto"/>
        </w:rPr>
      </w:pPr>
      <w:r>
        <w:rPr>
          <w:rFonts w:hint="eastAsia"/>
          <w:color w:val="auto"/>
        </w:rPr>
        <w:tab/>
      </w:r>
      <w:r>
        <w:rPr>
          <w:rFonts w:hint="eastAsia"/>
          <w:color w:val="auto"/>
        </w:rPr>
        <w:t>国家传染病预警系统</w:t>
      </w:r>
    </w:p>
    <w:p w14:paraId="615FF8B3">
      <w:pPr>
        <w:pStyle w:val="94"/>
        <w:numPr>
          <w:ilvl w:val="0"/>
          <w:numId w:val="0"/>
        </w:numPr>
        <w:ind w:leftChars="200"/>
        <w:rPr>
          <w:color w:val="auto"/>
          <w:sz w:val="24"/>
        </w:rPr>
      </w:pPr>
      <w:r>
        <w:rPr>
          <w:rFonts w:hint="eastAsia"/>
          <w:color w:val="auto"/>
          <w:sz w:val="24"/>
          <w:lang w:val="en-US" w:eastAsia="zh-CN"/>
        </w:rPr>
        <w:t>本系统利旧，仅做接口对接</w:t>
      </w:r>
      <w:r>
        <w:rPr>
          <w:rFonts w:hint="eastAsia"/>
          <w:color w:val="auto"/>
          <w:sz w:val="24"/>
        </w:rPr>
        <w:t>。</w:t>
      </w:r>
    </w:p>
    <w:p w14:paraId="218EA7A7">
      <w:pPr>
        <w:pStyle w:val="13"/>
        <w:bidi w:val="0"/>
        <w:ind w:left="1008" w:leftChars="0" w:hanging="1008" w:firstLineChars="0"/>
        <w:rPr>
          <w:color w:val="auto"/>
        </w:rPr>
      </w:pPr>
      <w:r>
        <w:rPr>
          <w:rFonts w:hint="eastAsia"/>
          <w:color w:val="auto"/>
          <w:lang w:val="en-US" w:eastAsia="zh-CN"/>
        </w:rPr>
        <w:t xml:space="preserve"> </w:t>
      </w:r>
      <w:r>
        <w:rPr>
          <w:rFonts w:hint="eastAsia"/>
          <w:color w:val="auto"/>
        </w:rPr>
        <w:t>护理管理</w:t>
      </w:r>
      <w:r>
        <w:rPr>
          <w:rFonts w:hint="eastAsia"/>
          <w:color w:val="auto"/>
        </w:rPr>
        <w:tab/>
      </w:r>
    </w:p>
    <w:p w14:paraId="23AE02DB">
      <w:pPr>
        <w:pStyle w:val="14"/>
        <w:bidi w:val="0"/>
        <w:rPr>
          <w:color w:val="auto"/>
        </w:rPr>
      </w:pPr>
      <w:r>
        <w:rPr>
          <w:rFonts w:hint="eastAsia"/>
          <w:color w:val="auto"/>
          <w:lang w:val="en-US" w:eastAsia="zh-CN"/>
        </w:rPr>
        <w:t xml:space="preserve"> </w:t>
      </w:r>
      <w:r>
        <w:rPr>
          <w:rFonts w:hint="eastAsia"/>
          <w:color w:val="auto"/>
        </w:rPr>
        <w:t>护理部管理系统</w:t>
      </w:r>
    </w:p>
    <w:p w14:paraId="1305299F">
      <w:pPr>
        <w:bidi w:val="0"/>
        <w:rPr>
          <w:color w:val="auto"/>
        </w:rPr>
      </w:pPr>
      <w:r>
        <w:rPr>
          <w:color w:val="auto"/>
        </w:rPr>
        <w:t>系统实现护士智能排班与满意度调查管理，支持班次批量调整与病区满意度指标分析，优化人力资源分配并提升患者护理服务体验。</w:t>
      </w:r>
    </w:p>
    <w:p w14:paraId="79013192">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D37898A">
      <w:pPr>
        <w:pStyle w:val="341"/>
        <w:spacing w:beforeLines="0"/>
        <w:ind w:firstLine="482"/>
        <w:rPr>
          <w:rFonts w:hint="eastAsia" w:ascii="宋体" w:hAnsi="宋体" w:cs="仿宋"/>
          <w:b/>
          <w:bCs/>
          <w:color w:val="auto"/>
          <w:sz w:val="24"/>
          <w:szCs w:val="24"/>
        </w:rPr>
      </w:pPr>
      <w:bookmarkStart w:id="378" w:name="_Toc106373243"/>
      <w:r>
        <w:rPr>
          <w:rFonts w:hint="eastAsia" w:ascii="宋体" w:hAnsi="宋体" w:cs="仿宋"/>
          <w:b/>
          <w:bCs/>
          <w:color w:val="auto"/>
          <w:sz w:val="24"/>
          <w:szCs w:val="24"/>
        </w:rPr>
        <w:t>护士排班</w:t>
      </w:r>
      <w:bookmarkEnd w:id="378"/>
    </w:p>
    <w:p w14:paraId="0213620F">
      <w:pPr>
        <w:pStyle w:val="94"/>
        <w:numPr>
          <w:ilvl w:val="0"/>
          <w:numId w:val="195"/>
        </w:numPr>
        <w:ind w:left="0" w:firstLine="480"/>
        <w:rPr>
          <w:color w:val="auto"/>
          <w:sz w:val="24"/>
        </w:rPr>
      </w:pPr>
      <w:bookmarkStart w:id="379" w:name="_Toc106373244"/>
      <w:r>
        <w:rPr>
          <w:rFonts w:hint="eastAsia"/>
          <w:color w:val="auto"/>
          <w:sz w:val="24"/>
        </w:rPr>
        <w:t>支持对各病区护士以及护士长进行班次安排和调整。</w:t>
      </w:r>
    </w:p>
    <w:p w14:paraId="40218353">
      <w:pPr>
        <w:pStyle w:val="94"/>
        <w:numPr>
          <w:ilvl w:val="0"/>
          <w:numId w:val="195"/>
        </w:numPr>
        <w:ind w:left="0" w:firstLine="480"/>
        <w:rPr>
          <w:color w:val="auto"/>
          <w:sz w:val="24"/>
        </w:rPr>
      </w:pPr>
      <w:r>
        <w:rPr>
          <w:rFonts w:hint="eastAsia"/>
          <w:color w:val="auto"/>
          <w:sz w:val="24"/>
        </w:rPr>
        <w:t>支持对人员的每个班次的排班数量、排班时间进行统计。</w:t>
      </w:r>
    </w:p>
    <w:p w14:paraId="5947F275">
      <w:pPr>
        <w:pStyle w:val="94"/>
        <w:numPr>
          <w:ilvl w:val="0"/>
          <w:numId w:val="195"/>
        </w:numPr>
        <w:ind w:left="0" w:firstLine="480"/>
        <w:rPr>
          <w:color w:val="auto"/>
          <w:sz w:val="24"/>
        </w:rPr>
      </w:pPr>
      <w:r>
        <w:rPr>
          <w:rFonts w:hint="eastAsia"/>
          <w:color w:val="auto"/>
          <w:sz w:val="24"/>
        </w:rPr>
        <w:t>支持批量调整班次，减少排班操作。</w:t>
      </w:r>
    </w:p>
    <w:p w14:paraId="66E39E79">
      <w:pPr>
        <w:pStyle w:val="94"/>
        <w:numPr>
          <w:ilvl w:val="0"/>
          <w:numId w:val="195"/>
        </w:numPr>
        <w:ind w:left="0" w:firstLine="480"/>
        <w:rPr>
          <w:color w:val="auto"/>
          <w:sz w:val="24"/>
        </w:rPr>
      </w:pPr>
      <w:r>
        <w:rPr>
          <w:rFonts w:hint="eastAsia"/>
          <w:color w:val="auto"/>
          <w:sz w:val="24"/>
        </w:rPr>
        <w:t>支持各个护理单元人员排班情况的查询。</w:t>
      </w:r>
    </w:p>
    <w:p w14:paraId="54DF3B2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满意度调查</w:t>
      </w:r>
      <w:bookmarkEnd w:id="379"/>
    </w:p>
    <w:p w14:paraId="42BB4F28">
      <w:pPr>
        <w:pStyle w:val="94"/>
        <w:numPr>
          <w:ilvl w:val="0"/>
          <w:numId w:val="196"/>
        </w:numPr>
        <w:ind w:left="0" w:firstLine="480"/>
        <w:rPr>
          <w:color w:val="auto"/>
          <w:sz w:val="24"/>
        </w:rPr>
      </w:pPr>
      <w:r>
        <w:rPr>
          <w:color w:val="auto"/>
          <w:sz w:val="24"/>
        </w:rPr>
        <w:t>支持根据医院满意度调查分类自动提取各科室满意度情况。</w:t>
      </w:r>
    </w:p>
    <w:p w14:paraId="729DE031">
      <w:pPr>
        <w:pStyle w:val="94"/>
        <w:numPr>
          <w:ilvl w:val="0"/>
          <w:numId w:val="196"/>
        </w:numPr>
        <w:ind w:left="0" w:firstLine="480"/>
        <w:rPr>
          <w:color w:val="auto"/>
          <w:sz w:val="24"/>
        </w:rPr>
      </w:pPr>
      <w:r>
        <w:rPr>
          <w:color w:val="auto"/>
          <w:sz w:val="24"/>
        </w:rPr>
        <w:t>支持汇总各病区满意度总分、扣分、实得分、满意率情况。</w:t>
      </w:r>
    </w:p>
    <w:p w14:paraId="30475C4B">
      <w:pPr>
        <w:pStyle w:val="94"/>
        <w:numPr>
          <w:ilvl w:val="0"/>
          <w:numId w:val="196"/>
        </w:numPr>
        <w:ind w:left="0" w:firstLine="480"/>
        <w:rPr>
          <w:color w:val="auto"/>
          <w:sz w:val="24"/>
        </w:rPr>
      </w:pPr>
      <w:r>
        <w:rPr>
          <w:rFonts w:hint="eastAsia"/>
          <w:color w:val="auto"/>
          <w:sz w:val="24"/>
        </w:rPr>
        <w:t>支持填写各病区患者满意度指标值，并填写问题说明。</w:t>
      </w:r>
    </w:p>
    <w:p w14:paraId="29B661BD">
      <w:pPr>
        <w:pStyle w:val="14"/>
        <w:bidi w:val="0"/>
        <w:rPr>
          <w:color w:val="auto"/>
        </w:rPr>
      </w:pPr>
      <w:r>
        <w:rPr>
          <w:rFonts w:hint="eastAsia"/>
          <w:color w:val="auto"/>
        </w:rPr>
        <w:tab/>
      </w:r>
      <w:r>
        <w:rPr>
          <w:rFonts w:hint="eastAsia"/>
          <w:color w:val="auto"/>
        </w:rPr>
        <w:t>护理质量管理系统</w:t>
      </w:r>
    </w:p>
    <w:p w14:paraId="1EF55A91">
      <w:pPr>
        <w:bidi w:val="0"/>
        <w:rPr>
          <w:rFonts w:hint="eastAsia"/>
          <w:color w:val="auto"/>
          <w:lang w:eastAsia="zh-CN"/>
        </w:rPr>
      </w:pPr>
      <w:r>
        <w:rPr>
          <w:color w:val="auto"/>
        </w:rPr>
        <w:t>覆盖质控计划制定、执行与跨平台巡查，支持三级质控标准与移动端打分拍照，通过闭环管理提升护理质量标准化水平</w:t>
      </w:r>
      <w:r>
        <w:rPr>
          <w:rFonts w:hint="eastAsia"/>
          <w:color w:val="auto"/>
          <w:lang w:eastAsia="zh-CN"/>
        </w:rPr>
        <w:t>。</w:t>
      </w:r>
    </w:p>
    <w:p w14:paraId="4F979156">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FD21C78">
      <w:pPr>
        <w:pStyle w:val="341"/>
        <w:spacing w:beforeLines="0"/>
        <w:ind w:firstLine="482"/>
        <w:rPr>
          <w:rFonts w:hint="eastAsia" w:ascii="宋体" w:hAnsi="宋体" w:cs="仿宋"/>
          <w:b/>
          <w:bCs/>
          <w:color w:val="auto"/>
          <w:sz w:val="24"/>
          <w:szCs w:val="24"/>
        </w:rPr>
      </w:pPr>
      <w:bookmarkStart w:id="380" w:name="_Toc106373247"/>
      <w:r>
        <w:rPr>
          <w:rFonts w:hint="eastAsia" w:ascii="宋体" w:hAnsi="宋体" w:cs="仿宋"/>
          <w:b/>
          <w:bCs/>
          <w:color w:val="auto"/>
          <w:sz w:val="24"/>
          <w:szCs w:val="24"/>
        </w:rPr>
        <w:t>护理质控</w:t>
      </w:r>
      <w:bookmarkEnd w:id="380"/>
    </w:p>
    <w:p w14:paraId="47E23D5F">
      <w:pPr>
        <w:ind w:firstLine="480"/>
        <w:rPr>
          <w:rFonts w:cs="仿宋"/>
          <w:color w:val="auto"/>
        </w:rPr>
      </w:pPr>
      <w:r>
        <w:rPr>
          <w:rFonts w:hint="eastAsia" w:cs="仿宋"/>
          <w:color w:val="auto"/>
        </w:rPr>
        <w:t>（一）质控计划制定</w:t>
      </w:r>
    </w:p>
    <w:p w14:paraId="6E26668E">
      <w:pPr>
        <w:pStyle w:val="94"/>
        <w:numPr>
          <w:ilvl w:val="0"/>
          <w:numId w:val="197"/>
        </w:numPr>
        <w:ind w:left="0" w:firstLine="480"/>
        <w:rPr>
          <w:color w:val="auto"/>
          <w:sz w:val="24"/>
        </w:rPr>
      </w:pPr>
      <w:r>
        <w:rPr>
          <w:color w:val="auto"/>
          <w:sz w:val="24"/>
        </w:rPr>
        <w:t>支持制定护理质控考核计划</w:t>
      </w:r>
    </w:p>
    <w:p w14:paraId="7438624E">
      <w:pPr>
        <w:pStyle w:val="94"/>
        <w:numPr>
          <w:ilvl w:val="0"/>
          <w:numId w:val="197"/>
        </w:numPr>
        <w:ind w:left="0" w:firstLine="480"/>
        <w:rPr>
          <w:color w:val="auto"/>
          <w:sz w:val="24"/>
        </w:rPr>
      </w:pPr>
      <w:r>
        <w:rPr>
          <w:color w:val="auto"/>
          <w:sz w:val="24"/>
        </w:rPr>
        <w:t>支持考核计划</w:t>
      </w:r>
      <w:r>
        <w:rPr>
          <w:rFonts w:hint="eastAsia"/>
          <w:color w:val="auto"/>
          <w:sz w:val="24"/>
        </w:rPr>
        <w:t>绑定</w:t>
      </w:r>
      <w:r>
        <w:rPr>
          <w:color w:val="auto"/>
          <w:sz w:val="24"/>
        </w:rPr>
        <w:t>参加考核的病区名单</w:t>
      </w:r>
      <w:r>
        <w:rPr>
          <w:rFonts w:hint="eastAsia"/>
          <w:color w:val="auto"/>
          <w:sz w:val="24"/>
        </w:rPr>
        <w:t>。</w:t>
      </w:r>
    </w:p>
    <w:p w14:paraId="18D1C37D">
      <w:pPr>
        <w:pStyle w:val="94"/>
        <w:numPr>
          <w:ilvl w:val="0"/>
          <w:numId w:val="197"/>
        </w:numPr>
        <w:ind w:left="0" w:firstLine="480"/>
        <w:rPr>
          <w:color w:val="auto"/>
          <w:sz w:val="24"/>
        </w:rPr>
      </w:pPr>
      <w:r>
        <w:rPr>
          <w:rFonts w:hint="eastAsia"/>
          <w:color w:val="auto"/>
          <w:sz w:val="24"/>
        </w:rPr>
        <w:t>支持考核计划绑定考核标准。</w:t>
      </w:r>
    </w:p>
    <w:p w14:paraId="7C71B56D">
      <w:pPr>
        <w:pStyle w:val="94"/>
        <w:numPr>
          <w:ilvl w:val="0"/>
          <w:numId w:val="197"/>
        </w:numPr>
        <w:ind w:left="0" w:firstLine="480"/>
        <w:rPr>
          <w:color w:val="auto"/>
          <w:sz w:val="24"/>
        </w:rPr>
      </w:pPr>
      <w:r>
        <w:rPr>
          <w:color w:val="auto"/>
          <w:sz w:val="24"/>
        </w:rPr>
        <w:t>支持三级质控标准定义</w:t>
      </w:r>
      <w:r>
        <w:rPr>
          <w:rFonts w:hint="eastAsia"/>
          <w:color w:val="auto"/>
          <w:sz w:val="24"/>
        </w:rPr>
        <w:t>。</w:t>
      </w:r>
    </w:p>
    <w:p w14:paraId="0C636FD4">
      <w:pPr>
        <w:pStyle w:val="94"/>
        <w:numPr>
          <w:ilvl w:val="0"/>
          <w:numId w:val="197"/>
        </w:numPr>
        <w:ind w:left="0" w:firstLine="480"/>
        <w:rPr>
          <w:color w:val="auto"/>
          <w:sz w:val="24"/>
        </w:rPr>
      </w:pPr>
      <w:r>
        <w:rPr>
          <w:color w:val="auto"/>
          <w:sz w:val="24"/>
        </w:rPr>
        <w:t>能够根据考核计划绑定计划质控级别</w:t>
      </w:r>
      <w:r>
        <w:rPr>
          <w:rFonts w:hint="eastAsia"/>
          <w:color w:val="auto"/>
          <w:sz w:val="24"/>
        </w:rPr>
        <w:t>、</w:t>
      </w:r>
      <w:r>
        <w:rPr>
          <w:color w:val="auto"/>
          <w:sz w:val="24"/>
        </w:rPr>
        <w:t>制定部门</w:t>
      </w:r>
      <w:r>
        <w:rPr>
          <w:rFonts w:hint="eastAsia"/>
          <w:color w:val="auto"/>
          <w:sz w:val="24"/>
        </w:rPr>
        <w:t>、</w:t>
      </w:r>
      <w:r>
        <w:rPr>
          <w:color w:val="auto"/>
          <w:sz w:val="24"/>
        </w:rPr>
        <w:t>考核日期</w:t>
      </w:r>
      <w:r>
        <w:rPr>
          <w:rFonts w:hint="eastAsia"/>
          <w:color w:val="auto"/>
          <w:sz w:val="24"/>
        </w:rPr>
        <w:t>、</w:t>
      </w:r>
      <w:r>
        <w:rPr>
          <w:color w:val="auto"/>
          <w:sz w:val="24"/>
        </w:rPr>
        <w:t>填写计划名称</w:t>
      </w:r>
      <w:r>
        <w:rPr>
          <w:rFonts w:hint="eastAsia"/>
          <w:color w:val="auto"/>
          <w:sz w:val="24"/>
        </w:rPr>
        <w:t>、</w:t>
      </w:r>
      <w:r>
        <w:rPr>
          <w:color w:val="auto"/>
          <w:sz w:val="24"/>
        </w:rPr>
        <w:t>分配考核小组</w:t>
      </w:r>
      <w:r>
        <w:rPr>
          <w:rFonts w:hint="eastAsia"/>
          <w:color w:val="auto"/>
          <w:sz w:val="24"/>
        </w:rPr>
        <w:t>、</w:t>
      </w:r>
      <w:r>
        <w:rPr>
          <w:color w:val="auto"/>
          <w:sz w:val="24"/>
        </w:rPr>
        <w:t>负责人</w:t>
      </w:r>
      <w:r>
        <w:rPr>
          <w:rFonts w:hint="eastAsia"/>
          <w:color w:val="auto"/>
          <w:sz w:val="24"/>
        </w:rPr>
        <w:t>、</w:t>
      </w:r>
      <w:r>
        <w:rPr>
          <w:color w:val="auto"/>
          <w:sz w:val="24"/>
        </w:rPr>
        <w:t>备注等信息</w:t>
      </w:r>
      <w:r>
        <w:rPr>
          <w:rFonts w:hint="eastAsia"/>
          <w:color w:val="auto"/>
          <w:sz w:val="24"/>
        </w:rPr>
        <w:t>。</w:t>
      </w:r>
    </w:p>
    <w:p w14:paraId="3B063B40">
      <w:pPr>
        <w:pStyle w:val="94"/>
        <w:numPr>
          <w:ilvl w:val="0"/>
          <w:numId w:val="197"/>
        </w:numPr>
        <w:ind w:left="0" w:firstLine="480"/>
        <w:rPr>
          <w:color w:val="auto"/>
          <w:sz w:val="24"/>
        </w:rPr>
      </w:pPr>
      <w:r>
        <w:rPr>
          <w:color w:val="auto"/>
          <w:sz w:val="24"/>
        </w:rPr>
        <w:t>支持从模板中创建考核计划</w:t>
      </w:r>
      <w:r>
        <w:rPr>
          <w:rFonts w:hint="eastAsia"/>
          <w:color w:val="auto"/>
          <w:sz w:val="24"/>
        </w:rPr>
        <w:t>。</w:t>
      </w:r>
    </w:p>
    <w:p w14:paraId="262FDA3E">
      <w:pPr>
        <w:ind w:firstLine="480"/>
        <w:rPr>
          <w:rFonts w:cs="仿宋"/>
          <w:color w:val="auto"/>
        </w:rPr>
      </w:pPr>
      <w:r>
        <w:rPr>
          <w:rFonts w:hint="eastAsia" w:cs="仿宋"/>
          <w:color w:val="auto"/>
        </w:rPr>
        <w:t>（二）护理质控执行</w:t>
      </w:r>
    </w:p>
    <w:p w14:paraId="4FDBEE43">
      <w:pPr>
        <w:pStyle w:val="94"/>
        <w:numPr>
          <w:ilvl w:val="0"/>
          <w:numId w:val="198"/>
        </w:numPr>
        <w:ind w:left="0" w:firstLine="480"/>
        <w:rPr>
          <w:color w:val="auto"/>
          <w:sz w:val="24"/>
        </w:rPr>
      </w:pPr>
      <w:bookmarkStart w:id="381" w:name="_Toc106373248"/>
      <w:r>
        <w:rPr>
          <w:rFonts w:hint="eastAsia"/>
          <w:color w:val="auto"/>
          <w:sz w:val="24"/>
        </w:rPr>
        <w:t>支持定期质控及巡查质控两种模式。</w:t>
      </w:r>
    </w:p>
    <w:p w14:paraId="0A3EEBC8">
      <w:pPr>
        <w:pStyle w:val="94"/>
        <w:numPr>
          <w:ilvl w:val="0"/>
          <w:numId w:val="198"/>
        </w:numPr>
        <w:ind w:left="0" w:firstLine="480"/>
        <w:rPr>
          <w:color w:val="auto"/>
          <w:sz w:val="24"/>
        </w:rPr>
      </w:pPr>
      <w:r>
        <w:rPr>
          <w:rFonts w:hint="eastAsia"/>
          <w:color w:val="auto"/>
          <w:sz w:val="24"/>
        </w:rPr>
        <w:t>支持根据落实情况自动打分。</w:t>
      </w:r>
    </w:p>
    <w:p w14:paraId="1DE28A61">
      <w:pPr>
        <w:pStyle w:val="94"/>
        <w:numPr>
          <w:ilvl w:val="0"/>
          <w:numId w:val="198"/>
        </w:numPr>
        <w:ind w:left="0" w:firstLine="480"/>
        <w:rPr>
          <w:color w:val="auto"/>
          <w:sz w:val="24"/>
        </w:rPr>
      </w:pPr>
      <w:r>
        <w:rPr>
          <w:color w:val="auto"/>
          <w:sz w:val="24"/>
        </w:rPr>
        <w:t>支持手动打分</w:t>
      </w:r>
      <w:r>
        <w:rPr>
          <w:rFonts w:hint="eastAsia"/>
          <w:color w:val="auto"/>
          <w:sz w:val="24"/>
        </w:rPr>
        <w:t>。</w:t>
      </w:r>
    </w:p>
    <w:p w14:paraId="5506AB4C">
      <w:pPr>
        <w:pStyle w:val="94"/>
        <w:numPr>
          <w:ilvl w:val="0"/>
          <w:numId w:val="198"/>
        </w:numPr>
        <w:ind w:left="0" w:firstLine="480"/>
        <w:rPr>
          <w:color w:val="auto"/>
          <w:sz w:val="24"/>
        </w:rPr>
      </w:pPr>
      <w:r>
        <w:rPr>
          <w:color w:val="auto"/>
          <w:sz w:val="24"/>
        </w:rPr>
        <w:t>支持考核标准表支持空表打印和正常打印两种模式</w:t>
      </w:r>
      <w:r>
        <w:rPr>
          <w:rFonts w:hint="eastAsia"/>
          <w:color w:val="auto"/>
          <w:sz w:val="24"/>
        </w:rPr>
        <w:t>。</w:t>
      </w:r>
    </w:p>
    <w:p w14:paraId="10E2FBCC">
      <w:pPr>
        <w:pStyle w:val="94"/>
        <w:numPr>
          <w:ilvl w:val="0"/>
          <w:numId w:val="198"/>
        </w:numPr>
        <w:ind w:left="0" w:firstLine="480"/>
        <w:rPr>
          <w:color w:val="auto"/>
          <w:sz w:val="24"/>
        </w:rPr>
      </w:pPr>
      <w:r>
        <w:rPr>
          <w:color w:val="auto"/>
          <w:sz w:val="24"/>
        </w:rPr>
        <w:t>表单支持重写、提交功能、撤销提交功能。</w:t>
      </w:r>
    </w:p>
    <w:p w14:paraId="098428E4">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跨平台</w:t>
      </w:r>
      <w:bookmarkEnd w:id="381"/>
    </w:p>
    <w:p w14:paraId="4FEA6E0B">
      <w:pPr>
        <w:pStyle w:val="94"/>
        <w:numPr>
          <w:ilvl w:val="0"/>
          <w:numId w:val="199"/>
        </w:numPr>
        <w:ind w:left="0" w:firstLine="480"/>
        <w:rPr>
          <w:color w:val="auto"/>
          <w:sz w:val="24"/>
        </w:rPr>
      </w:pPr>
      <w:r>
        <w:rPr>
          <w:color w:val="auto"/>
          <w:sz w:val="24"/>
        </w:rPr>
        <w:t>支持通过平板设备进行护理质控。</w:t>
      </w:r>
    </w:p>
    <w:p w14:paraId="545B3A15">
      <w:pPr>
        <w:pStyle w:val="94"/>
        <w:numPr>
          <w:ilvl w:val="0"/>
          <w:numId w:val="199"/>
        </w:numPr>
        <w:ind w:left="0" w:firstLine="480"/>
        <w:rPr>
          <w:color w:val="auto"/>
          <w:sz w:val="24"/>
        </w:rPr>
      </w:pPr>
      <w:r>
        <w:rPr>
          <w:color w:val="auto"/>
          <w:sz w:val="24"/>
        </w:rPr>
        <w:t>支持质控过程中拍照上传图片信息。</w:t>
      </w:r>
    </w:p>
    <w:p w14:paraId="6FBE4A8C">
      <w:pPr>
        <w:pStyle w:val="94"/>
        <w:numPr>
          <w:ilvl w:val="0"/>
          <w:numId w:val="199"/>
        </w:numPr>
        <w:ind w:left="0" w:firstLine="480"/>
        <w:rPr>
          <w:color w:val="auto"/>
          <w:sz w:val="24"/>
        </w:rPr>
      </w:pPr>
      <w:r>
        <w:rPr>
          <w:color w:val="auto"/>
          <w:sz w:val="24"/>
        </w:rPr>
        <w:t>支持通过平板进行打分。</w:t>
      </w:r>
    </w:p>
    <w:p w14:paraId="381CF5EF">
      <w:pPr>
        <w:pStyle w:val="13"/>
        <w:bidi w:val="0"/>
        <w:ind w:left="1008" w:leftChars="0" w:hanging="1008" w:firstLineChars="0"/>
        <w:rPr>
          <w:color w:val="auto"/>
        </w:rPr>
      </w:pPr>
      <w:r>
        <w:rPr>
          <w:rFonts w:hint="eastAsia"/>
          <w:color w:val="auto"/>
          <w:lang w:val="en-US" w:eastAsia="zh-CN"/>
        </w:rPr>
        <w:t xml:space="preserve"> </w:t>
      </w:r>
      <w:r>
        <w:rPr>
          <w:rFonts w:hint="eastAsia"/>
          <w:color w:val="auto"/>
        </w:rPr>
        <w:t>药事管理</w:t>
      </w:r>
      <w:r>
        <w:rPr>
          <w:rFonts w:hint="eastAsia"/>
          <w:color w:val="auto"/>
        </w:rPr>
        <w:tab/>
      </w:r>
    </w:p>
    <w:p w14:paraId="7203A74B">
      <w:pPr>
        <w:pStyle w:val="14"/>
        <w:bidi w:val="0"/>
        <w:rPr>
          <w:color w:val="auto"/>
        </w:rPr>
      </w:pPr>
      <w:r>
        <w:rPr>
          <w:rFonts w:hint="eastAsia"/>
          <w:color w:val="auto"/>
          <w:lang w:val="en-US" w:eastAsia="zh-CN"/>
        </w:rPr>
        <w:t xml:space="preserve"> </w:t>
      </w:r>
      <w:r>
        <w:rPr>
          <w:rFonts w:hint="eastAsia"/>
          <w:color w:val="auto"/>
        </w:rPr>
        <w:t>药库管理系统</w:t>
      </w:r>
    </w:p>
    <w:p w14:paraId="47B24EB6">
      <w:pPr>
        <w:bidi w:val="0"/>
        <w:rPr>
          <w:color w:val="auto"/>
        </w:rPr>
      </w:pPr>
      <w:r>
        <w:rPr>
          <w:color w:val="auto"/>
        </w:rPr>
        <w:t>实现药品全生命周期管理，涵盖智能入库、调拨计划、动态盘存及调价结算，确保药品供应链高效合规。</w:t>
      </w:r>
      <w:r>
        <w:rPr>
          <w:rFonts w:hint="eastAsia"/>
          <w:color w:val="auto"/>
          <w:lang w:val="en-US" w:eastAsia="zh-CN"/>
        </w:rPr>
        <w:t>支持有</w:t>
      </w:r>
      <w:r>
        <w:rPr>
          <w:color w:val="auto"/>
        </w:rPr>
        <w:t>效期预警与追踪码管理，确保药品和耗材供应链高效合规、全程可追溯。</w:t>
      </w:r>
    </w:p>
    <w:p w14:paraId="4E31F6DF">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24D53F91">
      <w:pPr>
        <w:pStyle w:val="341"/>
        <w:spacing w:beforeLines="0"/>
        <w:ind w:firstLine="482"/>
        <w:rPr>
          <w:rFonts w:hint="eastAsia" w:ascii="宋体" w:hAnsi="宋体" w:cs="仿宋"/>
          <w:b/>
          <w:bCs/>
          <w:color w:val="auto"/>
          <w:sz w:val="24"/>
          <w:szCs w:val="24"/>
        </w:rPr>
      </w:pPr>
      <w:bookmarkStart w:id="382" w:name="_Toc106373289"/>
      <w:r>
        <w:rPr>
          <w:rFonts w:hint="eastAsia" w:ascii="宋体" w:hAnsi="宋体" w:cs="仿宋"/>
          <w:b/>
          <w:bCs/>
          <w:color w:val="auto"/>
          <w:sz w:val="24"/>
          <w:szCs w:val="24"/>
        </w:rPr>
        <w:t>入库管理</w:t>
      </w:r>
      <w:bookmarkEnd w:id="382"/>
    </w:p>
    <w:p w14:paraId="162A4C9F">
      <w:pPr>
        <w:pStyle w:val="94"/>
        <w:numPr>
          <w:ilvl w:val="0"/>
          <w:numId w:val="200"/>
        </w:numPr>
        <w:ind w:left="0" w:firstLine="480"/>
        <w:rPr>
          <w:color w:val="auto"/>
          <w:sz w:val="24"/>
        </w:rPr>
      </w:pPr>
      <w:bookmarkStart w:id="383" w:name="_Toc106373290"/>
      <w:r>
        <w:rPr>
          <w:rFonts w:hint="eastAsia"/>
          <w:color w:val="auto"/>
          <w:sz w:val="24"/>
        </w:rPr>
        <w:t>支持多种不同的入库类型，如外购入库、发票入库、自制入库、初始盘存、外部赠送等。</w:t>
      </w:r>
    </w:p>
    <w:p w14:paraId="5223A2BC">
      <w:pPr>
        <w:pStyle w:val="94"/>
        <w:numPr>
          <w:ilvl w:val="0"/>
          <w:numId w:val="200"/>
        </w:numPr>
        <w:ind w:left="0" w:firstLine="480"/>
        <w:rPr>
          <w:color w:val="auto"/>
          <w:sz w:val="24"/>
        </w:rPr>
      </w:pPr>
      <w:r>
        <w:rPr>
          <w:rFonts w:hint="eastAsia"/>
          <w:color w:val="auto"/>
          <w:sz w:val="24"/>
        </w:rPr>
        <w:t>支持提交后自动打印入库单。</w:t>
      </w:r>
    </w:p>
    <w:p w14:paraId="66B271AC">
      <w:pPr>
        <w:pStyle w:val="94"/>
        <w:numPr>
          <w:ilvl w:val="0"/>
          <w:numId w:val="200"/>
        </w:numPr>
        <w:ind w:left="0" w:firstLine="480"/>
        <w:rPr>
          <w:color w:val="auto"/>
          <w:sz w:val="24"/>
        </w:rPr>
      </w:pPr>
      <w:r>
        <w:rPr>
          <w:rFonts w:hint="eastAsia"/>
          <w:color w:val="auto"/>
          <w:sz w:val="24"/>
        </w:rPr>
        <w:t>支持入库审核后增加药品库存。</w:t>
      </w:r>
    </w:p>
    <w:p w14:paraId="1CA4ED1C">
      <w:pPr>
        <w:pStyle w:val="94"/>
        <w:numPr>
          <w:ilvl w:val="0"/>
          <w:numId w:val="200"/>
        </w:numPr>
        <w:ind w:left="0" w:firstLine="480"/>
        <w:rPr>
          <w:color w:val="auto"/>
          <w:sz w:val="24"/>
        </w:rPr>
      </w:pPr>
      <w:r>
        <w:rPr>
          <w:color w:val="auto"/>
          <w:sz w:val="24"/>
        </w:rPr>
        <w:t>支持根据医院情况定义入库流程</w:t>
      </w:r>
      <w:r>
        <w:rPr>
          <w:rFonts w:hint="eastAsia"/>
          <w:color w:val="auto"/>
          <w:sz w:val="24"/>
        </w:rPr>
        <w:t>，支持扫码入库，对集采药品实施定制化管理。</w:t>
      </w:r>
    </w:p>
    <w:p w14:paraId="07567C83">
      <w:pPr>
        <w:pStyle w:val="94"/>
        <w:numPr>
          <w:ilvl w:val="0"/>
          <w:numId w:val="200"/>
        </w:numPr>
        <w:ind w:left="0" w:firstLine="480"/>
        <w:rPr>
          <w:color w:val="auto"/>
        </w:rPr>
      </w:pPr>
      <w:r>
        <w:rPr>
          <w:color w:val="auto"/>
          <w:sz w:val="24"/>
        </w:rPr>
        <w:t>支持补充登记药品生产厂家</w:t>
      </w:r>
      <w:r>
        <w:rPr>
          <w:rFonts w:hint="eastAsia"/>
          <w:color w:val="auto"/>
          <w:sz w:val="24"/>
        </w:rPr>
        <w:t>、</w:t>
      </w:r>
      <w:r>
        <w:rPr>
          <w:color w:val="auto"/>
          <w:sz w:val="24"/>
        </w:rPr>
        <w:t>生产批号</w:t>
      </w:r>
      <w:r>
        <w:rPr>
          <w:rFonts w:hint="eastAsia"/>
          <w:color w:val="auto"/>
          <w:sz w:val="24"/>
        </w:rPr>
        <w:t>、</w:t>
      </w:r>
      <w:r>
        <w:rPr>
          <w:color w:val="auto"/>
          <w:sz w:val="24"/>
        </w:rPr>
        <w:t>批准文号</w:t>
      </w:r>
      <w:r>
        <w:rPr>
          <w:rFonts w:hint="eastAsia"/>
          <w:color w:val="auto"/>
          <w:sz w:val="24"/>
        </w:rPr>
        <w:t>、</w:t>
      </w:r>
      <w:r>
        <w:rPr>
          <w:color w:val="auto"/>
          <w:sz w:val="24"/>
        </w:rPr>
        <w:t>发票号</w:t>
      </w:r>
      <w:r>
        <w:rPr>
          <w:rFonts w:hint="eastAsia"/>
          <w:color w:val="auto"/>
          <w:sz w:val="24"/>
        </w:rPr>
        <w:t>、</w:t>
      </w:r>
      <w:r>
        <w:rPr>
          <w:color w:val="auto"/>
          <w:sz w:val="24"/>
        </w:rPr>
        <w:t>生产日期</w:t>
      </w:r>
      <w:r>
        <w:rPr>
          <w:rFonts w:hint="eastAsia"/>
          <w:color w:val="auto"/>
          <w:sz w:val="24"/>
        </w:rPr>
        <w:t>、</w:t>
      </w:r>
      <w:r>
        <w:rPr>
          <w:color w:val="auto"/>
          <w:sz w:val="24"/>
        </w:rPr>
        <w:t>有效期等信息</w:t>
      </w:r>
      <w:r>
        <w:rPr>
          <w:rFonts w:hint="eastAsia"/>
          <w:color w:val="auto"/>
          <w:sz w:val="24"/>
        </w:rPr>
        <w:t>。</w:t>
      </w:r>
    </w:p>
    <w:p w14:paraId="3F18D073">
      <w:pPr>
        <w:pStyle w:val="94"/>
        <w:numPr>
          <w:ilvl w:val="0"/>
          <w:numId w:val="200"/>
        </w:numPr>
        <w:ind w:left="0" w:firstLine="480"/>
        <w:rPr>
          <w:color w:val="auto"/>
        </w:rPr>
      </w:pPr>
      <w:r>
        <w:rPr>
          <w:color w:val="auto"/>
        </w:rPr>
        <w:t>支持扫码入库，对集采药品和耗材实施定制化管理，补充登记生产厂家、批号、批准文号、有效期等信息。</w:t>
      </w:r>
    </w:p>
    <w:p w14:paraId="13AE6E18">
      <w:pPr>
        <w:pStyle w:val="94"/>
        <w:numPr>
          <w:ilvl w:val="0"/>
          <w:numId w:val="200"/>
        </w:numPr>
        <w:ind w:left="0" w:firstLine="480"/>
        <w:rPr>
          <w:color w:val="auto"/>
        </w:rPr>
      </w:pPr>
      <w:r>
        <w:rPr>
          <w:rFonts w:hint="default"/>
          <w:color w:val="auto"/>
        </w:rPr>
        <w:t>支持药品和耗材的追踪码（如UDI、药品追溯码）录入与管理，确保全程可追溯。</w:t>
      </w:r>
    </w:p>
    <w:p w14:paraId="3B481CBA">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药品出库</w:t>
      </w:r>
      <w:bookmarkEnd w:id="383"/>
    </w:p>
    <w:p w14:paraId="33794191">
      <w:pPr>
        <w:pStyle w:val="94"/>
        <w:numPr>
          <w:ilvl w:val="0"/>
          <w:numId w:val="201"/>
        </w:numPr>
        <w:ind w:left="0" w:firstLine="480"/>
        <w:rPr>
          <w:rFonts w:cs="仿宋"/>
          <w:color w:val="auto"/>
          <w:sz w:val="24"/>
        </w:rPr>
      </w:pPr>
      <w:r>
        <w:rPr>
          <w:rFonts w:hint="eastAsia" w:cs="仿宋"/>
          <w:color w:val="auto"/>
          <w:sz w:val="24"/>
        </w:rPr>
        <w:t>药品调拨</w:t>
      </w:r>
    </w:p>
    <w:p w14:paraId="7C22043F">
      <w:pPr>
        <w:ind w:firstLine="480"/>
        <w:rPr>
          <w:rFonts w:cs="仿宋"/>
          <w:color w:val="auto"/>
        </w:rPr>
      </w:pPr>
      <w:r>
        <w:rPr>
          <w:rFonts w:hint="eastAsia" w:cs="仿宋"/>
          <w:color w:val="auto"/>
        </w:rPr>
        <w:t>1. 支持创建调拨计划单。</w:t>
      </w:r>
    </w:p>
    <w:p w14:paraId="710C7C85">
      <w:pPr>
        <w:ind w:firstLine="480"/>
        <w:rPr>
          <w:rFonts w:cs="仿宋"/>
          <w:color w:val="auto"/>
        </w:rPr>
      </w:pPr>
      <w:r>
        <w:rPr>
          <w:rFonts w:hint="eastAsia" w:cs="仿宋"/>
          <w:color w:val="auto"/>
        </w:rPr>
        <w:t>2. 支持按最高库存数、本库库存自动计算计划调拨数量。</w:t>
      </w:r>
    </w:p>
    <w:p w14:paraId="3ED53099">
      <w:pPr>
        <w:ind w:firstLine="480"/>
        <w:rPr>
          <w:rFonts w:cs="仿宋"/>
          <w:color w:val="auto"/>
        </w:rPr>
      </w:pPr>
      <w:r>
        <w:rPr>
          <w:rFonts w:hint="eastAsia" w:cs="仿宋"/>
          <w:color w:val="auto"/>
        </w:rPr>
        <w:t>3. 支持按最低库存数、本库库存余量自动计算计划调拨数量。</w:t>
      </w:r>
    </w:p>
    <w:p w14:paraId="56DB6EF5">
      <w:pPr>
        <w:ind w:firstLine="480"/>
        <w:rPr>
          <w:rFonts w:cs="仿宋"/>
          <w:color w:val="auto"/>
        </w:rPr>
      </w:pPr>
      <w:r>
        <w:rPr>
          <w:rFonts w:hint="eastAsia" w:cs="仿宋"/>
          <w:color w:val="auto"/>
        </w:rPr>
        <w:t>4. 支持按时间段内处方消耗数量产生计划调拨数量。</w:t>
      </w:r>
    </w:p>
    <w:p w14:paraId="6A73C15B">
      <w:pPr>
        <w:ind w:firstLine="480"/>
        <w:rPr>
          <w:rFonts w:cs="仿宋"/>
          <w:color w:val="auto"/>
        </w:rPr>
      </w:pPr>
      <w:r>
        <w:rPr>
          <w:rFonts w:hint="eastAsia" w:cs="仿宋"/>
          <w:color w:val="auto"/>
        </w:rPr>
        <w:t>5. 支持本库库存全部调拨。</w:t>
      </w:r>
    </w:p>
    <w:p w14:paraId="2513FDD4">
      <w:pPr>
        <w:ind w:firstLine="480"/>
        <w:rPr>
          <w:rFonts w:cs="仿宋"/>
          <w:color w:val="auto"/>
        </w:rPr>
      </w:pPr>
      <w:r>
        <w:rPr>
          <w:rFonts w:hint="eastAsia" w:cs="仿宋"/>
          <w:color w:val="auto"/>
        </w:rPr>
        <w:t>6. 支持按字典进行搜索定位药品信息。</w:t>
      </w:r>
    </w:p>
    <w:p w14:paraId="3706B3A1">
      <w:pPr>
        <w:ind w:firstLine="480"/>
        <w:rPr>
          <w:rFonts w:cs="仿宋"/>
          <w:color w:val="auto"/>
        </w:rPr>
      </w:pPr>
      <w:r>
        <w:rPr>
          <w:rFonts w:hint="eastAsia" w:cs="仿宋"/>
          <w:color w:val="auto"/>
        </w:rPr>
        <w:t>7. 支持按剂型分类筛选药品。</w:t>
      </w:r>
    </w:p>
    <w:p w14:paraId="4EB5673E">
      <w:pPr>
        <w:ind w:firstLine="480"/>
        <w:rPr>
          <w:rFonts w:cs="仿宋"/>
          <w:color w:val="auto"/>
        </w:rPr>
      </w:pPr>
      <w:r>
        <w:rPr>
          <w:rFonts w:hint="eastAsia" w:cs="仿宋"/>
          <w:color w:val="auto"/>
        </w:rPr>
        <w:t>8. 支持按全院使用、仅申请库房使用、仅调拨库房使用、申请调拨同时使用、调拨库房新进药筛选药品。</w:t>
      </w:r>
    </w:p>
    <w:p w14:paraId="58A7CE15">
      <w:pPr>
        <w:ind w:firstLine="480"/>
        <w:rPr>
          <w:rFonts w:cs="仿宋"/>
          <w:color w:val="auto"/>
        </w:rPr>
      </w:pPr>
      <w:r>
        <w:rPr>
          <w:rFonts w:hint="eastAsia" w:cs="仿宋"/>
          <w:color w:val="auto"/>
        </w:rPr>
        <w:t>9. 支持自选批次和不选批次进行调拨，不选批次时根据自定义出库规则进行出库。</w:t>
      </w:r>
    </w:p>
    <w:p w14:paraId="091F7C0C">
      <w:pPr>
        <w:ind w:firstLine="480"/>
        <w:rPr>
          <w:rFonts w:cs="仿宋"/>
          <w:color w:val="auto"/>
        </w:rPr>
      </w:pPr>
      <w:r>
        <w:rPr>
          <w:rFonts w:hint="eastAsia" w:cs="仿宋"/>
          <w:color w:val="auto"/>
        </w:rPr>
        <w:t>10. 支持根据大单位、小单位进行调拨。</w:t>
      </w:r>
    </w:p>
    <w:p w14:paraId="6038FAB0">
      <w:pPr>
        <w:ind w:firstLine="480"/>
        <w:rPr>
          <w:rFonts w:cs="仿宋"/>
          <w:color w:val="auto"/>
        </w:rPr>
      </w:pPr>
      <w:r>
        <w:rPr>
          <w:rFonts w:hint="eastAsia" w:cs="仿宋"/>
          <w:color w:val="auto"/>
        </w:rPr>
        <w:t>11. 支持全键盘快捷操作。</w:t>
      </w:r>
    </w:p>
    <w:p w14:paraId="57967552">
      <w:pPr>
        <w:ind w:firstLine="480"/>
        <w:rPr>
          <w:rFonts w:cs="仿宋"/>
          <w:color w:val="auto"/>
        </w:rPr>
      </w:pPr>
      <w:r>
        <w:rPr>
          <w:rFonts w:hint="eastAsia" w:cs="仿宋"/>
          <w:color w:val="auto"/>
        </w:rPr>
        <w:t>12. 支持调拨流程自定义，是否需要调拨审核、调拨签收。</w:t>
      </w:r>
    </w:p>
    <w:p w14:paraId="7487D2ED">
      <w:pPr>
        <w:pStyle w:val="94"/>
        <w:numPr>
          <w:ilvl w:val="0"/>
          <w:numId w:val="201"/>
        </w:numPr>
        <w:ind w:left="0" w:firstLine="480"/>
        <w:rPr>
          <w:rFonts w:cs="仿宋"/>
          <w:color w:val="auto"/>
          <w:sz w:val="24"/>
        </w:rPr>
      </w:pPr>
      <w:r>
        <w:rPr>
          <w:rFonts w:hint="eastAsia" w:cs="仿宋"/>
          <w:color w:val="auto"/>
          <w:sz w:val="24"/>
        </w:rPr>
        <w:t>医联体调拨</w:t>
      </w:r>
    </w:p>
    <w:p w14:paraId="60FE828C">
      <w:pPr>
        <w:pStyle w:val="94"/>
        <w:ind w:firstLine="480"/>
        <w:rPr>
          <w:rFonts w:cs="仿宋"/>
          <w:color w:val="auto"/>
          <w:sz w:val="24"/>
        </w:rPr>
      </w:pPr>
      <w:r>
        <w:rPr>
          <w:rFonts w:hint="eastAsia" w:cs="仿宋"/>
          <w:color w:val="auto"/>
          <w:sz w:val="24"/>
          <w:lang w:val="en-US" w:eastAsia="zh-CN"/>
        </w:rPr>
        <w:t>1</w:t>
      </w:r>
      <w:r>
        <w:rPr>
          <w:rFonts w:hint="eastAsia" w:cs="仿宋"/>
          <w:color w:val="auto"/>
          <w:sz w:val="24"/>
        </w:rPr>
        <w:t>.</w:t>
      </w:r>
      <w:r>
        <w:rPr>
          <w:rFonts w:hint="eastAsia" w:cs="仿宋"/>
          <w:color w:val="auto"/>
          <w:sz w:val="24"/>
        </w:rPr>
        <w:tab/>
      </w:r>
      <w:r>
        <w:rPr>
          <w:rFonts w:hint="eastAsia" w:cs="仿宋"/>
          <w:color w:val="auto"/>
          <w:sz w:val="24"/>
        </w:rPr>
        <w:t>支持自选批次和不选批次进行调拨，不选批次时根据自定义出库规则进行出库。</w:t>
      </w:r>
    </w:p>
    <w:p w14:paraId="2BC50299">
      <w:pPr>
        <w:pStyle w:val="94"/>
        <w:ind w:firstLine="480"/>
        <w:rPr>
          <w:rFonts w:cs="仿宋"/>
          <w:color w:val="auto"/>
          <w:sz w:val="24"/>
        </w:rPr>
      </w:pPr>
      <w:r>
        <w:rPr>
          <w:rFonts w:hint="eastAsia" w:cs="仿宋"/>
          <w:color w:val="auto"/>
          <w:sz w:val="24"/>
          <w:lang w:val="en-US" w:eastAsia="zh-CN"/>
        </w:rPr>
        <w:t>2</w:t>
      </w:r>
      <w:r>
        <w:rPr>
          <w:rFonts w:hint="eastAsia" w:cs="仿宋"/>
          <w:color w:val="auto"/>
          <w:sz w:val="24"/>
        </w:rPr>
        <w:t>.</w:t>
      </w:r>
      <w:r>
        <w:rPr>
          <w:rFonts w:hint="eastAsia" w:cs="仿宋"/>
          <w:color w:val="auto"/>
          <w:sz w:val="24"/>
        </w:rPr>
        <w:tab/>
      </w:r>
      <w:r>
        <w:rPr>
          <w:rFonts w:hint="eastAsia" w:cs="仿宋"/>
          <w:color w:val="auto"/>
          <w:sz w:val="24"/>
        </w:rPr>
        <w:t>支持根据大单位、小单位进行调拨。</w:t>
      </w:r>
    </w:p>
    <w:p w14:paraId="03596C97">
      <w:pPr>
        <w:pStyle w:val="94"/>
        <w:ind w:firstLine="480"/>
        <w:rPr>
          <w:rFonts w:cs="仿宋"/>
          <w:color w:val="auto"/>
          <w:sz w:val="24"/>
        </w:rPr>
      </w:pPr>
      <w:r>
        <w:rPr>
          <w:rFonts w:hint="eastAsia" w:cs="仿宋"/>
          <w:color w:val="auto"/>
          <w:sz w:val="24"/>
          <w:lang w:val="en-US" w:eastAsia="zh-CN"/>
        </w:rPr>
        <w:t>3</w:t>
      </w:r>
      <w:r>
        <w:rPr>
          <w:rFonts w:hint="eastAsia" w:cs="仿宋"/>
          <w:color w:val="auto"/>
          <w:sz w:val="24"/>
        </w:rPr>
        <w:t>.</w:t>
      </w:r>
      <w:r>
        <w:rPr>
          <w:rFonts w:hint="eastAsia" w:cs="仿宋"/>
          <w:color w:val="auto"/>
          <w:sz w:val="24"/>
        </w:rPr>
        <w:tab/>
      </w:r>
      <w:r>
        <w:rPr>
          <w:rFonts w:hint="eastAsia" w:cs="仿宋"/>
          <w:color w:val="auto"/>
          <w:sz w:val="24"/>
        </w:rPr>
        <w:t>支持全键盘快捷操作。</w:t>
      </w:r>
    </w:p>
    <w:p w14:paraId="669B54A9">
      <w:pPr>
        <w:pStyle w:val="94"/>
        <w:numPr>
          <w:ilvl w:val="0"/>
          <w:numId w:val="201"/>
        </w:numPr>
        <w:ind w:left="0" w:firstLine="480"/>
        <w:rPr>
          <w:rFonts w:cs="仿宋"/>
          <w:color w:val="auto"/>
          <w:sz w:val="24"/>
        </w:rPr>
      </w:pPr>
      <w:r>
        <w:rPr>
          <w:rFonts w:hint="eastAsia" w:cs="仿宋"/>
          <w:color w:val="auto"/>
          <w:sz w:val="24"/>
        </w:rPr>
        <w:t>科室领用</w:t>
      </w:r>
    </w:p>
    <w:p w14:paraId="44345AFB">
      <w:pPr>
        <w:pStyle w:val="94"/>
        <w:ind w:firstLine="480"/>
        <w:rPr>
          <w:rFonts w:cs="仿宋"/>
          <w:color w:val="auto"/>
          <w:sz w:val="24"/>
        </w:rPr>
      </w:pPr>
      <w:r>
        <w:rPr>
          <w:rFonts w:hint="eastAsia" w:cs="仿宋"/>
          <w:color w:val="auto"/>
          <w:sz w:val="24"/>
        </w:rPr>
        <w:t>1.</w:t>
      </w:r>
      <w:r>
        <w:rPr>
          <w:rFonts w:hint="eastAsia" w:cs="仿宋"/>
          <w:color w:val="auto"/>
          <w:sz w:val="24"/>
        </w:rPr>
        <w:tab/>
      </w:r>
      <w:r>
        <w:rPr>
          <w:rFonts w:hint="eastAsia" w:cs="仿宋"/>
          <w:color w:val="auto"/>
          <w:sz w:val="24"/>
        </w:rPr>
        <w:t>支持药品科室领用、科室退回、科室结余药品退回三种业务类型。</w:t>
      </w:r>
    </w:p>
    <w:p w14:paraId="77E1169F">
      <w:pPr>
        <w:pStyle w:val="94"/>
        <w:ind w:firstLine="480"/>
        <w:rPr>
          <w:rFonts w:cs="仿宋"/>
          <w:color w:val="auto"/>
          <w:sz w:val="24"/>
        </w:rPr>
      </w:pPr>
      <w:r>
        <w:rPr>
          <w:rFonts w:hint="eastAsia" w:cs="仿宋"/>
          <w:color w:val="auto"/>
          <w:sz w:val="24"/>
        </w:rPr>
        <w:t>2.</w:t>
      </w:r>
      <w:r>
        <w:rPr>
          <w:rFonts w:hint="eastAsia" w:cs="仿宋"/>
          <w:color w:val="auto"/>
          <w:sz w:val="24"/>
        </w:rPr>
        <w:tab/>
      </w:r>
      <w:r>
        <w:rPr>
          <w:rFonts w:hint="eastAsia" w:cs="仿宋"/>
          <w:color w:val="auto"/>
          <w:sz w:val="24"/>
        </w:rPr>
        <w:t>支持自选批次和不选批次进行领用，不选批次时根据自定义出库规则进行出库。</w:t>
      </w:r>
    </w:p>
    <w:p w14:paraId="4E867E27">
      <w:pPr>
        <w:pStyle w:val="94"/>
        <w:ind w:firstLine="480"/>
        <w:rPr>
          <w:rFonts w:cs="仿宋"/>
          <w:color w:val="auto"/>
          <w:sz w:val="24"/>
        </w:rPr>
      </w:pPr>
      <w:r>
        <w:rPr>
          <w:rFonts w:hint="eastAsia" w:cs="仿宋"/>
          <w:color w:val="auto"/>
          <w:sz w:val="24"/>
        </w:rPr>
        <w:t>3.</w:t>
      </w:r>
      <w:r>
        <w:rPr>
          <w:rFonts w:hint="eastAsia" w:cs="仿宋"/>
          <w:color w:val="auto"/>
          <w:sz w:val="24"/>
        </w:rPr>
        <w:tab/>
      </w:r>
      <w:r>
        <w:rPr>
          <w:rFonts w:hint="eastAsia" w:cs="仿宋"/>
          <w:color w:val="auto"/>
          <w:sz w:val="24"/>
        </w:rPr>
        <w:t>支持根据大单位、小单位进行领用。</w:t>
      </w:r>
    </w:p>
    <w:p w14:paraId="7925A8C6">
      <w:pPr>
        <w:pStyle w:val="94"/>
        <w:ind w:firstLine="480"/>
        <w:rPr>
          <w:rFonts w:cs="仿宋"/>
          <w:color w:val="auto"/>
          <w:sz w:val="24"/>
        </w:rPr>
      </w:pPr>
      <w:r>
        <w:rPr>
          <w:rFonts w:hint="eastAsia" w:cs="仿宋"/>
          <w:color w:val="auto"/>
          <w:sz w:val="24"/>
        </w:rPr>
        <w:t>4.</w:t>
      </w:r>
      <w:r>
        <w:rPr>
          <w:rFonts w:hint="eastAsia" w:cs="仿宋"/>
          <w:color w:val="auto"/>
          <w:sz w:val="24"/>
        </w:rPr>
        <w:tab/>
      </w:r>
      <w:r>
        <w:rPr>
          <w:rFonts w:hint="eastAsia" w:cs="仿宋"/>
          <w:color w:val="auto"/>
          <w:sz w:val="24"/>
        </w:rPr>
        <w:t>支持科室领用单打印。</w:t>
      </w:r>
    </w:p>
    <w:p w14:paraId="19F42E62">
      <w:pPr>
        <w:pStyle w:val="94"/>
        <w:ind w:firstLine="480"/>
        <w:rPr>
          <w:rFonts w:cs="仿宋"/>
          <w:color w:val="auto"/>
          <w:sz w:val="24"/>
        </w:rPr>
      </w:pPr>
      <w:r>
        <w:rPr>
          <w:rFonts w:hint="eastAsia" w:cs="仿宋"/>
          <w:color w:val="auto"/>
          <w:sz w:val="24"/>
        </w:rPr>
        <w:t>5.</w:t>
      </w:r>
      <w:r>
        <w:rPr>
          <w:rFonts w:hint="eastAsia" w:cs="仿宋"/>
          <w:color w:val="auto"/>
          <w:sz w:val="24"/>
        </w:rPr>
        <w:tab/>
      </w:r>
      <w:r>
        <w:rPr>
          <w:rFonts w:hint="eastAsia" w:cs="仿宋"/>
          <w:color w:val="auto"/>
          <w:sz w:val="24"/>
        </w:rPr>
        <w:t>支持全键盘快捷操作。</w:t>
      </w:r>
    </w:p>
    <w:p w14:paraId="37199EAB">
      <w:pPr>
        <w:pStyle w:val="94"/>
        <w:ind w:firstLine="480"/>
        <w:rPr>
          <w:rFonts w:cs="仿宋"/>
          <w:color w:val="auto"/>
          <w:sz w:val="24"/>
        </w:rPr>
      </w:pPr>
      <w:r>
        <w:rPr>
          <w:rFonts w:hint="eastAsia" w:cs="仿宋"/>
          <w:color w:val="auto"/>
          <w:sz w:val="24"/>
        </w:rPr>
        <w:t>6.</w:t>
      </w:r>
      <w:r>
        <w:rPr>
          <w:rFonts w:hint="eastAsia" w:cs="仿宋"/>
          <w:color w:val="auto"/>
          <w:sz w:val="24"/>
        </w:rPr>
        <w:tab/>
      </w:r>
      <w:r>
        <w:rPr>
          <w:rFonts w:hint="eastAsia" w:cs="仿宋"/>
          <w:color w:val="auto"/>
          <w:sz w:val="24"/>
        </w:rPr>
        <w:t>支持科室领用流程自定义，是否需要科室领用审核、科室领用签收。</w:t>
      </w:r>
    </w:p>
    <w:p w14:paraId="7D16FDCD">
      <w:pPr>
        <w:pStyle w:val="94"/>
        <w:numPr>
          <w:ilvl w:val="0"/>
          <w:numId w:val="201"/>
        </w:numPr>
        <w:ind w:left="0" w:firstLine="480"/>
        <w:rPr>
          <w:rFonts w:cs="仿宋"/>
          <w:color w:val="auto"/>
          <w:sz w:val="24"/>
        </w:rPr>
      </w:pPr>
      <w:r>
        <w:rPr>
          <w:rFonts w:hint="eastAsia" w:cs="仿宋"/>
          <w:color w:val="auto"/>
          <w:sz w:val="24"/>
        </w:rPr>
        <w:t>药品其他增减</w:t>
      </w:r>
    </w:p>
    <w:p w14:paraId="3559939F">
      <w:pPr>
        <w:ind w:firstLine="480"/>
        <w:rPr>
          <w:rFonts w:cs="仿宋"/>
          <w:color w:val="auto"/>
        </w:rPr>
      </w:pPr>
      <w:r>
        <w:rPr>
          <w:rFonts w:hint="eastAsia" w:cs="仿宋"/>
          <w:color w:val="auto"/>
        </w:rPr>
        <w:t>1.</w:t>
      </w:r>
      <w:r>
        <w:rPr>
          <w:rFonts w:hint="eastAsia" w:cs="仿宋"/>
          <w:color w:val="auto"/>
        </w:rPr>
        <w:tab/>
      </w:r>
      <w:r>
        <w:rPr>
          <w:rFonts w:hint="eastAsia" w:cs="仿宋"/>
          <w:color w:val="auto"/>
        </w:rPr>
        <w:t>支持药品盘盈、盘亏、其他增加、其他减少、报损、赠送他人、患者领用等多种种业务类型。</w:t>
      </w:r>
    </w:p>
    <w:p w14:paraId="6A4EF59D">
      <w:pPr>
        <w:ind w:firstLine="480"/>
        <w:rPr>
          <w:rFonts w:cs="仿宋"/>
          <w:color w:val="auto"/>
        </w:rPr>
      </w:pPr>
      <w:r>
        <w:rPr>
          <w:rFonts w:hint="eastAsia" w:cs="仿宋"/>
          <w:color w:val="auto"/>
        </w:rPr>
        <w:t>2.</w:t>
      </w:r>
      <w:r>
        <w:rPr>
          <w:rFonts w:hint="eastAsia" w:cs="仿宋"/>
          <w:color w:val="auto"/>
        </w:rPr>
        <w:tab/>
      </w:r>
      <w:r>
        <w:rPr>
          <w:rFonts w:hint="eastAsia" w:cs="仿宋"/>
          <w:color w:val="auto"/>
        </w:rPr>
        <w:t>支持自选批次和不选批次进行增减，不选批次时根据自定义增减规则进行增减。</w:t>
      </w:r>
    </w:p>
    <w:p w14:paraId="5640B605">
      <w:pPr>
        <w:ind w:firstLine="480"/>
        <w:rPr>
          <w:rFonts w:cs="仿宋"/>
          <w:color w:val="auto"/>
        </w:rPr>
      </w:pPr>
      <w:r>
        <w:rPr>
          <w:rFonts w:hint="eastAsia" w:cs="仿宋"/>
          <w:color w:val="auto"/>
        </w:rPr>
        <w:t>3.</w:t>
      </w:r>
      <w:r>
        <w:rPr>
          <w:rFonts w:hint="eastAsia" w:cs="仿宋"/>
          <w:color w:val="auto"/>
        </w:rPr>
        <w:tab/>
      </w:r>
      <w:r>
        <w:rPr>
          <w:rFonts w:hint="eastAsia" w:cs="仿宋"/>
          <w:color w:val="auto"/>
        </w:rPr>
        <w:t>支持根据大单位、小单位进行增减。</w:t>
      </w:r>
    </w:p>
    <w:p w14:paraId="28AFF85C">
      <w:pPr>
        <w:ind w:firstLine="480"/>
        <w:rPr>
          <w:rFonts w:cs="仿宋"/>
          <w:color w:val="auto"/>
        </w:rPr>
      </w:pPr>
      <w:r>
        <w:rPr>
          <w:rFonts w:hint="eastAsia" w:cs="仿宋"/>
          <w:color w:val="auto"/>
        </w:rPr>
        <w:t>4.</w:t>
      </w:r>
      <w:r>
        <w:rPr>
          <w:rFonts w:hint="eastAsia" w:cs="仿宋"/>
          <w:color w:val="auto"/>
        </w:rPr>
        <w:tab/>
      </w:r>
      <w:r>
        <w:rPr>
          <w:rFonts w:hint="eastAsia" w:cs="仿宋"/>
          <w:color w:val="auto"/>
        </w:rPr>
        <w:t>支持其他增减单打印。</w:t>
      </w:r>
    </w:p>
    <w:p w14:paraId="45D6B4F0">
      <w:pPr>
        <w:ind w:firstLine="480"/>
        <w:rPr>
          <w:rFonts w:cs="仿宋"/>
          <w:color w:val="auto"/>
        </w:rPr>
      </w:pPr>
      <w:r>
        <w:rPr>
          <w:rFonts w:hint="eastAsia" w:cs="仿宋"/>
          <w:color w:val="auto"/>
        </w:rPr>
        <w:t>5.</w:t>
      </w:r>
      <w:r>
        <w:rPr>
          <w:rFonts w:hint="eastAsia" w:cs="仿宋"/>
          <w:color w:val="auto"/>
        </w:rPr>
        <w:tab/>
      </w:r>
      <w:r>
        <w:rPr>
          <w:rFonts w:hint="eastAsia" w:cs="仿宋"/>
          <w:color w:val="auto"/>
        </w:rPr>
        <w:t>支持全键盘快捷操作。</w:t>
      </w:r>
    </w:p>
    <w:p w14:paraId="4988CF56">
      <w:pPr>
        <w:ind w:firstLine="480"/>
        <w:rPr>
          <w:rFonts w:cs="仿宋"/>
          <w:color w:val="auto"/>
        </w:rPr>
      </w:pPr>
      <w:r>
        <w:rPr>
          <w:rFonts w:hint="eastAsia" w:cs="仿宋"/>
          <w:color w:val="auto"/>
        </w:rPr>
        <w:t>6.</w:t>
      </w:r>
      <w:r>
        <w:rPr>
          <w:rFonts w:hint="eastAsia" w:cs="仿宋"/>
          <w:color w:val="auto"/>
        </w:rPr>
        <w:tab/>
      </w:r>
      <w:r>
        <w:rPr>
          <w:rFonts w:hint="eastAsia" w:cs="仿宋"/>
          <w:color w:val="auto"/>
        </w:rPr>
        <w:t>支持其他增减流程自定义，是否需要其他增减审核。</w:t>
      </w:r>
    </w:p>
    <w:p w14:paraId="67BAA9F6">
      <w:pPr>
        <w:pStyle w:val="94"/>
        <w:numPr>
          <w:ilvl w:val="0"/>
          <w:numId w:val="201"/>
        </w:numPr>
        <w:ind w:left="0" w:firstLine="480"/>
        <w:rPr>
          <w:rFonts w:cs="仿宋"/>
          <w:color w:val="auto"/>
          <w:sz w:val="24"/>
        </w:rPr>
      </w:pPr>
      <w:r>
        <w:rPr>
          <w:rFonts w:hint="eastAsia" w:cs="仿宋"/>
          <w:color w:val="auto"/>
          <w:sz w:val="24"/>
        </w:rPr>
        <w:t>药品冲销</w:t>
      </w:r>
    </w:p>
    <w:p w14:paraId="4096FD44">
      <w:pPr>
        <w:ind w:firstLine="480"/>
        <w:rPr>
          <w:rFonts w:cs="仿宋"/>
          <w:color w:val="auto"/>
        </w:rPr>
      </w:pPr>
      <w:r>
        <w:rPr>
          <w:rFonts w:hint="eastAsia" w:cs="仿宋"/>
          <w:color w:val="auto"/>
        </w:rPr>
        <w:t>1.</w:t>
      </w:r>
      <w:r>
        <w:rPr>
          <w:rFonts w:hint="eastAsia" w:cs="仿宋"/>
          <w:color w:val="auto"/>
        </w:rPr>
        <w:tab/>
      </w:r>
      <w:r>
        <w:rPr>
          <w:rFonts w:hint="eastAsia" w:cs="仿宋"/>
          <w:color w:val="auto"/>
        </w:rPr>
        <w:t>支持多种药品冲销业务类型，如：外购入库、自制入库、初始盘存、外部赠送、盘盈、其他增加、退公司、盘亏、其他减少多种业务类型进行冲销。</w:t>
      </w:r>
    </w:p>
    <w:p w14:paraId="0EC27C67">
      <w:pPr>
        <w:ind w:firstLine="480"/>
        <w:rPr>
          <w:rFonts w:cs="仿宋"/>
          <w:color w:val="auto"/>
        </w:rPr>
      </w:pPr>
      <w:r>
        <w:rPr>
          <w:rFonts w:hint="eastAsia" w:cs="仿宋"/>
          <w:color w:val="auto"/>
        </w:rPr>
        <w:t>2.</w:t>
      </w:r>
      <w:r>
        <w:rPr>
          <w:rFonts w:hint="eastAsia" w:cs="仿宋"/>
          <w:color w:val="auto"/>
        </w:rPr>
        <w:tab/>
      </w:r>
      <w:r>
        <w:rPr>
          <w:rFonts w:hint="eastAsia" w:cs="仿宋"/>
          <w:color w:val="auto"/>
        </w:rPr>
        <w:t>支持根据要冲销的业务类型提取原始单据信息。</w:t>
      </w:r>
    </w:p>
    <w:p w14:paraId="1CC14C7A">
      <w:pPr>
        <w:ind w:firstLine="480"/>
        <w:rPr>
          <w:rFonts w:cs="仿宋"/>
          <w:color w:val="auto"/>
        </w:rPr>
      </w:pPr>
      <w:r>
        <w:rPr>
          <w:rFonts w:hint="eastAsia" w:cs="仿宋"/>
          <w:color w:val="auto"/>
        </w:rPr>
        <w:t>3.</w:t>
      </w:r>
      <w:r>
        <w:rPr>
          <w:rFonts w:hint="eastAsia" w:cs="仿宋"/>
          <w:color w:val="auto"/>
        </w:rPr>
        <w:tab/>
      </w:r>
      <w:r>
        <w:rPr>
          <w:rFonts w:hint="eastAsia" w:cs="仿宋"/>
          <w:color w:val="auto"/>
        </w:rPr>
        <w:t>支持选择要冲销的批次信息。</w:t>
      </w:r>
    </w:p>
    <w:p w14:paraId="7C180A7D">
      <w:pPr>
        <w:ind w:firstLine="480"/>
        <w:rPr>
          <w:rFonts w:cs="仿宋"/>
          <w:color w:val="auto"/>
        </w:rPr>
      </w:pPr>
      <w:r>
        <w:rPr>
          <w:rFonts w:hint="eastAsia" w:cs="仿宋"/>
          <w:color w:val="auto"/>
        </w:rPr>
        <w:t>4.</w:t>
      </w:r>
      <w:r>
        <w:rPr>
          <w:rFonts w:hint="eastAsia" w:cs="仿宋"/>
          <w:color w:val="auto"/>
        </w:rPr>
        <w:tab/>
      </w:r>
      <w:r>
        <w:rPr>
          <w:rFonts w:hint="eastAsia" w:cs="仿宋"/>
          <w:color w:val="auto"/>
        </w:rPr>
        <w:t>支持打印药品冲销单。</w:t>
      </w:r>
    </w:p>
    <w:p w14:paraId="4342DE12">
      <w:pPr>
        <w:ind w:firstLine="480"/>
        <w:rPr>
          <w:rFonts w:cs="仿宋"/>
          <w:color w:val="auto"/>
        </w:rPr>
      </w:pPr>
      <w:r>
        <w:rPr>
          <w:rFonts w:hint="eastAsia" w:cs="仿宋"/>
          <w:color w:val="auto"/>
        </w:rPr>
        <w:t>5.</w:t>
      </w:r>
      <w:r>
        <w:rPr>
          <w:rFonts w:hint="eastAsia" w:cs="仿宋"/>
          <w:color w:val="auto"/>
        </w:rPr>
        <w:tab/>
      </w:r>
      <w:r>
        <w:rPr>
          <w:rFonts w:hint="eastAsia" w:cs="仿宋"/>
          <w:color w:val="auto"/>
        </w:rPr>
        <w:t>支持药品冲销流程定义。。</w:t>
      </w:r>
    </w:p>
    <w:p w14:paraId="4AE48AF9">
      <w:pPr>
        <w:pStyle w:val="94"/>
        <w:numPr>
          <w:ilvl w:val="0"/>
          <w:numId w:val="201"/>
        </w:numPr>
        <w:ind w:left="0" w:firstLine="480"/>
        <w:rPr>
          <w:rFonts w:cs="仿宋"/>
          <w:color w:val="auto"/>
          <w:sz w:val="24"/>
        </w:rPr>
      </w:pPr>
      <w:r>
        <w:rPr>
          <w:rFonts w:hint="eastAsia" w:cs="仿宋"/>
          <w:color w:val="auto"/>
          <w:sz w:val="24"/>
        </w:rPr>
        <w:t>药品退仓库</w:t>
      </w:r>
    </w:p>
    <w:p w14:paraId="467C9D9C">
      <w:pPr>
        <w:ind w:firstLine="480"/>
        <w:rPr>
          <w:rFonts w:cs="仿宋"/>
          <w:color w:val="auto"/>
        </w:rPr>
      </w:pPr>
      <w:r>
        <w:rPr>
          <w:rFonts w:hint="eastAsia" w:cs="仿宋"/>
          <w:color w:val="auto"/>
        </w:rPr>
        <w:t>1.</w:t>
      </w:r>
      <w:r>
        <w:rPr>
          <w:rFonts w:hint="eastAsia" w:cs="仿宋"/>
          <w:color w:val="auto"/>
        </w:rPr>
        <w:tab/>
      </w:r>
      <w:r>
        <w:rPr>
          <w:rFonts w:hint="eastAsia" w:cs="仿宋"/>
          <w:color w:val="auto"/>
        </w:rPr>
        <w:t>支持选择原调拨单退仓库和直接选择药品退仓库两种模式。</w:t>
      </w:r>
    </w:p>
    <w:p w14:paraId="731B78A0">
      <w:pPr>
        <w:ind w:firstLine="480"/>
        <w:rPr>
          <w:rFonts w:cs="仿宋"/>
          <w:color w:val="auto"/>
        </w:rPr>
      </w:pPr>
      <w:r>
        <w:rPr>
          <w:rFonts w:hint="eastAsia" w:cs="仿宋"/>
          <w:color w:val="auto"/>
        </w:rPr>
        <w:t>2.</w:t>
      </w:r>
      <w:r>
        <w:rPr>
          <w:rFonts w:hint="eastAsia" w:cs="仿宋"/>
          <w:color w:val="auto"/>
        </w:rPr>
        <w:tab/>
      </w:r>
      <w:r>
        <w:rPr>
          <w:rFonts w:hint="eastAsia" w:cs="仿宋"/>
          <w:color w:val="auto"/>
        </w:rPr>
        <w:t>支持选择要退仓库的药品批次信息。</w:t>
      </w:r>
    </w:p>
    <w:p w14:paraId="6725E4F7">
      <w:pPr>
        <w:ind w:firstLine="480"/>
        <w:rPr>
          <w:rFonts w:cs="仿宋"/>
          <w:color w:val="auto"/>
        </w:rPr>
      </w:pPr>
      <w:r>
        <w:rPr>
          <w:rFonts w:hint="eastAsia" w:cs="仿宋"/>
          <w:color w:val="auto"/>
        </w:rPr>
        <w:t>3.</w:t>
      </w:r>
      <w:r>
        <w:rPr>
          <w:rFonts w:hint="eastAsia" w:cs="仿宋"/>
          <w:color w:val="auto"/>
        </w:rPr>
        <w:tab/>
      </w:r>
      <w:r>
        <w:rPr>
          <w:rFonts w:hint="eastAsia" w:cs="仿宋"/>
          <w:color w:val="auto"/>
        </w:rPr>
        <w:t>支持打印药品退库单。</w:t>
      </w:r>
    </w:p>
    <w:p w14:paraId="786D9B89">
      <w:pPr>
        <w:ind w:firstLine="480"/>
        <w:rPr>
          <w:rFonts w:cs="仿宋"/>
          <w:color w:val="auto"/>
        </w:rPr>
      </w:pPr>
      <w:r>
        <w:rPr>
          <w:rFonts w:hint="eastAsia" w:cs="仿宋"/>
          <w:color w:val="auto"/>
        </w:rPr>
        <w:t>4.</w:t>
      </w:r>
      <w:r>
        <w:rPr>
          <w:rFonts w:hint="eastAsia" w:cs="仿宋"/>
          <w:color w:val="auto"/>
        </w:rPr>
        <w:tab/>
      </w:r>
      <w:r>
        <w:rPr>
          <w:rFonts w:hint="eastAsia" w:cs="仿宋"/>
          <w:color w:val="auto"/>
        </w:rPr>
        <w:t>支持药品退仓库流程定义。</w:t>
      </w:r>
    </w:p>
    <w:p w14:paraId="6459FBB7">
      <w:pPr>
        <w:ind w:firstLine="480"/>
        <w:rPr>
          <w:rFonts w:cs="仿宋"/>
          <w:color w:val="auto"/>
        </w:rPr>
      </w:pPr>
      <w:r>
        <w:rPr>
          <w:rFonts w:hint="eastAsia" w:cs="仿宋"/>
          <w:color w:val="auto"/>
        </w:rPr>
        <w:t>5.</w:t>
      </w:r>
      <w:r>
        <w:rPr>
          <w:rFonts w:hint="eastAsia" w:cs="仿宋"/>
          <w:color w:val="auto"/>
        </w:rPr>
        <w:tab/>
      </w:r>
      <w:r>
        <w:rPr>
          <w:rFonts w:hint="eastAsia" w:cs="仿宋"/>
          <w:color w:val="auto"/>
        </w:rPr>
        <w:t>支持根据颜色区分药品效期临近时间。</w:t>
      </w:r>
    </w:p>
    <w:p w14:paraId="3E6F3BD3">
      <w:pPr>
        <w:pStyle w:val="94"/>
        <w:numPr>
          <w:ilvl w:val="0"/>
          <w:numId w:val="201"/>
        </w:numPr>
        <w:ind w:left="0" w:firstLine="480"/>
        <w:rPr>
          <w:rFonts w:cs="仿宋"/>
          <w:color w:val="auto"/>
          <w:sz w:val="24"/>
        </w:rPr>
      </w:pPr>
      <w:r>
        <w:rPr>
          <w:rFonts w:hint="eastAsia" w:cs="仿宋"/>
          <w:color w:val="auto"/>
          <w:sz w:val="24"/>
        </w:rPr>
        <w:t>药品采购退货</w:t>
      </w:r>
    </w:p>
    <w:p w14:paraId="78645AD6">
      <w:pPr>
        <w:ind w:firstLine="480"/>
        <w:rPr>
          <w:rFonts w:cs="仿宋"/>
          <w:color w:val="auto"/>
        </w:rPr>
      </w:pPr>
      <w:r>
        <w:rPr>
          <w:rFonts w:hint="eastAsia" w:cs="仿宋"/>
          <w:color w:val="auto"/>
        </w:rPr>
        <w:t>1.</w:t>
      </w:r>
      <w:r>
        <w:rPr>
          <w:rFonts w:hint="eastAsia" w:cs="仿宋"/>
          <w:color w:val="auto"/>
        </w:rPr>
        <w:tab/>
      </w:r>
      <w:r>
        <w:rPr>
          <w:rFonts w:hint="eastAsia" w:cs="仿宋"/>
          <w:color w:val="auto"/>
        </w:rPr>
        <w:t>支持按原单据批量退货。</w:t>
      </w:r>
    </w:p>
    <w:p w14:paraId="11F86DE8">
      <w:pPr>
        <w:ind w:firstLine="480"/>
        <w:rPr>
          <w:rFonts w:cs="仿宋"/>
          <w:color w:val="auto"/>
        </w:rPr>
      </w:pPr>
      <w:r>
        <w:rPr>
          <w:rFonts w:hint="eastAsia" w:cs="仿宋"/>
          <w:color w:val="auto"/>
        </w:rPr>
        <w:t>2.</w:t>
      </w:r>
      <w:r>
        <w:rPr>
          <w:rFonts w:hint="eastAsia" w:cs="仿宋"/>
          <w:color w:val="auto"/>
        </w:rPr>
        <w:tab/>
      </w:r>
      <w:r>
        <w:rPr>
          <w:rFonts w:hint="eastAsia" w:cs="仿宋"/>
          <w:color w:val="auto"/>
        </w:rPr>
        <w:t>支持选择要采购退货的药品批次信息。</w:t>
      </w:r>
    </w:p>
    <w:p w14:paraId="1467D2C6">
      <w:pPr>
        <w:ind w:firstLine="480"/>
        <w:rPr>
          <w:rFonts w:cs="仿宋"/>
          <w:color w:val="auto"/>
        </w:rPr>
      </w:pPr>
      <w:r>
        <w:rPr>
          <w:rFonts w:hint="eastAsia" w:cs="仿宋"/>
          <w:color w:val="auto"/>
        </w:rPr>
        <w:t>3.</w:t>
      </w:r>
      <w:r>
        <w:rPr>
          <w:rFonts w:hint="eastAsia" w:cs="仿宋"/>
          <w:color w:val="auto"/>
        </w:rPr>
        <w:tab/>
      </w:r>
      <w:r>
        <w:rPr>
          <w:rFonts w:hint="eastAsia" w:cs="仿宋"/>
          <w:color w:val="auto"/>
        </w:rPr>
        <w:t>支持打印药品退货单。</w:t>
      </w:r>
    </w:p>
    <w:p w14:paraId="18E1FEF9">
      <w:pPr>
        <w:ind w:firstLine="480"/>
        <w:rPr>
          <w:rFonts w:cs="仿宋"/>
          <w:color w:val="auto"/>
        </w:rPr>
      </w:pPr>
      <w:r>
        <w:rPr>
          <w:rFonts w:hint="eastAsia" w:cs="仿宋"/>
          <w:color w:val="auto"/>
        </w:rPr>
        <w:t>4.</w:t>
      </w:r>
      <w:r>
        <w:rPr>
          <w:rFonts w:hint="eastAsia" w:cs="仿宋"/>
          <w:color w:val="auto"/>
        </w:rPr>
        <w:tab/>
      </w:r>
      <w:r>
        <w:rPr>
          <w:rFonts w:hint="eastAsia" w:cs="仿宋"/>
          <w:color w:val="auto"/>
        </w:rPr>
        <w:t>支持药品退货流程定义。。</w:t>
      </w:r>
    </w:p>
    <w:p w14:paraId="26424150">
      <w:pPr>
        <w:pStyle w:val="341"/>
        <w:spacing w:beforeLines="0"/>
        <w:ind w:firstLine="482"/>
        <w:rPr>
          <w:rFonts w:hint="eastAsia" w:ascii="宋体" w:hAnsi="宋体" w:cs="仿宋"/>
          <w:b/>
          <w:bCs/>
          <w:color w:val="auto"/>
          <w:sz w:val="24"/>
          <w:szCs w:val="24"/>
        </w:rPr>
      </w:pPr>
      <w:bookmarkStart w:id="384" w:name="_Toc106373291"/>
      <w:r>
        <w:rPr>
          <w:rFonts w:hint="eastAsia" w:ascii="宋体" w:hAnsi="宋体" w:cs="仿宋"/>
          <w:b/>
          <w:bCs/>
          <w:color w:val="auto"/>
          <w:sz w:val="24"/>
          <w:szCs w:val="24"/>
        </w:rPr>
        <w:t>药品盘存</w:t>
      </w:r>
      <w:bookmarkEnd w:id="384"/>
    </w:p>
    <w:p w14:paraId="353D6405">
      <w:pPr>
        <w:ind w:firstLine="480"/>
        <w:rPr>
          <w:rFonts w:cs="仿宋"/>
          <w:color w:val="auto"/>
        </w:rPr>
      </w:pPr>
      <w:r>
        <w:rPr>
          <w:rFonts w:hint="eastAsia" w:cs="仿宋"/>
          <w:color w:val="auto"/>
        </w:rPr>
        <w:t>1. 支持药品初始盘存标记。</w:t>
      </w:r>
    </w:p>
    <w:p w14:paraId="15102205">
      <w:pPr>
        <w:ind w:firstLine="480"/>
        <w:rPr>
          <w:rFonts w:cs="仿宋"/>
          <w:color w:val="auto"/>
        </w:rPr>
      </w:pPr>
      <w:r>
        <w:rPr>
          <w:rFonts w:hint="eastAsia" w:cs="仿宋"/>
          <w:color w:val="auto"/>
        </w:rPr>
        <w:t>2. 支持按大单位或按小单位进行盘点。</w:t>
      </w:r>
    </w:p>
    <w:p w14:paraId="172AB509">
      <w:pPr>
        <w:ind w:firstLine="480"/>
        <w:rPr>
          <w:rFonts w:cs="仿宋"/>
          <w:color w:val="auto"/>
        </w:rPr>
      </w:pPr>
      <w:r>
        <w:rPr>
          <w:rFonts w:hint="eastAsia" w:cs="仿宋"/>
          <w:color w:val="auto"/>
        </w:rPr>
        <w:t>3. 支持多人盘点。</w:t>
      </w:r>
    </w:p>
    <w:p w14:paraId="6B33FD93">
      <w:pPr>
        <w:ind w:firstLine="480"/>
        <w:rPr>
          <w:rFonts w:cs="仿宋"/>
          <w:color w:val="auto"/>
        </w:rPr>
      </w:pPr>
      <w:r>
        <w:rPr>
          <w:rFonts w:hint="eastAsia" w:cs="仿宋"/>
          <w:color w:val="auto"/>
        </w:rPr>
        <w:t>4. 支持根据药品已盘、有库存、无库存、全部等多种状态进行盘点。</w:t>
      </w:r>
    </w:p>
    <w:p w14:paraId="7A99E789">
      <w:pPr>
        <w:ind w:firstLine="480"/>
        <w:rPr>
          <w:rFonts w:cs="仿宋"/>
          <w:color w:val="auto"/>
        </w:rPr>
      </w:pPr>
      <w:r>
        <w:rPr>
          <w:rFonts w:hint="eastAsia" w:cs="仿宋"/>
          <w:color w:val="auto"/>
        </w:rPr>
        <w:t>5. 支持打印空白盘点表和打印实时盘点表。</w:t>
      </w:r>
    </w:p>
    <w:p w14:paraId="4666B666">
      <w:pPr>
        <w:ind w:firstLine="480"/>
        <w:rPr>
          <w:rFonts w:cs="仿宋"/>
          <w:color w:val="auto"/>
        </w:rPr>
      </w:pPr>
      <w:r>
        <w:rPr>
          <w:rFonts w:hint="eastAsia" w:cs="仿宋"/>
          <w:color w:val="auto"/>
        </w:rPr>
        <w:t>6. 支持按批次盘点或只盘总数。</w:t>
      </w:r>
    </w:p>
    <w:p w14:paraId="3CEEC08F">
      <w:pPr>
        <w:ind w:firstLine="480"/>
        <w:rPr>
          <w:rFonts w:cs="仿宋"/>
          <w:color w:val="auto"/>
        </w:rPr>
      </w:pPr>
      <w:r>
        <w:rPr>
          <w:rFonts w:hint="eastAsia" w:cs="仿宋"/>
          <w:color w:val="auto"/>
        </w:rPr>
        <w:t>7. 支持根据盘点数量自动生成本期盈亏数量、盈亏入库金额、盈亏批发金额、盈亏零售金额、剩余金额。</w:t>
      </w:r>
    </w:p>
    <w:p w14:paraId="241D4701">
      <w:pPr>
        <w:ind w:firstLine="480"/>
        <w:rPr>
          <w:rFonts w:cs="仿宋"/>
          <w:color w:val="auto"/>
        </w:rPr>
      </w:pPr>
      <w:r>
        <w:rPr>
          <w:rFonts w:hint="eastAsia" w:cs="仿宋"/>
          <w:color w:val="auto"/>
        </w:rPr>
        <w:t>8. 支持显示药品名称、规格、货位、账面库存、实盘数量、单位、平均价格、盘点前金额等信息。</w:t>
      </w:r>
    </w:p>
    <w:p w14:paraId="3FCAA1B5">
      <w:pPr>
        <w:ind w:firstLine="480"/>
        <w:rPr>
          <w:rFonts w:cs="仿宋"/>
          <w:color w:val="auto"/>
        </w:rPr>
      </w:pPr>
      <w:r>
        <w:rPr>
          <w:rFonts w:hint="eastAsia" w:cs="仿宋"/>
          <w:color w:val="auto"/>
        </w:rPr>
        <w:t>9. 支持设置药品盘点排序规则，并在盘存时，或打印盘点单时按照排序规则打印。</w:t>
      </w:r>
    </w:p>
    <w:p w14:paraId="105031F6">
      <w:pPr>
        <w:ind w:firstLine="480"/>
        <w:rPr>
          <w:rFonts w:cs="仿宋"/>
          <w:color w:val="auto"/>
        </w:rPr>
      </w:pPr>
      <w:r>
        <w:rPr>
          <w:rFonts w:hint="eastAsia" w:cs="仿宋"/>
          <w:color w:val="auto"/>
        </w:rPr>
        <w:t>10. 支持药品库存动态查询。</w:t>
      </w:r>
    </w:p>
    <w:p w14:paraId="42D7BEDA">
      <w:pPr>
        <w:ind w:firstLine="480"/>
        <w:rPr>
          <w:rFonts w:cs="仿宋"/>
          <w:color w:val="auto"/>
        </w:rPr>
      </w:pPr>
      <w:r>
        <w:rPr>
          <w:rFonts w:hint="eastAsia" w:cs="仿宋"/>
          <w:color w:val="auto"/>
        </w:rPr>
        <w:t>11. 支持按批次显示药品库存和按编码合并库存显示。</w:t>
      </w:r>
    </w:p>
    <w:p w14:paraId="40495FE3">
      <w:pPr>
        <w:ind w:firstLine="480"/>
        <w:rPr>
          <w:rFonts w:cs="仿宋"/>
          <w:color w:val="auto"/>
        </w:rPr>
      </w:pPr>
      <w:r>
        <w:rPr>
          <w:rFonts w:hint="eastAsia" w:cs="仿宋"/>
          <w:color w:val="auto"/>
        </w:rPr>
        <w:t>12. 支持大单位显示、按小单位、按使用单位显示。</w:t>
      </w:r>
    </w:p>
    <w:p w14:paraId="314D32AC">
      <w:pPr>
        <w:ind w:firstLine="480"/>
        <w:rPr>
          <w:rFonts w:cs="仿宋"/>
          <w:color w:val="auto"/>
        </w:rPr>
      </w:pPr>
      <w:r>
        <w:rPr>
          <w:rFonts w:hint="eastAsia" w:cs="仿宋"/>
          <w:color w:val="auto"/>
        </w:rPr>
        <w:t>13. 支持按药品分类显示。</w:t>
      </w:r>
    </w:p>
    <w:p w14:paraId="0F87F518">
      <w:pPr>
        <w:ind w:firstLine="480"/>
        <w:rPr>
          <w:rFonts w:cs="仿宋"/>
          <w:color w:val="auto"/>
        </w:rPr>
      </w:pPr>
      <w:r>
        <w:rPr>
          <w:rFonts w:hint="eastAsia" w:cs="仿宋"/>
          <w:color w:val="auto"/>
        </w:rPr>
        <w:t>14. 支持药品库存动态打印。</w:t>
      </w:r>
    </w:p>
    <w:p w14:paraId="6E078F9D">
      <w:pPr>
        <w:ind w:firstLine="480"/>
        <w:rPr>
          <w:rFonts w:cs="仿宋"/>
          <w:color w:val="auto"/>
        </w:rPr>
      </w:pPr>
      <w:r>
        <w:rPr>
          <w:rFonts w:hint="eastAsia" w:cs="仿宋"/>
          <w:color w:val="auto"/>
        </w:rPr>
        <w:t>15. 支持全院库存查询、药品效期监控查询、药品库存报警查询、药品库存查询。</w:t>
      </w:r>
    </w:p>
    <w:p w14:paraId="4708081D">
      <w:pPr>
        <w:pStyle w:val="341"/>
        <w:spacing w:beforeLines="0"/>
        <w:ind w:firstLine="482"/>
        <w:rPr>
          <w:rFonts w:hint="eastAsia" w:ascii="宋体" w:hAnsi="宋体" w:cs="仿宋"/>
          <w:b/>
          <w:bCs/>
          <w:color w:val="auto"/>
          <w:sz w:val="24"/>
          <w:szCs w:val="24"/>
        </w:rPr>
      </w:pPr>
      <w:bookmarkStart w:id="385" w:name="_Toc106373292"/>
      <w:r>
        <w:rPr>
          <w:rFonts w:hint="eastAsia" w:ascii="宋体" w:hAnsi="宋体" w:cs="仿宋"/>
          <w:b/>
          <w:bCs/>
          <w:color w:val="auto"/>
          <w:sz w:val="24"/>
          <w:szCs w:val="24"/>
        </w:rPr>
        <w:t>调价管理</w:t>
      </w:r>
      <w:bookmarkEnd w:id="385"/>
    </w:p>
    <w:p w14:paraId="58A5E1E5">
      <w:pPr>
        <w:ind w:firstLine="480"/>
        <w:rPr>
          <w:rFonts w:cs="仿宋"/>
          <w:color w:val="auto"/>
        </w:rPr>
      </w:pPr>
      <w:r>
        <w:rPr>
          <w:rFonts w:hint="eastAsia" w:cs="仿宋"/>
          <w:color w:val="auto"/>
        </w:rPr>
        <w:t>1.</w:t>
      </w:r>
      <w:r>
        <w:rPr>
          <w:rFonts w:hint="eastAsia" w:cs="仿宋"/>
          <w:color w:val="auto"/>
        </w:rPr>
        <w:tab/>
      </w:r>
      <w:r>
        <w:rPr>
          <w:rFonts w:hint="eastAsia" w:cs="仿宋"/>
          <w:color w:val="auto"/>
        </w:rPr>
        <w:t>支持填写调价名称、调价文号及备注信息。</w:t>
      </w:r>
    </w:p>
    <w:p w14:paraId="17B4305D">
      <w:pPr>
        <w:ind w:firstLine="480"/>
        <w:rPr>
          <w:rFonts w:cs="仿宋"/>
          <w:color w:val="auto"/>
        </w:rPr>
      </w:pPr>
      <w:r>
        <w:rPr>
          <w:rFonts w:hint="eastAsia" w:cs="仿宋"/>
          <w:color w:val="auto"/>
        </w:rPr>
        <w:t>2.</w:t>
      </w:r>
      <w:r>
        <w:rPr>
          <w:rFonts w:hint="eastAsia" w:cs="仿宋"/>
          <w:color w:val="auto"/>
        </w:rPr>
        <w:tab/>
      </w:r>
      <w:r>
        <w:rPr>
          <w:rFonts w:hint="eastAsia" w:cs="仿宋"/>
          <w:color w:val="auto"/>
        </w:rPr>
        <w:t>支持按批次调价、按药品编码批量调价、全院统一调价。</w:t>
      </w:r>
    </w:p>
    <w:p w14:paraId="3C62CC80">
      <w:pPr>
        <w:ind w:firstLine="480"/>
        <w:rPr>
          <w:rFonts w:cs="仿宋"/>
          <w:color w:val="auto"/>
        </w:rPr>
      </w:pPr>
      <w:r>
        <w:rPr>
          <w:rFonts w:hint="eastAsia" w:cs="仿宋"/>
          <w:color w:val="auto"/>
        </w:rPr>
        <w:t>3.</w:t>
      </w:r>
      <w:r>
        <w:rPr>
          <w:rFonts w:hint="eastAsia" w:cs="仿宋"/>
          <w:color w:val="auto"/>
        </w:rPr>
        <w:tab/>
      </w:r>
      <w:r>
        <w:rPr>
          <w:rFonts w:hint="eastAsia" w:cs="仿宋"/>
          <w:color w:val="auto"/>
        </w:rPr>
        <w:t>支持调整药品入库价、批发价、零售价。</w:t>
      </w:r>
    </w:p>
    <w:p w14:paraId="6E05E28C">
      <w:pPr>
        <w:ind w:firstLine="480"/>
        <w:rPr>
          <w:rFonts w:cs="仿宋"/>
          <w:color w:val="auto"/>
        </w:rPr>
      </w:pPr>
      <w:r>
        <w:rPr>
          <w:rFonts w:hint="eastAsia" w:cs="仿宋"/>
          <w:color w:val="auto"/>
        </w:rPr>
        <w:t>4.</w:t>
      </w:r>
      <w:r>
        <w:rPr>
          <w:rFonts w:hint="eastAsia" w:cs="仿宋"/>
          <w:color w:val="auto"/>
        </w:rPr>
        <w:tab/>
      </w:r>
      <w:r>
        <w:rPr>
          <w:rFonts w:hint="eastAsia" w:cs="仿宋"/>
          <w:color w:val="auto"/>
        </w:rPr>
        <w:t>支持调价流程自定义。</w:t>
      </w:r>
    </w:p>
    <w:p w14:paraId="75F67568">
      <w:pPr>
        <w:ind w:firstLine="480"/>
        <w:rPr>
          <w:rFonts w:cs="仿宋"/>
          <w:color w:val="auto"/>
        </w:rPr>
      </w:pPr>
      <w:r>
        <w:rPr>
          <w:rFonts w:hint="eastAsia" w:cs="仿宋"/>
          <w:color w:val="auto"/>
        </w:rPr>
        <w:t>5.</w:t>
      </w:r>
      <w:r>
        <w:rPr>
          <w:rFonts w:hint="eastAsia" w:cs="仿宋"/>
          <w:color w:val="auto"/>
        </w:rPr>
        <w:tab/>
      </w:r>
      <w:r>
        <w:rPr>
          <w:rFonts w:hint="eastAsia" w:cs="仿宋"/>
          <w:color w:val="auto"/>
        </w:rPr>
        <w:t>支持调价审核后打印。。</w:t>
      </w:r>
    </w:p>
    <w:p w14:paraId="0949EB5D">
      <w:pPr>
        <w:pStyle w:val="341"/>
        <w:spacing w:beforeLines="0"/>
        <w:ind w:firstLine="482"/>
        <w:rPr>
          <w:rFonts w:hint="eastAsia" w:ascii="宋体" w:hAnsi="宋体" w:cs="仿宋"/>
          <w:b/>
          <w:bCs/>
          <w:color w:val="auto"/>
          <w:sz w:val="24"/>
          <w:szCs w:val="24"/>
        </w:rPr>
      </w:pPr>
      <w:bookmarkStart w:id="386" w:name="_Toc106373293"/>
      <w:r>
        <w:rPr>
          <w:rFonts w:hint="eastAsia" w:ascii="宋体" w:hAnsi="宋体" w:cs="仿宋"/>
          <w:b/>
          <w:bCs/>
          <w:color w:val="auto"/>
          <w:sz w:val="24"/>
          <w:szCs w:val="24"/>
        </w:rPr>
        <w:t>采购计划</w:t>
      </w:r>
      <w:bookmarkEnd w:id="386"/>
    </w:p>
    <w:p w14:paraId="401A5BDE">
      <w:pPr>
        <w:ind w:firstLine="480"/>
        <w:rPr>
          <w:rFonts w:cs="仿宋"/>
          <w:color w:val="auto"/>
        </w:rPr>
      </w:pPr>
      <w:r>
        <w:rPr>
          <w:rFonts w:hint="eastAsia" w:cs="仿宋"/>
          <w:color w:val="auto"/>
        </w:rPr>
        <w:t>1.</w:t>
      </w:r>
      <w:r>
        <w:rPr>
          <w:rFonts w:hint="eastAsia" w:cs="仿宋"/>
          <w:color w:val="auto"/>
        </w:rPr>
        <w:tab/>
      </w:r>
      <w:r>
        <w:rPr>
          <w:rFonts w:hint="eastAsia" w:cs="仿宋"/>
          <w:color w:val="auto"/>
        </w:rPr>
        <w:t>支持按药库账户设置已启用药品字典，提取采购计划药品清单。</w:t>
      </w:r>
    </w:p>
    <w:p w14:paraId="21A4A942">
      <w:pPr>
        <w:ind w:firstLine="480"/>
        <w:rPr>
          <w:rFonts w:cs="仿宋"/>
          <w:color w:val="auto"/>
        </w:rPr>
      </w:pPr>
      <w:r>
        <w:rPr>
          <w:rFonts w:hint="eastAsia" w:cs="仿宋"/>
          <w:color w:val="auto"/>
        </w:rPr>
        <w:t>2.</w:t>
      </w:r>
      <w:r>
        <w:rPr>
          <w:rFonts w:hint="eastAsia" w:cs="仿宋"/>
          <w:color w:val="auto"/>
        </w:rPr>
        <w:tab/>
      </w:r>
      <w:r>
        <w:rPr>
          <w:rFonts w:hint="eastAsia" w:cs="仿宋"/>
          <w:color w:val="auto"/>
        </w:rPr>
        <w:t>支持定义药品全院最低库存、全院最高库存、本库最低库存、标准库存、采购单元等信息，生成药品采购计划模板。</w:t>
      </w:r>
    </w:p>
    <w:p w14:paraId="65750FA2">
      <w:pPr>
        <w:ind w:firstLine="480"/>
        <w:rPr>
          <w:rFonts w:cs="仿宋"/>
          <w:color w:val="auto"/>
        </w:rPr>
      </w:pPr>
      <w:r>
        <w:rPr>
          <w:rFonts w:hint="eastAsia" w:cs="仿宋"/>
          <w:color w:val="auto"/>
        </w:rPr>
        <w:t>3.</w:t>
      </w:r>
      <w:r>
        <w:rPr>
          <w:rFonts w:hint="eastAsia" w:cs="仿宋"/>
          <w:color w:val="auto"/>
        </w:rPr>
        <w:tab/>
      </w:r>
      <w:r>
        <w:rPr>
          <w:rFonts w:hint="eastAsia" w:cs="仿宋"/>
          <w:color w:val="auto"/>
        </w:rPr>
        <w:t>支持按库房定义采购计划模板。</w:t>
      </w:r>
    </w:p>
    <w:p w14:paraId="6D3ABE5B">
      <w:pPr>
        <w:ind w:firstLine="480"/>
        <w:rPr>
          <w:rFonts w:cs="仿宋"/>
          <w:color w:val="auto"/>
        </w:rPr>
      </w:pPr>
      <w:r>
        <w:rPr>
          <w:rFonts w:hint="eastAsia" w:cs="仿宋"/>
          <w:color w:val="auto"/>
        </w:rPr>
        <w:t>4.</w:t>
      </w:r>
      <w:r>
        <w:rPr>
          <w:rFonts w:hint="eastAsia" w:cs="仿宋"/>
          <w:color w:val="auto"/>
        </w:rPr>
        <w:tab/>
      </w:r>
      <w:r>
        <w:rPr>
          <w:rFonts w:hint="eastAsia" w:cs="仿宋"/>
          <w:color w:val="auto"/>
        </w:rPr>
        <w:t>支持按采购计划模板生成采购计划。</w:t>
      </w:r>
    </w:p>
    <w:p w14:paraId="6F5D1EAF">
      <w:pPr>
        <w:ind w:firstLine="480"/>
        <w:rPr>
          <w:rFonts w:cs="仿宋"/>
          <w:color w:val="auto"/>
        </w:rPr>
      </w:pPr>
      <w:r>
        <w:rPr>
          <w:rFonts w:hint="eastAsia" w:cs="仿宋"/>
          <w:color w:val="auto"/>
        </w:rPr>
        <w:t>5.</w:t>
      </w:r>
      <w:r>
        <w:rPr>
          <w:rFonts w:hint="eastAsia" w:cs="仿宋"/>
          <w:color w:val="auto"/>
        </w:rPr>
        <w:tab/>
      </w:r>
      <w:r>
        <w:rPr>
          <w:rFonts w:hint="eastAsia" w:cs="仿宋"/>
          <w:color w:val="auto"/>
        </w:rPr>
        <w:t>支持按日均处方量、最高库存、最低库存、药品消耗量自动生成采购计划。</w:t>
      </w:r>
    </w:p>
    <w:p w14:paraId="616223CC">
      <w:pPr>
        <w:ind w:firstLine="480"/>
        <w:rPr>
          <w:rFonts w:cs="仿宋"/>
          <w:color w:val="auto"/>
        </w:rPr>
      </w:pPr>
      <w:r>
        <w:rPr>
          <w:rFonts w:hint="eastAsia" w:cs="仿宋"/>
          <w:color w:val="auto"/>
        </w:rPr>
        <w:t>6.</w:t>
      </w:r>
      <w:r>
        <w:rPr>
          <w:rFonts w:hint="eastAsia" w:cs="仿宋"/>
          <w:color w:val="auto"/>
        </w:rPr>
        <w:tab/>
      </w:r>
      <w:r>
        <w:rPr>
          <w:rFonts w:hint="eastAsia" w:cs="仿宋"/>
          <w:color w:val="auto"/>
        </w:rPr>
        <w:t>支持根据药品调拨单差额，自动生成采购计划。</w:t>
      </w:r>
    </w:p>
    <w:p w14:paraId="3503215E">
      <w:pPr>
        <w:ind w:firstLine="480"/>
        <w:rPr>
          <w:rFonts w:cs="仿宋"/>
          <w:color w:val="auto"/>
        </w:rPr>
      </w:pPr>
      <w:r>
        <w:rPr>
          <w:rFonts w:hint="eastAsia" w:cs="仿宋"/>
          <w:color w:val="auto"/>
        </w:rPr>
        <w:t>7.</w:t>
      </w:r>
      <w:r>
        <w:rPr>
          <w:rFonts w:hint="eastAsia" w:cs="仿宋"/>
          <w:color w:val="auto"/>
        </w:rPr>
        <w:tab/>
      </w:r>
      <w:r>
        <w:rPr>
          <w:rFonts w:hint="eastAsia" w:cs="仿宋"/>
          <w:color w:val="auto"/>
        </w:rPr>
        <w:t>支持保存后自动打印采购计划。</w:t>
      </w:r>
    </w:p>
    <w:p w14:paraId="76B5BBD5">
      <w:pPr>
        <w:ind w:firstLine="480"/>
        <w:rPr>
          <w:rFonts w:cs="仿宋"/>
          <w:color w:val="auto"/>
        </w:rPr>
      </w:pPr>
      <w:r>
        <w:rPr>
          <w:rFonts w:hint="eastAsia" w:cs="仿宋"/>
          <w:color w:val="auto"/>
        </w:rPr>
        <w:t>8.</w:t>
      </w:r>
      <w:r>
        <w:rPr>
          <w:rFonts w:hint="eastAsia" w:cs="仿宋"/>
          <w:color w:val="auto"/>
        </w:rPr>
        <w:tab/>
      </w:r>
      <w:r>
        <w:rPr>
          <w:rFonts w:hint="eastAsia" w:cs="仿宋"/>
          <w:color w:val="auto"/>
        </w:rPr>
        <w:t>支持</w:t>
      </w:r>
      <w:r>
        <w:rPr>
          <w:rFonts w:hint="eastAsia" w:cs="仿宋"/>
          <w:color w:val="auto"/>
          <w:lang w:val="en-US" w:eastAsia="zh-CN"/>
        </w:rPr>
        <w:t>院内</w:t>
      </w:r>
      <w:r>
        <w:rPr>
          <w:rFonts w:hint="eastAsia" w:cs="仿宋"/>
          <w:color w:val="auto"/>
        </w:rPr>
        <w:t>制定采购计划，提交至药品中心进行审核。</w:t>
      </w:r>
    </w:p>
    <w:p w14:paraId="7C92C78E">
      <w:pPr>
        <w:pStyle w:val="341"/>
        <w:spacing w:beforeLines="0"/>
        <w:ind w:firstLine="482"/>
        <w:rPr>
          <w:rFonts w:hint="eastAsia" w:ascii="宋体" w:hAnsi="宋体" w:cs="仿宋"/>
          <w:b/>
          <w:bCs/>
          <w:color w:val="auto"/>
          <w:sz w:val="24"/>
          <w:szCs w:val="24"/>
        </w:rPr>
      </w:pPr>
      <w:bookmarkStart w:id="387" w:name="_Toc106373294"/>
      <w:r>
        <w:rPr>
          <w:rFonts w:hint="eastAsia" w:ascii="宋体" w:hAnsi="宋体" w:cs="仿宋"/>
          <w:b/>
          <w:bCs/>
          <w:color w:val="auto"/>
          <w:sz w:val="24"/>
          <w:szCs w:val="24"/>
        </w:rPr>
        <w:t>采购结算</w:t>
      </w:r>
      <w:bookmarkEnd w:id="387"/>
    </w:p>
    <w:p w14:paraId="2E274CD8">
      <w:pPr>
        <w:pStyle w:val="94"/>
        <w:numPr>
          <w:ilvl w:val="0"/>
          <w:numId w:val="202"/>
        </w:numPr>
        <w:ind w:left="0" w:firstLine="480"/>
        <w:rPr>
          <w:color w:val="auto"/>
          <w:sz w:val="24"/>
        </w:rPr>
      </w:pPr>
      <w:r>
        <w:rPr>
          <w:color w:val="auto"/>
          <w:sz w:val="24"/>
        </w:rPr>
        <w:t>支持自动提取药库入库记录</w:t>
      </w:r>
      <w:r>
        <w:rPr>
          <w:rFonts w:hint="eastAsia"/>
          <w:color w:val="auto"/>
          <w:sz w:val="24"/>
        </w:rPr>
        <w:t>。</w:t>
      </w:r>
    </w:p>
    <w:p w14:paraId="3E9B8C3E">
      <w:pPr>
        <w:pStyle w:val="94"/>
        <w:numPr>
          <w:ilvl w:val="0"/>
          <w:numId w:val="202"/>
        </w:numPr>
        <w:ind w:left="0" w:firstLine="480"/>
        <w:rPr>
          <w:color w:val="auto"/>
          <w:sz w:val="24"/>
        </w:rPr>
      </w:pPr>
      <w:r>
        <w:rPr>
          <w:color w:val="auto"/>
          <w:sz w:val="24"/>
        </w:rPr>
        <w:t>支持根据供货商</w:t>
      </w:r>
      <w:r>
        <w:rPr>
          <w:rFonts w:hint="eastAsia"/>
          <w:color w:val="auto"/>
          <w:sz w:val="24"/>
        </w:rPr>
        <w:t>、</w:t>
      </w:r>
      <w:r>
        <w:rPr>
          <w:color w:val="auto"/>
          <w:sz w:val="24"/>
        </w:rPr>
        <w:t>发票号</w:t>
      </w:r>
      <w:r>
        <w:rPr>
          <w:rFonts w:hint="eastAsia"/>
          <w:color w:val="auto"/>
          <w:sz w:val="24"/>
        </w:rPr>
        <w:t>、</w:t>
      </w:r>
      <w:r>
        <w:rPr>
          <w:color w:val="auto"/>
          <w:sz w:val="24"/>
        </w:rPr>
        <w:t>入库单据号选择要结算的入库记录</w:t>
      </w:r>
      <w:r>
        <w:rPr>
          <w:rFonts w:hint="eastAsia"/>
          <w:color w:val="auto"/>
          <w:sz w:val="24"/>
        </w:rPr>
        <w:t>。</w:t>
      </w:r>
    </w:p>
    <w:p w14:paraId="55112D85">
      <w:pPr>
        <w:pStyle w:val="94"/>
        <w:numPr>
          <w:ilvl w:val="0"/>
          <w:numId w:val="202"/>
        </w:numPr>
        <w:ind w:left="0" w:firstLine="480"/>
        <w:rPr>
          <w:color w:val="auto"/>
          <w:sz w:val="24"/>
        </w:rPr>
      </w:pPr>
      <w:r>
        <w:rPr>
          <w:color w:val="auto"/>
          <w:sz w:val="24"/>
        </w:rPr>
        <w:t>支持采购结算审核流程</w:t>
      </w:r>
      <w:r>
        <w:rPr>
          <w:rFonts w:hint="eastAsia"/>
          <w:color w:val="auto"/>
          <w:sz w:val="24"/>
        </w:rPr>
        <w:t>。</w:t>
      </w:r>
    </w:p>
    <w:p w14:paraId="10ED6445">
      <w:pPr>
        <w:pStyle w:val="94"/>
        <w:numPr>
          <w:ilvl w:val="0"/>
          <w:numId w:val="202"/>
        </w:numPr>
        <w:ind w:left="0" w:firstLine="480"/>
        <w:rPr>
          <w:color w:val="auto"/>
          <w:sz w:val="24"/>
        </w:rPr>
      </w:pPr>
      <w:r>
        <w:rPr>
          <w:color w:val="auto"/>
          <w:sz w:val="24"/>
        </w:rPr>
        <w:t>支持打印采购结算单</w:t>
      </w:r>
      <w:r>
        <w:rPr>
          <w:rFonts w:hint="eastAsia"/>
          <w:color w:val="auto"/>
          <w:sz w:val="24"/>
        </w:rPr>
        <w:t>。</w:t>
      </w:r>
    </w:p>
    <w:p w14:paraId="6E2700ED">
      <w:pPr>
        <w:pStyle w:val="94"/>
        <w:numPr>
          <w:ilvl w:val="0"/>
          <w:numId w:val="202"/>
        </w:numPr>
        <w:ind w:left="0" w:firstLine="480"/>
        <w:rPr>
          <w:color w:val="auto"/>
          <w:sz w:val="24"/>
        </w:rPr>
      </w:pPr>
      <w:r>
        <w:rPr>
          <w:color w:val="auto"/>
          <w:sz w:val="24"/>
        </w:rPr>
        <w:t>支持采购结算记录汇总导出</w:t>
      </w:r>
      <w:r>
        <w:rPr>
          <w:rFonts w:hint="eastAsia"/>
          <w:color w:val="auto"/>
          <w:sz w:val="24"/>
        </w:rPr>
        <w:t>、明细导出。</w:t>
      </w:r>
    </w:p>
    <w:p w14:paraId="213C3BB6">
      <w:pPr>
        <w:pStyle w:val="341"/>
        <w:spacing w:beforeLines="0"/>
        <w:ind w:firstLine="482"/>
        <w:rPr>
          <w:rFonts w:hint="eastAsia" w:ascii="宋体" w:hAnsi="宋体" w:cs="仿宋"/>
          <w:b/>
          <w:bCs/>
          <w:color w:val="auto"/>
          <w:sz w:val="24"/>
          <w:szCs w:val="24"/>
        </w:rPr>
      </w:pPr>
      <w:bookmarkStart w:id="388" w:name="_Toc106373295"/>
      <w:r>
        <w:rPr>
          <w:rFonts w:hint="eastAsia" w:ascii="宋体" w:hAnsi="宋体" w:cs="仿宋"/>
          <w:b/>
          <w:bCs/>
          <w:color w:val="auto"/>
          <w:sz w:val="24"/>
          <w:szCs w:val="24"/>
        </w:rPr>
        <w:t>账表汇总</w:t>
      </w:r>
      <w:bookmarkEnd w:id="388"/>
    </w:p>
    <w:p w14:paraId="1A084CA3">
      <w:pPr>
        <w:pStyle w:val="94"/>
        <w:numPr>
          <w:ilvl w:val="0"/>
          <w:numId w:val="203"/>
        </w:numPr>
        <w:ind w:left="0" w:firstLine="480"/>
        <w:rPr>
          <w:color w:val="auto"/>
          <w:sz w:val="24"/>
        </w:rPr>
      </w:pPr>
      <w:r>
        <w:rPr>
          <w:rFonts w:hint="eastAsia"/>
          <w:color w:val="auto"/>
          <w:sz w:val="24"/>
        </w:rPr>
        <w:t>支持</w:t>
      </w:r>
      <w:r>
        <w:rPr>
          <w:color w:val="auto"/>
          <w:sz w:val="24"/>
        </w:rPr>
        <w:t>药品库存的日结、月结、年结功能，并能校对账目及库存的平衡关系；</w:t>
      </w:r>
    </w:p>
    <w:p w14:paraId="440FCC92">
      <w:pPr>
        <w:pStyle w:val="94"/>
        <w:numPr>
          <w:ilvl w:val="0"/>
          <w:numId w:val="203"/>
        </w:numPr>
        <w:ind w:left="0" w:firstLine="480"/>
        <w:rPr>
          <w:color w:val="auto"/>
          <w:sz w:val="24"/>
        </w:rPr>
      </w:pPr>
      <w:r>
        <w:rPr>
          <w:rFonts w:hint="eastAsia"/>
          <w:color w:val="auto"/>
          <w:sz w:val="24"/>
        </w:rPr>
        <w:t>支持</w:t>
      </w:r>
      <w:r>
        <w:rPr>
          <w:color w:val="auto"/>
          <w:sz w:val="24"/>
        </w:rPr>
        <w:t>根据药库的各种操作信息，生成药品台账和进销存月报表。</w:t>
      </w:r>
    </w:p>
    <w:p w14:paraId="4AEC60A6">
      <w:pPr>
        <w:ind w:firstLine="480"/>
        <w:rPr>
          <w:color w:val="auto"/>
        </w:rPr>
      </w:pPr>
      <w:r>
        <w:rPr>
          <w:rFonts w:hint="eastAsia"/>
          <w:color w:val="auto"/>
        </w:rPr>
        <w:t>支持药品进销存总表、单品种明细账、药品增减明细表、外购药品汇总表、外购药品财务表、科室领用汇总表、科室领用财务表、药品调拨汇总表、药品调拨财务表、他库拨入汇总表、药房退库汇总查询、他库拨入财务表。</w:t>
      </w:r>
    </w:p>
    <w:p w14:paraId="134ACE6A">
      <w:pPr>
        <w:pStyle w:val="14"/>
        <w:bidi w:val="0"/>
        <w:rPr>
          <w:color w:val="auto"/>
        </w:rPr>
      </w:pPr>
      <w:r>
        <w:rPr>
          <w:rFonts w:hint="eastAsia"/>
          <w:color w:val="auto"/>
          <w:lang w:val="en-US" w:eastAsia="zh-CN"/>
        </w:rPr>
        <w:t xml:space="preserve"> </w:t>
      </w:r>
      <w:r>
        <w:rPr>
          <w:rFonts w:hint="eastAsia"/>
          <w:color w:val="auto"/>
        </w:rPr>
        <w:t>药房管理系统</w:t>
      </w:r>
    </w:p>
    <w:p w14:paraId="7BE6F9CD">
      <w:pPr>
        <w:bidi w:val="0"/>
        <w:rPr>
          <w:color w:val="auto"/>
        </w:rPr>
      </w:pPr>
      <w:r>
        <w:rPr>
          <w:color w:val="auto"/>
        </w:rPr>
        <w:t>集成配发药、库存预警与病区周转药管理，支持多模式处方处理与LED叫号，通过二级审核和条码追溯保障用药安全与效率。</w:t>
      </w:r>
    </w:p>
    <w:p w14:paraId="04E465D9">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7DC0ACA">
      <w:pPr>
        <w:pStyle w:val="341"/>
        <w:spacing w:beforeLines="0"/>
        <w:ind w:firstLine="482"/>
        <w:rPr>
          <w:rFonts w:hint="eastAsia" w:ascii="宋体" w:hAnsi="宋体" w:cs="仿宋"/>
          <w:b/>
          <w:bCs/>
          <w:color w:val="auto"/>
          <w:sz w:val="24"/>
          <w:szCs w:val="24"/>
        </w:rPr>
      </w:pPr>
      <w:bookmarkStart w:id="389" w:name="_Toc106373275"/>
      <w:r>
        <w:rPr>
          <w:rFonts w:hint="eastAsia" w:ascii="宋体" w:hAnsi="宋体" w:cs="仿宋"/>
          <w:b/>
          <w:bCs/>
          <w:color w:val="auto"/>
          <w:sz w:val="24"/>
          <w:szCs w:val="24"/>
        </w:rPr>
        <w:t>配发药管理</w:t>
      </w:r>
      <w:bookmarkEnd w:id="389"/>
    </w:p>
    <w:p w14:paraId="08543D32">
      <w:pPr>
        <w:ind w:firstLine="480"/>
        <w:rPr>
          <w:color w:val="auto"/>
        </w:rPr>
      </w:pPr>
      <w:bookmarkStart w:id="390" w:name="_Toc106373276"/>
      <w:r>
        <w:rPr>
          <w:rFonts w:hint="eastAsia"/>
          <w:color w:val="auto"/>
        </w:rPr>
        <w:t>根据</w:t>
      </w:r>
      <w:r>
        <w:rPr>
          <w:color w:val="auto"/>
        </w:rPr>
        <w:t>相关管理规定对门诊西药、中成药和中草药的配药、发药、退药等过程进行管理</w:t>
      </w:r>
      <w:r>
        <w:rPr>
          <w:rFonts w:hint="eastAsia"/>
          <w:color w:val="auto"/>
        </w:rPr>
        <w:t>，</w:t>
      </w:r>
      <w:r>
        <w:rPr>
          <w:color w:val="auto"/>
        </w:rPr>
        <w:t>并</w:t>
      </w:r>
      <w:r>
        <w:rPr>
          <w:rFonts w:hint="eastAsia"/>
          <w:color w:val="auto"/>
        </w:rPr>
        <w:t>支持</w:t>
      </w:r>
      <w:r>
        <w:rPr>
          <w:color w:val="auto"/>
        </w:rPr>
        <w:t>自动获取药品名称、规格、批号、价格、生产厂家、药品来源、药品剂型、药品属性、药品类别、医保编码、领药人、开方医生和门诊患者等药品基本信息</w:t>
      </w:r>
      <w:r>
        <w:rPr>
          <w:rFonts w:hint="eastAsia"/>
          <w:color w:val="auto"/>
        </w:rPr>
        <w:t>。</w:t>
      </w:r>
    </w:p>
    <w:p w14:paraId="37D1C577">
      <w:pPr>
        <w:pStyle w:val="94"/>
        <w:numPr>
          <w:ilvl w:val="0"/>
          <w:numId w:val="204"/>
        </w:numPr>
        <w:ind w:left="0" w:firstLine="480"/>
        <w:rPr>
          <w:color w:val="auto"/>
          <w:sz w:val="24"/>
        </w:rPr>
      </w:pPr>
      <w:r>
        <w:rPr>
          <w:color w:val="auto"/>
          <w:sz w:val="24"/>
        </w:rPr>
        <w:t>支持预配药、见单配药、前后台配发药等多种配发药模式。</w:t>
      </w:r>
    </w:p>
    <w:p w14:paraId="7E2455E0">
      <w:pPr>
        <w:pStyle w:val="94"/>
        <w:numPr>
          <w:ilvl w:val="0"/>
          <w:numId w:val="204"/>
        </w:numPr>
        <w:ind w:left="0" w:firstLine="480"/>
        <w:rPr>
          <w:color w:val="auto"/>
          <w:sz w:val="24"/>
        </w:rPr>
      </w:pPr>
      <w:r>
        <w:rPr>
          <w:rFonts w:hint="eastAsia"/>
          <w:color w:val="auto"/>
          <w:sz w:val="24"/>
        </w:rPr>
        <w:t>支持</w:t>
      </w:r>
      <w:r>
        <w:rPr>
          <w:color w:val="auto"/>
          <w:sz w:val="24"/>
        </w:rPr>
        <w:t>西药、中成药、耗材或小型器械按</w:t>
      </w:r>
      <w:r>
        <w:rPr>
          <w:rFonts w:hint="eastAsia"/>
          <w:color w:val="auto"/>
          <w:sz w:val="24"/>
        </w:rPr>
        <w:t>照</w:t>
      </w:r>
      <w:r>
        <w:rPr>
          <w:color w:val="auto"/>
          <w:sz w:val="24"/>
        </w:rPr>
        <w:t>处方格式显示</w:t>
      </w:r>
      <w:r>
        <w:rPr>
          <w:rFonts w:hint="eastAsia"/>
          <w:color w:val="auto"/>
          <w:sz w:val="24"/>
        </w:rPr>
        <w:t>与</w:t>
      </w:r>
      <w:r>
        <w:rPr>
          <w:color w:val="auto"/>
          <w:sz w:val="24"/>
        </w:rPr>
        <w:t>打印</w:t>
      </w:r>
      <w:r>
        <w:rPr>
          <w:rFonts w:hint="eastAsia"/>
          <w:color w:val="auto"/>
          <w:sz w:val="24"/>
        </w:rPr>
        <w:t>。</w:t>
      </w:r>
    </w:p>
    <w:p w14:paraId="1A6965C5">
      <w:pPr>
        <w:pStyle w:val="94"/>
        <w:numPr>
          <w:ilvl w:val="0"/>
          <w:numId w:val="204"/>
        </w:numPr>
        <w:ind w:left="0" w:firstLine="480"/>
        <w:rPr>
          <w:color w:val="auto"/>
          <w:sz w:val="24"/>
        </w:rPr>
      </w:pPr>
      <w:bookmarkStart w:id="391" w:name="OLE_LINK1"/>
      <w:r>
        <w:rPr>
          <w:rFonts w:hint="eastAsia"/>
          <w:color w:val="auto"/>
          <w:sz w:val="24"/>
        </w:rPr>
        <w:t>支持</w:t>
      </w:r>
      <w:r>
        <w:rPr>
          <w:color w:val="auto"/>
          <w:sz w:val="24"/>
        </w:rPr>
        <w:t>中草药按其特有处方格式显示并打印。</w:t>
      </w:r>
    </w:p>
    <w:bookmarkEnd w:id="391"/>
    <w:p w14:paraId="07F64A24">
      <w:pPr>
        <w:pStyle w:val="94"/>
        <w:numPr>
          <w:ilvl w:val="0"/>
          <w:numId w:val="204"/>
        </w:numPr>
        <w:ind w:left="0" w:firstLine="480"/>
        <w:rPr>
          <w:color w:val="auto"/>
          <w:sz w:val="24"/>
        </w:rPr>
      </w:pPr>
      <w:r>
        <w:rPr>
          <w:color w:val="auto"/>
          <w:sz w:val="24"/>
        </w:rPr>
        <w:t>支持多</w:t>
      </w:r>
      <w:r>
        <w:rPr>
          <w:rFonts w:hint="eastAsia"/>
          <w:color w:val="auto"/>
          <w:sz w:val="24"/>
        </w:rPr>
        <w:t>窗口</w:t>
      </w:r>
      <w:r>
        <w:rPr>
          <w:color w:val="auto"/>
          <w:sz w:val="24"/>
        </w:rPr>
        <w:t>同时发药及多门诊药房发药，</w:t>
      </w:r>
      <w:r>
        <w:rPr>
          <w:rFonts w:hint="eastAsia"/>
          <w:color w:val="auto"/>
          <w:sz w:val="24"/>
        </w:rPr>
        <w:t>提供</w:t>
      </w:r>
      <w:r>
        <w:rPr>
          <w:color w:val="auto"/>
          <w:sz w:val="24"/>
        </w:rPr>
        <w:t>二级审核功能。</w:t>
      </w:r>
    </w:p>
    <w:p w14:paraId="5DC82A50">
      <w:pPr>
        <w:pStyle w:val="94"/>
        <w:numPr>
          <w:ilvl w:val="0"/>
          <w:numId w:val="204"/>
        </w:numPr>
        <w:ind w:left="0" w:firstLine="480"/>
        <w:rPr>
          <w:color w:val="auto"/>
          <w:sz w:val="24"/>
        </w:rPr>
      </w:pPr>
      <w:r>
        <w:rPr>
          <w:rFonts w:hint="eastAsia"/>
          <w:color w:val="auto"/>
          <w:sz w:val="24"/>
        </w:rPr>
        <w:t>支持</w:t>
      </w:r>
      <w:r>
        <w:rPr>
          <w:color w:val="auto"/>
          <w:sz w:val="24"/>
        </w:rPr>
        <w:t>处方正确性检查及配发药确认，</w:t>
      </w:r>
      <w:r>
        <w:rPr>
          <w:rFonts w:hint="eastAsia"/>
          <w:color w:val="auto"/>
          <w:sz w:val="24"/>
        </w:rPr>
        <w:t>提供自动打印用药说明功能</w:t>
      </w:r>
      <w:r>
        <w:rPr>
          <w:color w:val="auto"/>
          <w:sz w:val="24"/>
        </w:rPr>
        <w:t>。</w:t>
      </w:r>
    </w:p>
    <w:p w14:paraId="0966C71E">
      <w:pPr>
        <w:pStyle w:val="94"/>
        <w:numPr>
          <w:ilvl w:val="0"/>
          <w:numId w:val="204"/>
        </w:numPr>
        <w:ind w:left="0" w:firstLine="480"/>
        <w:rPr>
          <w:color w:val="auto"/>
          <w:sz w:val="24"/>
        </w:rPr>
      </w:pPr>
      <w:r>
        <w:rPr>
          <w:rFonts w:hint="eastAsia"/>
          <w:color w:val="auto"/>
          <w:sz w:val="24"/>
        </w:rPr>
        <w:t>提供全处方退药与处方部分退药功能。</w:t>
      </w:r>
    </w:p>
    <w:p w14:paraId="488980DD">
      <w:pPr>
        <w:pStyle w:val="94"/>
        <w:numPr>
          <w:ilvl w:val="0"/>
          <w:numId w:val="204"/>
        </w:numPr>
        <w:ind w:left="0" w:firstLine="480"/>
        <w:rPr>
          <w:color w:val="auto"/>
          <w:sz w:val="24"/>
        </w:rPr>
      </w:pPr>
      <w:r>
        <w:rPr>
          <w:rFonts w:hint="eastAsia"/>
          <w:color w:val="auto"/>
          <w:sz w:val="24"/>
        </w:rPr>
        <w:t>支持针对特殊人群/种类（如</w:t>
      </w:r>
      <w:r>
        <w:rPr>
          <w:color w:val="auto"/>
          <w:sz w:val="24"/>
        </w:rPr>
        <w:t>HIV</w:t>
      </w:r>
      <w:r>
        <w:rPr>
          <w:rFonts w:hint="eastAsia"/>
          <w:color w:val="auto"/>
          <w:sz w:val="24"/>
        </w:rPr>
        <w:t>患者、计生药品等）免费发放登记和管理。</w:t>
      </w:r>
    </w:p>
    <w:p w14:paraId="3B3CE07C">
      <w:pPr>
        <w:pStyle w:val="94"/>
        <w:numPr>
          <w:ilvl w:val="0"/>
          <w:numId w:val="204"/>
        </w:numPr>
        <w:ind w:left="0" w:firstLine="480"/>
        <w:rPr>
          <w:color w:val="auto"/>
          <w:sz w:val="24"/>
        </w:rPr>
      </w:pPr>
      <w:r>
        <w:rPr>
          <w:rFonts w:hint="eastAsia"/>
          <w:color w:val="auto"/>
          <w:sz w:val="24"/>
        </w:rPr>
        <w:t>支持多人同时发药及多个门诊药房发药，具有二级审核功能。支持门诊医生录入处方、门诊收费处录入处方或混合模式，可对处方进行正确性检查及配发药确认，可根据医院管理需要选择发药确认或收费确认库存扣减两种库存管理办法。每张处方有独立的条形码，并与电脑和收费内容保持一致。已确以发药处方再显示有明显标记。</w:t>
      </w:r>
    </w:p>
    <w:p w14:paraId="6C6D8045">
      <w:pPr>
        <w:pStyle w:val="94"/>
        <w:numPr>
          <w:ilvl w:val="0"/>
          <w:numId w:val="204"/>
        </w:numPr>
        <w:ind w:left="0" w:firstLine="480"/>
        <w:rPr>
          <w:color w:val="auto"/>
          <w:sz w:val="24"/>
        </w:rPr>
      </w:pPr>
      <w:r>
        <w:rPr>
          <w:rFonts w:hint="eastAsia"/>
          <w:color w:val="auto"/>
          <w:sz w:val="24"/>
        </w:rPr>
        <w:t>提供LED显示排队功能，支持语音呼叫,提供多种显示方式对外显示配，取药排队信息及药品价格信息等功能。</w:t>
      </w:r>
    </w:p>
    <w:p w14:paraId="74041757">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药品库房管理</w:t>
      </w:r>
      <w:bookmarkEnd w:id="390"/>
    </w:p>
    <w:p w14:paraId="73A55541">
      <w:pPr>
        <w:pStyle w:val="94"/>
        <w:numPr>
          <w:ilvl w:val="0"/>
          <w:numId w:val="205"/>
        </w:numPr>
        <w:ind w:left="0" w:firstLine="480"/>
        <w:rPr>
          <w:color w:val="auto"/>
          <w:sz w:val="24"/>
        </w:rPr>
      </w:pPr>
      <w:bookmarkStart w:id="392" w:name="_Toc106373277"/>
      <w:r>
        <w:rPr>
          <w:rFonts w:hint="eastAsia"/>
          <w:color w:val="auto"/>
          <w:sz w:val="24"/>
        </w:rPr>
        <w:t>支持通过药品消耗量进行库存不足预警</w:t>
      </w:r>
      <w:r>
        <w:rPr>
          <w:color w:val="auto"/>
          <w:sz w:val="24"/>
        </w:rPr>
        <w:t xml:space="preserve">, </w:t>
      </w:r>
      <w:r>
        <w:rPr>
          <w:rFonts w:hint="eastAsia"/>
          <w:color w:val="auto"/>
          <w:sz w:val="24"/>
        </w:rPr>
        <w:t>并</w:t>
      </w:r>
      <w:r>
        <w:rPr>
          <w:color w:val="auto"/>
          <w:sz w:val="24"/>
        </w:rPr>
        <w:t>自动生成药品领药计划申请单。</w:t>
      </w:r>
    </w:p>
    <w:p w14:paraId="72284CB5">
      <w:pPr>
        <w:pStyle w:val="94"/>
        <w:numPr>
          <w:ilvl w:val="0"/>
          <w:numId w:val="205"/>
        </w:numPr>
        <w:ind w:left="0" w:firstLine="480"/>
        <w:rPr>
          <w:color w:val="auto"/>
          <w:sz w:val="24"/>
        </w:rPr>
      </w:pPr>
      <w:r>
        <w:rPr>
          <w:rFonts w:hint="eastAsia"/>
          <w:color w:val="auto"/>
          <w:sz w:val="24"/>
        </w:rPr>
        <w:t>提供药房药品的日结、月结和年结算功能。</w:t>
      </w:r>
    </w:p>
    <w:p w14:paraId="4BCF6CCF">
      <w:pPr>
        <w:pStyle w:val="94"/>
        <w:numPr>
          <w:ilvl w:val="0"/>
          <w:numId w:val="205"/>
        </w:numPr>
        <w:ind w:left="0" w:firstLine="480"/>
        <w:rPr>
          <w:color w:val="auto"/>
          <w:sz w:val="24"/>
        </w:rPr>
      </w:pPr>
      <w:r>
        <w:rPr>
          <w:color w:val="auto"/>
          <w:sz w:val="24"/>
        </w:rPr>
        <w:t>支持药品实时动态盘点功能</w:t>
      </w:r>
      <w:r>
        <w:rPr>
          <w:rFonts w:hint="eastAsia"/>
          <w:color w:val="auto"/>
          <w:sz w:val="24"/>
        </w:rPr>
        <w:t>。</w:t>
      </w:r>
    </w:p>
    <w:p w14:paraId="160A7295">
      <w:pPr>
        <w:pStyle w:val="94"/>
        <w:numPr>
          <w:ilvl w:val="0"/>
          <w:numId w:val="205"/>
        </w:numPr>
        <w:ind w:left="0" w:firstLine="480"/>
        <w:rPr>
          <w:color w:val="auto"/>
          <w:sz w:val="24"/>
        </w:rPr>
      </w:pPr>
      <w:r>
        <w:rPr>
          <w:color w:val="auto"/>
          <w:sz w:val="24"/>
        </w:rPr>
        <w:t>支持药品进销存总表查询</w:t>
      </w:r>
      <w:r>
        <w:rPr>
          <w:rFonts w:hint="eastAsia"/>
          <w:color w:val="auto"/>
          <w:sz w:val="24"/>
        </w:rPr>
        <w:t>。</w:t>
      </w:r>
    </w:p>
    <w:p w14:paraId="278ED5E7">
      <w:pPr>
        <w:pStyle w:val="94"/>
        <w:numPr>
          <w:ilvl w:val="0"/>
          <w:numId w:val="205"/>
        </w:numPr>
        <w:ind w:left="0" w:firstLine="480"/>
        <w:rPr>
          <w:color w:val="auto"/>
          <w:sz w:val="24"/>
        </w:rPr>
      </w:pPr>
      <w:r>
        <w:rPr>
          <w:color w:val="auto"/>
          <w:sz w:val="24"/>
        </w:rPr>
        <w:t>支持查询药品单品种明细账</w:t>
      </w:r>
      <w:r>
        <w:rPr>
          <w:rFonts w:hint="eastAsia"/>
          <w:color w:val="auto"/>
          <w:sz w:val="24"/>
        </w:rPr>
        <w:t>。</w:t>
      </w:r>
    </w:p>
    <w:p w14:paraId="75667E13">
      <w:pPr>
        <w:pStyle w:val="94"/>
        <w:numPr>
          <w:ilvl w:val="0"/>
          <w:numId w:val="205"/>
        </w:numPr>
        <w:ind w:left="0" w:firstLine="480"/>
        <w:rPr>
          <w:color w:val="auto"/>
          <w:sz w:val="24"/>
        </w:rPr>
      </w:pPr>
      <w:r>
        <w:rPr>
          <w:color w:val="auto"/>
          <w:sz w:val="24"/>
        </w:rPr>
        <w:t>支持全院库存查询</w:t>
      </w:r>
      <w:r>
        <w:rPr>
          <w:rFonts w:hint="eastAsia"/>
          <w:color w:val="auto"/>
          <w:sz w:val="24"/>
        </w:rPr>
        <w:t>。</w:t>
      </w:r>
    </w:p>
    <w:p w14:paraId="48E5AB22">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调拨管理</w:t>
      </w:r>
      <w:bookmarkEnd w:id="392"/>
    </w:p>
    <w:p w14:paraId="6AD4E6CC">
      <w:pPr>
        <w:pStyle w:val="94"/>
        <w:numPr>
          <w:ilvl w:val="0"/>
          <w:numId w:val="206"/>
        </w:numPr>
        <w:ind w:left="0" w:firstLine="480"/>
        <w:rPr>
          <w:color w:val="auto"/>
          <w:sz w:val="24"/>
        </w:rPr>
      </w:pPr>
      <w:bookmarkStart w:id="393" w:name="_Toc106373278"/>
      <w:r>
        <w:rPr>
          <w:rFonts w:hint="eastAsia"/>
          <w:color w:val="auto"/>
          <w:sz w:val="24"/>
        </w:rPr>
        <w:t>支持对申领或调拨的药品进行入库确认</w:t>
      </w:r>
    </w:p>
    <w:p w14:paraId="47CF47E3">
      <w:pPr>
        <w:pStyle w:val="94"/>
        <w:numPr>
          <w:ilvl w:val="0"/>
          <w:numId w:val="206"/>
        </w:numPr>
        <w:ind w:left="0" w:firstLine="480"/>
        <w:rPr>
          <w:color w:val="auto"/>
          <w:sz w:val="24"/>
        </w:rPr>
      </w:pPr>
      <w:r>
        <w:rPr>
          <w:rFonts w:hint="eastAsia"/>
          <w:color w:val="auto"/>
          <w:sz w:val="24"/>
        </w:rPr>
        <w:t>提供药品盘点、报损、调换和退库功能</w:t>
      </w:r>
    </w:p>
    <w:p w14:paraId="0E64CBCF">
      <w:pPr>
        <w:pStyle w:val="94"/>
        <w:numPr>
          <w:ilvl w:val="0"/>
          <w:numId w:val="206"/>
        </w:numPr>
        <w:ind w:left="0" w:firstLine="480"/>
        <w:rPr>
          <w:color w:val="auto"/>
          <w:sz w:val="24"/>
        </w:rPr>
      </w:pPr>
      <w:r>
        <w:rPr>
          <w:rFonts w:hint="eastAsia"/>
          <w:color w:val="auto"/>
          <w:sz w:val="24"/>
        </w:rPr>
        <w:t>支持本药房的调拨申请、审核、药品其他增减、药房换药、患者领药申请、审核功能。</w:t>
      </w:r>
    </w:p>
    <w:p w14:paraId="49882519">
      <w:pPr>
        <w:pStyle w:val="94"/>
        <w:numPr>
          <w:ilvl w:val="0"/>
          <w:numId w:val="206"/>
        </w:numPr>
        <w:ind w:left="0" w:firstLine="480"/>
        <w:rPr>
          <w:color w:val="auto"/>
          <w:sz w:val="24"/>
        </w:rPr>
      </w:pPr>
      <w:r>
        <w:rPr>
          <w:color w:val="auto"/>
          <w:sz w:val="24"/>
        </w:rPr>
        <w:t>支持药品换药查询</w:t>
      </w:r>
      <w:r>
        <w:rPr>
          <w:rFonts w:hint="eastAsia"/>
          <w:color w:val="auto"/>
          <w:sz w:val="24"/>
        </w:rPr>
        <w:t>。</w:t>
      </w:r>
    </w:p>
    <w:p w14:paraId="1552CA47">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借还药管理</w:t>
      </w:r>
      <w:bookmarkEnd w:id="393"/>
    </w:p>
    <w:p w14:paraId="5B200142">
      <w:pPr>
        <w:pStyle w:val="94"/>
        <w:numPr>
          <w:ilvl w:val="0"/>
          <w:numId w:val="207"/>
        </w:numPr>
        <w:ind w:left="0" w:firstLine="480"/>
        <w:rPr>
          <w:color w:val="auto"/>
          <w:sz w:val="24"/>
        </w:rPr>
      </w:pPr>
      <w:bookmarkStart w:id="394" w:name="_Toc106373285"/>
      <w:r>
        <w:rPr>
          <w:rFonts w:hint="eastAsia"/>
          <w:color w:val="auto"/>
          <w:sz w:val="24"/>
        </w:rPr>
        <w:t>支持特殊人群在药房借药。</w:t>
      </w:r>
    </w:p>
    <w:p w14:paraId="5E7B7D7F">
      <w:pPr>
        <w:pStyle w:val="94"/>
        <w:numPr>
          <w:ilvl w:val="0"/>
          <w:numId w:val="207"/>
        </w:numPr>
        <w:ind w:left="0" w:firstLine="480"/>
        <w:rPr>
          <w:color w:val="auto"/>
          <w:sz w:val="24"/>
        </w:rPr>
      </w:pPr>
      <w:r>
        <w:rPr>
          <w:rFonts w:hint="eastAsia"/>
          <w:color w:val="auto"/>
          <w:sz w:val="24"/>
        </w:rPr>
        <w:t>还药支持借药还药、借药还钱两种模式。</w:t>
      </w:r>
    </w:p>
    <w:p w14:paraId="78F09B5E">
      <w:pPr>
        <w:pStyle w:val="94"/>
        <w:ind w:firstLine="480"/>
        <w:rPr>
          <w:color w:val="auto"/>
          <w:sz w:val="24"/>
        </w:rPr>
      </w:pPr>
      <w:r>
        <w:rPr>
          <w:rFonts w:hint="eastAsia"/>
          <w:color w:val="auto"/>
          <w:sz w:val="24"/>
        </w:rPr>
        <w:t>（1）借药还药：</w:t>
      </w:r>
    </w:p>
    <w:p w14:paraId="5375C04F">
      <w:pPr>
        <w:pStyle w:val="94"/>
        <w:ind w:firstLine="480"/>
        <w:rPr>
          <w:color w:val="auto"/>
          <w:sz w:val="24"/>
        </w:rPr>
      </w:pPr>
      <w:r>
        <w:rPr>
          <w:rFonts w:hint="eastAsia"/>
          <w:color w:val="auto"/>
          <w:sz w:val="24"/>
        </w:rPr>
        <w:t>支持借药人将原品规的药品归还给相对应的药房，系统恢复对应借出药品的库存。</w:t>
      </w:r>
    </w:p>
    <w:p w14:paraId="769CB12B">
      <w:pPr>
        <w:pStyle w:val="94"/>
        <w:ind w:firstLine="480"/>
        <w:rPr>
          <w:color w:val="auto"/>
          <w:sz w:val="24"/>
        </w:rPr>
      </w:pPr>
      <w:r>
        <w:rPr>
          <w:rFonts w:hint="eastAsia"/>
          <w:color w:val="auto"/>
          <w:sz w:val="24"/>
        </w:rPr>
        <w:t>（2）借药还钱：</w:t>
      </w:r>
    </w:p>
    <w:p w14:paraId="7AA274BB">
      <w:pPr>
        <w:pStyle w:val="94"/>
        <w:ind w:firstLine="480"/>
        <w:rPr>
          <w:color w:val="auto"/>
          <w:sz w:val="24"/>
        </w:rPr>
      </w:pPr>
      <w:r>
        <w:rPr>
          <w:rFonts w:hint="eastAsia"/>
          <w:color w:val="auto"/>
          <w:sz w:val="24"/>
        </w:rPr>
        <w:t>支持收费室将借药单据生成收费单，借药人直接缴款，系统完成借药单收费。</w:t>
      </w:r>
    </w:p>
    <w:p w14:paraId="152787F3">
      <w:pPr>
        <w:pStyle w:val="94"/>
        <w:ind w:firstLine="480"/>
        <w:rPr>
          <w:color w:val="auto"/>
          <w:sz w:val="24"/>
        </w:rPr>
      </w:pPr>
      <w:r>
        <w:rPr>
          <w:rFonts w:hint="eastAsia"/>
          <w:color w:val="auto"/>
          <w:sz w:val="24"/>
        </w:rPr>
        <w:t>支持按人员、药品类型、借还状态对借还药情况进行查询统计。</w:t>
      </w:r>
    </w:p>
    <w:p w14:paraId="724E0E90">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病区周转药管理</w:t>
      </w:r>
      <w:bookmarkEnd w:id="394"/>
    </w:p>
    <w:p w14:paraId="7F721E1D">
      <w:pPr>
        <w:pStyle w:val="94"/>
        <w:numPr>
          <w:ilvl w:val="0"/>
          <w:numId w:val="208"/>
        </w:numPr>
        <w:ind w:left="0" w:firstLine="480"/>
        <w:rPr>
          <w:color w:val="auto"/>
          <w:sz w:val="24"/>
        </w:rPr>
      </w:pPr>
      <w:r>
        <w:rPr>
          <w:color w:val="auto"/>
          <w:sz w:val="24"/>
        </w:rPr>
        <w:t>支持病区周转借药</w:t>
      </w:r>
      <w:r>
        <w:rPr>
          <w:rFonts w:hint="eastAsia"/>
          <w:color w:val="auto"/>
          <w:sz w:val="24"/>
        </w:rPr>
        <w:t>。</w:t>
      </w:r>
    </w:p>
    <w:p w14:paraId="3F402B1F">
      <w:pPr>
        <w:pStyle w:val="94"/>
        <w:numPr>
          <w:ilvl w:val="0"/>
          <w:numId w:val="208"/>
        </w:numPr>
        <w:ind w:left="0" w:firstLine="480"/>
        <w:rPr>
          <w:color w:val="auto"/>
          <w:sz w:val="24"/>
        </w:rPr>
      </w:pPr>
      <w:r>
        <w:rPr>
          <w:color w:val="auto"/>
          <w:sz w:val="24"/>
        </w:rPr>
        <w:t>支持按批次借药</w:t>
      </w:r>
      <w:r>
        <w:rPr>
          <w:rFonts w:hint="eastAsia"/>
          <w:color w:val="auto"/>
          <w:sz w:val="24"/>
        </w:rPr>
        <w:t>。</w:t>
      </w:r>
    </w:p>
    <w:p w14:paraId="0279DD66">
      <w:pPr>
        <w:pStyle w:val="94"/>
        <w:numPr>
          <w:ilvl w:val="0"/>
          <w:numId w:val="208"/>
        </w:numPr>
        <w:ind w:left="0" w:firstLine="480"/>
        <w:rPr>
          <w:color w:val="auto"/>
          <w:sz w:val="24"/>
        </w:rPr>
      </w:pPr>
      <w:r>
        <w:rPr>
          <w:color w:val="auto"/>
          <w:sz w:val="24"/>
        </w:rPr>
        <w:t>支持病区周转借药审核</w:t>
      </w:r>
      <w:r>
        <w:rPr>
          <w:rFonts w:hint="eastAsia"/>
          <w:color w:val="auto"/>
          <w:sz w:val="24"/>
        </w:rPr>
        <w:t>。</w:t>
      </w:r>
    </w:p>
    <w:p w14:paraId="40F98445">
      <w:pPr>
        <w:pStyle w:val="94"/>
        <w:numPr>
          <w:ilvl w:val="0"/>
          <w:numId w:val="208"/>
        </w:numPr>
        <w:ind w:left="0" w:firstLine="480"/>
        <w:rPr>
          <w:color w:val="auto"/>
          <w:sz w:val="24"/>
        </w:rPr>
      </w:pPr>
      <w:r>
        <w:rPr>
          <w:color w:val="auto"/>
          <w:sz w:val="24"/>
        </w:rPr>
        <w:t>支持病区</w:t>
      </w:r>
      <w:r>
        <w:rPr>
          <w:rFonts w:hint="eastAsia"/>
          <w:color w:val="auto"/>
          <w:sz w:val="24"/>
        </w:rPr>
        <w:t>查询</w:t>
      </w:r>
      <w:r>
        <w:rPr>
          <w:color w:val="auto"/>
          <w:sz w:val="24"/>
        </w:rPr>
        <w:t>借药情况</w:t>
      </w:r>
      <w:r>
        <w:rPr>
          <w:rFonts w:hint="eastAsia"/>
          <w:color w:val="auto"/>
          <w:sz w:val="24"/>
        </w:rPr>
        <w:t>，</w:t>
      </w:r>
      <w:r>
        <w:rPr>
          <w:color w:val="auto"/>
          <w:sz w:val="24"/>
        </w:rPr>
        <w:t>并进行还药</w:t>
      </w:r>
      <w:r>
        <w:rPr>
          <w:rFonts w:hint="eastAsia"/>
          <w:color w:val="auto"/>
          <w:sz w:val="24"/>
        </w:rPr>
        <w:t>。</w:t>
      </w:r>
    </w:p>
    <w:p w14:paraId="5CB2E25B">
      <w:pPr>
        <w:pStyle w:val="94"/>
        <w:numPr>
          <w:ilvl w:val="0"/>
          <w:numId w:val="208"/>
        </w:numPr>
        <w:ind w:left="0" w:firstLine="480"/>
        <w:rPr>
          <w:color w:val="auto"/>
          <w:sz w:val="24"/>
        </w:rPr>
      </w:pPr>
      <w:r>
        <w:rPr>
          <w:rFonts w:hint="eastAsia"/>
          <w:color w:val="auto"/>
          <w:sz w:val="24"/>
        </w:rPr>
        <w:t>支持病区借还药统计查询。</w:t>
      </w:r>
    </w:p>
    <w:p w14:paraId="5DCA2E6A">
      <w:pPr>
        <w:pStyle w:val="14"/>
        <w:bidi w:val="0"/>
        <w:rPr>
          <w:color w:val="auto"/>
        </w:rPr>
      </w:pPr>
      <w:r>
        <w:rPr>
          <w:rFonts w:hint="eastAsia"/>
          <w:color w:val="auto"/>
        </w:rPr>
        <w:tab/>
      </w:r>
      <w:r>
        <w:rPr>
          <w:rFonts w:hint="eastAsia"/>
          <w:color w:val="auto"/>
        </w:rPr>
        <w:t>合理用药监测系统（能够及时按国家要求更新规则库）</w:t>
      </w:r>
    </w:p>
    <w:p w14:paraId="6E17791D">
      <w:pPr>
        <w:bidi w:val="0"/>
        <w:rPr>
          <w:color w:val="auto"/>
        </w:rPr>
      </w:pPr>
      <w:r>
        <w:rPr>
          <w:color w:val="auto"/>
        </w:rPr>
        <w:t>基于国家规则库实时审查剂量、相互作用及禁忌症等28类用药风险，提供循证依据与警示，强化临床用药合理性。</w:t>
      </w:r>
    </w:p>
    <w:p w14:paraId="738FB092">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0412EA6">
      <w:pPr>
        <w:widowControl/>
        <w:numPr>
          <w:ilvl w:val="0"/>
          <w:numId w:val="209"/>
        </w:numPr>
        <w:ind w:left="0" w:firstLine="480" w:firstLineChars="200"/>
        <w:rPr>
          <w:rFonts w:cs="Arial"/>
          <w:color w:val="auto"/>
        </w:rPr>
      </w:pPr>
      <w:r>
        <w:rPr>
          <w:rFonts w:hint="eastAsia" w:cs="Arial"/>
          <w:color w:val="auto"/>
        </w:rPr>
        <w:t>剂量审查：结合年龄、给药途径等信息审查处方（医嘱）中药品剂量、给药频率是否在药品厂家说明书推荐范围内。包括审查每次和每日剂量的最大最小推荐量、</w:t>
      </w:r>
      <w:r>
        <w:rPr>
          <w:rFonts w:cs="Arial"/>
          <w:color w:val="auto"/>
        </w:rPr>
        <w:t>每次和每日极量</w:t>
      </w:r>
      <w:r>
        <w:rPr>
          <w:rFonts w:hint="eastAsia" w:cs="Arial"/>
          <w:color w:val="auto"/>
        </w:rPr>
        <w:t>、给药频率、肝肾功能不全患者的给药剂量、疗程总剂量、给药持续时间。每一条警示信息都有详细的参考文献出处。</w:t>
      </w:r>
    </w:p>
    <w:p w14:paraId="5DD6F890">
      <w:pPr>
        <w:widowControl/>
        <w:numPr>
          <w:ilvl w:val="0"/>
          <w:numId w:val="209"/>
        </w:numPr>
        <w:ind w:left="0" w:firstLine="480" w:firstLineChars="200"/>
        <w:rPr>
          <w:rFonts w:cs="Arial"/>
          <w:color w:val="auto"/>
        </w:rPr>
      </w:pPr>
      <w:r>
        <w:rPr>
          <w:rFonts w:hint="eastAsia" w:cs="Arial"/>
          <w:color w:val="auto"/>
        </w:rPr>
        <w:t>中药材剂量审查：结合给药途径、处方医生审查处方（医嘱）中的中药饮片使用量是否超出规定。</w:t>
      </w:r>
    </w:p>
    <w:p w14:paraId="56F09AF7">
      <w:pPr>
        <w:widowControl/>
        <w:numPr>
          <w:ilvl w:val="0"/>
          <w:numId w:val="209"/>
        </w:numPr>
        <w:ind w:left="0" w:firstLine="480" w:firstLineChars="200"/>
        <w:rPr>
          <w:rFonts w:cs="Arial"/>
          <w:color w:val="auto"/>
        </w:rPr>
      </w:pPr>
      <w:r>
        <w:rPr>
          <w:rFonts w:hint="eastAsia" w:cs="Arial"/>
          <w:color w:val="auto"/>
        </w:rPr>
        <w:t>根据有关处方管理规定对门、急诊处方药品、特殊药品、出院带药超多日用量进行审查提示，支持当前处方和历史处方多处方审查。</w:t>
      </w:r>
    </w:p>
    <w:p w14:paraId="164C9EC3">
      <w:pPr>
        <w:widowControl/>
        <w:numPr>
          <w:ilvl w:val="0"/>
          <w:numId w:val="209"/>
        </w:numPr>
        <w:ind w:left="0" w:firstLine="480" w:firstLineChars="200"/>
        <w:rPr>
          <w:rFonts w:cs="Arial"/>
          <w:color w:val="auto"/>
        </w:rPr>
      </w:pPr>
      <w:r>
        <w:rPr>
          <w:rFonts w:hint="eastAsia" w:cs="Arial"/>
          <w:color w:val="auto"/>
        </w:rPr>
        <w:t>可以审查药品以不同累积方式的使用量是否超出规定。</w:t>
      </w:r>
    </w:p>
    <w:p w14:paraId="02F30E95">
      <w:pPr>
        <w:numPr>
          <w:ilvl w:val="0"/>
          <w:numId w:val="209"/>
        </w:numPr>
        <w:ind w:left="0" w:firstLine="480" w:firstLineChars="200"/>
        <w:rPr>
          <w:rFonts w:cs="Arial"/>
          <w:color w:val="auto"/>
        </w:rPr>
      </w:pPr>
      <w:r>
        <w:rPr>
          <w:rFonts w:hint="eastAsia" w:cs="Arial"/>
          <w:color w:val="auto"/>
        </w:rPr>
        <w:t>给药途径审查：根据不同的药品和剂型，审查处方（医嘱）药品的给药途径是否合理。系统不仅可以对说明书明确禁止的给药途径进行审查，还应能对说明书未推荐的给药途径进行提示。</w:t>
      </w:r>
    </w:p>
    <w:p w14:paraId="691B8D60">
      <w:pPr>
        <w:widowControl/>
        <w:numPr>
          <w:ilvl w:val="0"/>
          <w:numId w:val="209"/>
        </w:numPr>
        <w:ind w:left="0" w:firstLine="480" w:firstLineChars="200"/>
        <w:rPr>
          <w:rFonts w:cs="Arial"/>
          <w:color w:val="auto"/>
        </w:rPr>
      </w:pPr>
      <w:r>
        <w:rPr>
          <w:rFonts w:hint="eastAsia" w:cs="Arial"/>
          <w:color w:val="auto"/>
        </w:rPr>
        <w:t>药物相互作用审查：审查处方（医嘱）中是否存在发生相互作用的药品，包括西药和西药、中药（中成药、草药）和中药、中药和西药,应提供药物相互作用详细信息，包括相互作用结果、相互作用机制、处理办法、讨论、参考文献（包括国外参考文献）。可以结合给药频次，根据用药的奇偶日期、星期日期审查是否有相互作用问题。</w:t>
      </w:r>
    </w:p>
    <w:p w14:paraId="228F6C78">
      <w:pPr>
        <w:widowControl/>
        <w:numPr>
          <w:ilvl w:val="0"/>
          <w:numId w:val="209"/>
        </w:numPr>
        <w:ind w:left="0" w:firstLine="480" w:firstLineChars="200"/>
        <w:rPr>
          <w:rFonts w:cs="Arial"/>
          <w:color w:val="auto"/>
        </w:rPr>
      </w:pPr>
      <w:r>
        <w:rPr>
          <w:rFonts w:hint="eastAsia" w:cs="Arial"/>
          <w:color w:val="auto"/>
        </w:rPr>
        <w:t>体外注射剂配伍审查：审查同组注射药品包括溶媒在同一容器（大输液容器或针管）中配制是否可能发生理化反应。同时提供注射剂配伍的详细信息，包括相互配伍结果、配制方法、讨论及参考文献等。</w:t>
      </w:r>
    </w:p>
    <w:p w14:paraId="76389072">
      <w:pPr>
        <w:widowControl/>
        <w:numPr>
          <w:ilvl w:val="0"/>
          <w:numId w:val="209"/>
        </w:numPr>
        <w:ind w:left="0" w:firstLine="480" w:firstLineChars="200"/>
        <w:rPr>
          <w:rFonts w:cs="Arial"/>
          <w:color w:val="auto"/>
        </w:rPr>
      </w:pPr>
      <w:r>
        <w:rPr>
          <w:rFonts w:hint="eastAsia" w:cs="Arial"/>
          <w:color w:val="auto"/>
        </w:rPr>
        <w:t>配伍浓度审查：审查同组注射药品配伍后的药品浓度是否在规定浓度范围内，同时提供相关详细信息，包括配置浓度、配制方法、参考文献。</w:t>
      </w:r>
    </w:p>
    <w:p w14:paraId="75FBAC5E">
      <w:pPr>
        <w:widowControl/>
        <w:numPr>
          <w:ilvl w:val="0"/>
          <w:numId w:val="209"/>
        </w:numPr>
        <w:ind w:left="0" w:firstLine="480" w:firstLineChars="200"/>
        <w:rPr>
          <w:rFonts w:cs="Arial"/>
          <w:color w:val="auto"/>
        </w:rPr>
      </w:pPr>
      <w:r>
        <w:rPr>
          <w:rFonts w:hint="eastAsia" w:cs="Arial"/>
          <w:color w:val="auto"/>
        </w:rPr>
        <w:t>钾离子监测：若同组注射药品有一个或多个含钾药物，可以审查该组注射剂的钾离子滴速、总浓度、每日补钾量是否合理。详细警示信息中可展示计算过程。</w:t>
      </w:r>
    </w:p>
    <w:p w14:paraId="640EC299">
      <w:pPr>
        <w:widowControl/>
        <w:numPr>
          <w:ilvl w:val="0"/>
          <w:numId w:val="209"/>
        </w:numPr>
        <w:ind w:left="0" w:firstLine="480" w:firstLineChars="200"/>
        <w:rPr>
          <w:rFonts w:cs="Arial"/>
          <w:color w:val="auto"/>
        </w:rPr>
      </w:pPr>
      <w:r>
        <w:rPr>
          <w:rFonts w:hint="eastAsia" w:cs="Arial"/>
          <w:color w:val="auto"/>
        </w:rPr>
        <w:t>TPN处方审查：系统可审查TPN处方的营养均衡性、肠外营养浓度、溶液中渗透压浓度，详细警示信息中可展示计算过程。</w:t>
      </w:r>
    </w:p>
    <w:p w14:paraId="27A2CCA9">
      <w:pPr>
        <w:widowControl/>
        <w:numPr>
          <w:ilvl w:val="0"/>
          <w:numId w:val="209"/>
        </w:numPr>
        <w:ind w:left="0" w:firstLine="480" w:firstLineChars="200"/>
        <w:rPr>
          <w:rFonts w:cs="Arial"/>
          <w:color w:val="auto"/>
        </w:rPr>
      </w:pPr>
      <w:r>
        <w:rPr>
          <w:rFonts w:hint="eastAsia" w:cs="Arial"/>
          <w:color w:val="auto"/>
        </w:rPr>
        <w:t>门诊输液审查</w:t>
      </w:r>
      <w:r>
        <w:rPr>
          <w:rFonts w:cs="Arial"/>
          <w:color w:val="auto"/>
        </w:rPr>
        <w:t xml:space="preserve">: </w:t>
      </w:r>
      <w:r>
        <w:rPr>
          <w:rFonts w:hint="eastAsia" w:cs="Arial"/>
          <w:color w:val="auto"/>
        </w:rPr>
        <w:t>系统可按用户设置的门诊限制输液科室、疾病对处方超科室权限、超适应症输液进行审查提示。</w:t>
      </w:r>
    </w:p>
    <w:p w14:paraId="1CAB7A51">
      <w:pPr>
        <w:widowControl/>
        <w:numPr>
          <w:ilvl w:val="0"/>
          <w:numId w:val="209"/>
        </w:numPr>
        <w:ind w:left="0" w:firstLine="480" w:firstLineChars="200"/>
        <w:rPr>
          <w:rFonts w:cs="Arial"/>
          <w:color w:val="auto"/>
        </w:rPr>
      </w:pPr>
      <w:r>
        <w:rPr>
          <w:rFonts w:hint="eastAsia" w:cs="Arial"/>
          <w:color w:val="auto"/>
        </w:rPr>
        <w:t>禁忌症审查：结合患者诊断和</w:t>
      </w:r>
      <w:r>
        <w:rPr>
          <w:rFonts w:cs="Arial"/>
          <w:color w:val="auto"/>
        </w:rPr>
        <w:t>病生状态</w:t>
      </w:r>
      <w:r>
        <w:rPr>
          <w:rFonts w:hint="eastAsia" w:cs="Arial"/>
          <w:color w:val="auto"/>
        </w:rPr>
        <w:t>信息，审查处方（医嘱）中是否存在该患者禁用的药品，包括中药。每一条警示信息都有详细的参考文献出处。</w:t>
      </w:r>
    </w:p>
    <w:p w14:paraId="4D21E857">
      <w:pPr>
        <w:widowControl/>
        <w:numPr>
          <w:ilvl w:val="0"/>
          <w:numId w:val="209"/>
        </w:numPr>
        <w:ind w:left="0" w:firstLine="480" w:firstLineChars="200"/>
        <w:rPr>
          <w:rFonts w:cs="Arial"/>
          <w:color w:val="auto"/>
        </w:rPr>
      </w:pPr>
      <w:r>
        <w:rPr>
          <w:rFonts w:hint="eastAsia" w:cs="Arial"/>
          <w:color w:val="auto"/>
        </w:rPr>
        <w:t>不良反应审查：结合患者的诊断和病生状态信息，审查处方（医嘱）中是否存在可能引起或加重患者当前病理状况的药品。系统相关审查数据应包括国家药监局发布的不良反应通报。每一条警示信息都有详细的参考文献出处。</w:t>
      </w:r>
    </w:p>
    <w:p w14:paraId="46872BC1">
      <w:pPr>
        <w:widowControl/>
        <w:numPr>
          <w:ilvl w:val="0"/>
          <w:numId w:val="209"/>
        </w:numPr>
        <w:ind w:left="0" w:firstLine="480" w:firstLineChars="200"/>
        <w:rPr>
          <w:rFonts w:cs="Arial"/>
          <w:color w:val="auto"/>
        </w:rPr>
      </w:pPr>
      <w:r>
        <w:rPr>
          <w:rFonts w:hint="eastAsia" w:cs="Arial"/>
          <w:color w:val="auto"/>
        </w:rPr>
        <w:t>特殊人群用药审查：根据患者年龄和病生状态判断审查处方（医嘱）中是否存在儿童、成人、老人禁用或慎用的药品。每一条警示信息都有详细的参考文献出处。</w:t>
      </w:r>
    </w:p>
    <w:p w14:paraId="7272280F">
      <w:pPr>
        <w:widowControl/>
        <w:numPr>
          <w:ilvl w:val="0"/>
          <w:numId w:val="209"/>
        </w:numPr>
        <w:ind w:left="0" w:firstLine="480" w:firstLineChars="200"/>
        <w:rPr>
          <w:rFonts w:cs="Arial"/>
          <w:color w:val="auto"/>
        </w:rPr>
      </w:pPr>
      <w:r>
        <w:rPr>
          <w:rFonts w:hint="eastAsia" w:cs="Arial"/>
          <w:color w:val="auto"/>
        </w:rPr>
        <w:t>妊娠哺乳用药审查：当患者为妊娠期或哺乳期妇女时，可以结合患者诊断和妊娠、哺乳状态，审查处方（医嘱）中是否存在患者禁用或慎用的药品。每一条警示信息都有详细的参考文献出处。</w:t>
      </w:r>
    </w:p>
    <w:p w14:paraId="43897801">
      <w:pPr>
        <w:widowControl/>
        <w:numPr>
          <w:ilvl w:val="0"/>
          <w:numId w:val="209"/>
        </w:numPr>
        <w:ind w:left="0" w:firstLine="480" w:firstLineChars="200"/>
        <w:rPr>
          <w:rFonts w:cs="Arial"/>
          <w:color w:val="auto"/>
        </w:rPr>
      </w:pPr>
      <w:r>
        <w:rPr>
          <w:rFonts w:hint="eastAsia" w:cs="Arial"/>
          <w:color w:val="auto"/>
        </w:rPr>
        <w:t>性别用药审查：审查处方（医嘱）药物是否存在不适用于当前患者性别的药品。</w:t>
      </w:r>
    </w:p>
    <w:p w14:paraId="576475A7">
      <w:pPr>
        <w:widowControl/>
        <w:numPr>
          <w:ilvl w:val="0"/>
          <w:numId w:val="209"/>
        </w:numPr>
        <w:ind w:left="0" w:firstLine="480" w:firstLineChars="200"/>
        <w:rPr>
          <w:rFonts w:cs="Arial"/>
          <w:color w:val="auto"/>
        </w:rPr>
      </w:pPr>
      <w:r>
        <w:rPr>
          <w:rFonts w:hint="eastAsia" w:cs="Arial"/>
          <w:color w:val="auto"/>
        </w:rPr>
        <w:t>重复用药审查</w:t>
      </w:r>
      <w:r>
        <w:rPr>
          <w:rFonts w:cs="Arial"/>
          <w:color w:val="auto"/>
        </w:rPr>
        <w:t>：</w:t>
      </w:r>
      <w:r>
        <w:rPr>
          <w:rFonts w:hint="eastAsia" w:cs="Arial"/>
          <w:color w:val="auto"/>
        </w:rPr>
        <w:t>对</w:t>
      </w:r>
      <w:r>
        <w:rPr>
          <w:rFonts w:cs="Arial"/>
          <w:color w:val="auto"/>
        </w:rPr>
        <w:t>处方（医嘱）中</w:t>
      </w:r>
      <w:r>
        <w:rPr>
          <w:rFonts w:hint="eastAsia" w:cs="Arial"/>
          <w:color w:val="auto"/>
        </w:rPr>
        <w:t>多个药品进行重复用药审查，支持根据住院药品用药时间段是否重合进行审查配置。</w:t>
      </w:r>
    </w:p>
    <w:p w14:paraId="46CDFBBE">
      <w:pPr>
        <w:widowControl/>
        <w:ind w:firstLine="480"/>
        <w:rPr>
          <w:rFonts w:cs="Arial"/>
          <w:color w:val="auto"/>
        </w:rPr>
      </w:pPr>
      <w:r>
        <w:rPr>
          <w:rFonts w:hint="eastAsia" w:cs="Arial"/>
          <w:color w:val="auto"/>
        </w:rPr>
        <w:t>17.1</w:t>
      </w:r>
      <w:r>
        <w:rPr>
          <w:rFonts w:cs="Arial"/>
          <w:color w:val="auto"/>
        </w:rPr>
        <w:t>是否</w:t>
      </w:r>
      <w:r>
        <w:rPr>
          <w:rFonts w:hint="eastAsia" w:cs="Arial"/>
          <w:color w:val="auto"/>
        </w:rPr>
        <w:t>存在同一有效药物成分；</w:t>
      </w:r>
    </w:p>
    <w:p w14:paraId="1B3A5475">
      <w:pPr>
        <w:widowControl/>
        <w:ind w:firstLine="480"/>
        <w:rPr>
          <w:rFonts w:cs="Arial"/>
          <w:color w:val="auto"/>
        </w:rPr>
      </w:pPr>
      <w:r>
        <w:rPr>
          <w:rFonts w:hint="eastAsia" w:cs="Arial"/>
          <w:color w:val="auto"/>
        </w:rPr>
        <w:t>17.2药理作用分类同属一类。</w:t>
      </w:r>
    </w:p>
    <w:p w14:paraId="1C42F445">
      <w:pPr>
        <w:numPr>
          <w:ilvl w:val="0"/>
          <w:numId w:val="209"/>
        </w:numPr>
        <w:ind w:left="0" w:firstLine="480" w:firstLineChars="200"/>
        <w:rPr>
          <w:rFonts w:cs="Arial"/>
          <w:color w:val="auto"/>
        </w:rPr>
      </w:pPr>
      <w:r>
        <w:rPr>
          <w:rFonts w:hint="eastAsia" w:cs="Arial"/>
          <w:color w:val="auto"/>
        </w:rPr>
        <w:t>适应症审查：根据患者的疾病诊断信息，审查处方（医嘱）中药品的适应症是否与患者的疾病情况相符。</w:t>
      </w:r>
    </w:p>
    <w:p w14:paraId="527C2E8A">
      <w:pPr>
        <w:widowControl/>
        <w:numPr>
          <w:ilvl w:val="0"/>
          <w:numId w:val="209"/>
        </w:numPr>
        <w:ind w:left="0" w:firstLine="480" w:firstLineChars="200"/>
        <w:rPr>
          <w:rFonts w:cs="Arial"/>
          <w:color w:val="auto"/>
        </w:rPr>
      </w:pPr>
      <w:r>
        <w:rPr>
          <w:rFonts w:cs="Arial"/>
          <w:color w:val="auto"/>
        </w:rPr>
        <w:t>药物过敏</w:t>
      </w:r>
      <w:r>
        <w:rPr>
          <w:rFonts w:hint="eastAsia" w:cs="Arial"/>
          <w:color w:val="auto"/>
        </w:rPr>
        <w:t>审查</w:t>
      </w:r>
      <w:r>
        <w:rPr>
          <w:rFonts w:cs="Arial"/>
          <w:color w:val="auto"/>
        </w:rPr>
        <w:t>：</w:t>
      </w:r>
      <w:r>
        <w:rPr>
          <w:rFonts w:hint="eastAsia" w:cs="Arial"/>
          <w:color w:val="auto"/>
        </w:rPr>
        <w:t>结合</w:t>
      </w:r>
      <w:r>
        <w:rPr>
          <w:rFonts w:cs="Arial"/>
          <w:color w:val="auto"/>
        </w:rPr>
        <w:t>患者既往药物过敏史</w:t>
      </w:r>
      <w:r>
        <w:rPr>
          <w:rFonts w:hint="eastAsia" w:cs="Arial"/>
          <w:color w:val="auto"/>
        </w:rPr>
        <w:t>、</w:t>
      </w:r>
      <w:r>
        <w:rPr>
          <w:rFonts w:cs="Arial"/>
          <w:color w:val="auto"/>
        </w:rPr>
        <w:t>皮试结果，</w:t>
      </w:r>
      <w:r>
        <w:rPr>
          <w:rFonts w:hint="eastAsia" w:cs="Arial"/>
          <w:color w:val="auto"/>
        </w:rPr>
        <w:t>审查</w:t>
      </w:r>
      <w:r>
        <w:rPr>
          <w:rFonts w:cs="Arial"/>
          <w:color w:val="auto"/>
        </w:rPr>
        <w:t>处方（医嘱）中是否</w:t>
      </w:r>
      <w:r>
        <w:rPr>
          <w:rFonts w:hint="eastAsia" w:cs="Arial"/>
          <w:color w:val="auto"/>
        </w:rPr>
        <w:t>存在</w:t>
      </w:r>
      <w:r>
        <w:rPr>
          <w:rFonts w:cs="Arial"/>
          <w:color w:val="auto"/>
        </w:rPr>
        <w:t>可能引起病人过敏</w:t>
      </w:r>
      <w:r>
        <w:rPr>
          <w:rFonts w:hint="eastAsia" w:cs="Arial"/>
          <w:color w:val="auto"/>
        </w:rPr>
        <w:t>或者交叉过敏</w:t>
      </w:r>
      <w:r>
        <w:rPr>
          <w:rFonts w:cs="Arial"/>
          <w:color w:val="auto"/>
        </w:rPr>
        <w:t>的药物。</w:t>
      </w:r>
    </w:p>
    <w:p w14:paraId="396E11D0">
      <w:pPr>
        <w:widowControl/>
        <w:numPr>
          <w:ilvl w:val="0"/>
          <w:numId w:val="209"/>
        </w:numPr>
        <w:ind w:left="0" w:firstLine="480" w:firstLineChars="200"/>
        <w:rPr>
          <w:rFonts w:cs="Arial"/>
          <w:color w:val="auto"/>
        </w:rPr>
      </w:pPr>
      <w:r>
        <w:rPr>
          <w:rFonts w:hint="eastAsia" w:cs="Arial"/>
          <w:color w:val="auto"/>
        </w:rPr>
        <w:t>药物检验值审查：可实时结合患者检验值审查药物使用是否合理。</w:t>
      </w:r>
    </w:p>
    <w:p w14:paraId="14F63BEA">
      <w:pPr>
        <w:widowControl/>
        <w:numPr>
          <w:ilvl w:val="0"/>
          <w:numId w:val="209"/>
        </w:numPr>
        <w:ind w:left="0" w:firstLine="480" w:firstLineChars="200"/>
        <w:rPr>
          <w:rFonts w:cs="Arial"/>
          <w:color w:val="auto"/>
        </w:rPr>
      </w:pPr>
      <w:r>
        <w:rPr>
          <w:rFonts w:hint="eastAsia" w:cs="Arial"/>
          <w:color w:val="auto"/>
        </w:rPr>
        <w:t>规范性审查：根据《处方管理办法》审查医生开出的处方是否规范，如是否填写诊断、是否按规定填写年龄等。</w:t>
      </w:r>
    </w:p>
    <w:p w14:paraId="4035B9CF">
      <w:pPr>
        <w:widowControl/>
        <w:numPr>
          <w:ilvl w:val="0"/>
          <w:numId w:val="209"/>
        </w:numPr>
        <w:ind w:left="0" w:firstLine="480" w:firstLineChars="200"/>
        <w:rPr>
          <w:rFonts w:cs="Arial"/>
          <w:color w:val="auto"/>
        </w:rPr>
      </w:pPr>
      <w:r>
        <w:rPr>
          <w:rFonts w:hint="eastAsia" w:cs="Arial"/>
          <w:color w:val="auto"/>
        </w:rPr>
        <w:t>医保审查：根据国家医保和省医保报销限定要求，对处方药品是否符合报销规定进行审查。</w:t>
      </w:r>
    </w:p>
    <w:p w14:paraId="7E67210E">
      <w:pPr>
        <w:widowControl/>
        <w:numPr>
          <w:ilvl w:val="0"/>
          <w:numId w:val="209"/>
        </w:numPr>
        <w:ind w:left="0" w:firstLine="480" w:firstLineChars="200"/>
        <w:rPr>
          <w:rFonts w:cs="Arial"/>
          <w:color w:val="auto"/>
        </w:rPr>
      </w:pPr>
      <w:r>
        <w:rPr>
          <w:rFonts w:hint="eastAsia" w:cs="Arial"/>
          <w:color w:val="auto"/>
        </w:rPr>
        <w:t>监测指标审查：可结合医嘱药品提醒医生应做相关检查，如果住院病人在使用这些药品期间未监测这些指标，则给予警示。</w:t>
      </w:r>
    </w:p>
    <w:p w14:paraId="2F08E5D0">
      <w:pPr>
        <w:numPr>
          <w:ilvl w:val="0"/>
          <w:numId w:val="209"/>
        </w:numPr>
        <w:ind w:left="0" w:firstLine="480" w:firstLineChars="200"/>
        <w:rPr>
          <w:rFonts w:cs="Arial"/>
          <w:color w:val="auto"/>
        </w:rPr>
      </w:pPr>
      <w:r>
        <w:rPr>
          <w:rFonts w:hint="eastAsia" w:cs="Arial"/>
          <w:color w:val="auto"/>
        </w:rPr>
        <w:t>越权用药审查：审查医生开出的处方药品是否在其可以使用的权限范围内，如监控医生越级使用抗菌药物、越级使用特殊管制药品等。</w:t>
      </w:r>
    </w:p>
    <w:p w14:paraId="09ECD856">
      <w:pPr>
        <w:numPr>
          <w:ilvl w:val="0"/>
          <w:numId w:val="209"/>
        </w:numPr>
        <w:ind w:left="0" w:firstLine="480" w:firstLineChars="200"/>
        <w:rPr>
          <w:rFonts w:cs="Arial"/>
          <w:color w:val="auto"/>
        </w:rPr>
      </w:pPr>
      <w:r>
        <w:rPr>
          <w:rFonts w:hint="eastAsia" w:cs="Arial"/>
          <w:color w:val="auto"/>
        </w:rPr>
        <w:t>围术期用药审查：审查在围手术期内使用抗菌药物的品种是否合理，使用抗菌药物的时机和时限是否合理。</w:t>
      </w:r>
    </w:p>
    <w:p w14:paraId="6E2E6CF0">
      <w:pPr>
        <w:numPr>
          <w:ilvl w:val="0"/>
          <w:numId w:val="209"/>
        </w:numPr>
        <w:ind w:left="0" w:firstLine="480" w:firstLineChars="200"/>
        <w:rPr>
          <w:rFonts w:cs="Arial"/>
          <w:color w:val="auto"/>
        </w:rPr>
      </w:pPr>
      <w:r>
        <w:rPr>
          <w:rFonts w:hint="eastAsia" w:cs="Arial"/>
          <w:color w:val="auto"/>
        </w:rPr>
        <w:t>细菌耐药率提示：对医生处方（医嘱）中药品的本院耐药情况进行提示包括哪些细菌对处方药品耐药和耐药率。</w:t>
      </w:r>
    </w:p>
    <w:p w14:paraId="6888DD80">
      <w:pPr>
        <w:pStyle w:val="14"/>
        <w:bidi w:val="0"/>
        <w:rPr>
          <w:color w:val="auto"/>
        </w:rPr>
      </w:pPr>
      <w:r>
        <w:rPr>
          <w:rFonts w:hint="eastAsia"/>
          <w:color w:val="auto"/>
        </w:rPr>
        <w:tab/>
      </w:r>
      <w:r>
        <w:rPr>
          <w:rFonts w:hint="eastAsia"/>
          <w:color w:val="auto"/>
        </w:rPr>
        <w:t>处方点评系统</w:t>
      </w:r>
    </w:p>
    <w:p w14:paraId="2FE42B1D">
      <w:pPr>
        <w:bidi w:val="0"/>
        <w:rPr>
          <w:color w:val="auto"/>
        </w:rPr>
      </w:pPr>
      <w:r>
        <w:rPr>
          <w:color w:val="auto"/>
        </w:rPr>
        <w:t>依据国家规范实现电子化处方点评闭环，支持28项点评点与双盲复核，通过联用图分析及科室排名统计推动用药质量改进。</w:t>
      </w:r>
    </w:p>
    <w:p w14:paraId="4AC5AC96">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62ADFFD6">
      <w:pPr>
        <w:ind w:firstLine="480"/>
        <w:rPr>
          <w:color w:val="auto"/>
        </w:rPr>
      </w:pPr>
      <w:r>
        <w:rPr>
          <w:rFonts w:hint="eastAsia"/>
          <w:color w:val="auto"/>
        </w:rPr>
        <w:t>“系统”</w:t>
      </w:r>
      <w:r>
        <w:rPr>
          <w:color w:val="auto"/>
        </w:rPr>
        <w:t>结合《医院处方点评管理规范（试行）》、《处方管理办法》、《处方点评监测网工作手册》、《三级综合医院评审标准实施细则》、《2013</w:t>
      </w:r>
      <w:r>
        <w:rPr>
          <w:rFonts w:hint="eastAsia"/>
          <w:color w:val="auto"/>
        </w:rPr>
        <w:t>年全国抗菌药物专项整治活动督导检查手册》、《</w:t>
      </w:r>
      <w:r>
        <w:rPr>
          <w:color w:val="auto"/>
        </w:rPr>
        <w:t>2015</w:t>
      </w:r>
      <w:r>
        <w:rPr>
          <w:rFonts w:hint="eastAsia"/>
          <w:color w:val="auto"/>
        </w:rPr>
        <w:t>年抗菌药物临床指导原则》等处方点评相关政策要求，实现对医院处方（医嘱）的电子化评价功能。</w:t>
      </w:r>
    </w:p>
    <w:p w14:paraId="66676334">
      <w:pPr>
        <w:ind w:firstLine="480"/>
        <w:rPr>
          <w:color w:val="auto"/>
        </w:rPr>
      </w:pPr>
      <w:r>
        <w:rPr>
          <w:rFonts w:hint="eastAsia"/>
          <w:color w:val="auto"/>
        </w:rPr>
        <w:t>“系统”按照</w:t>
      </w:r>
      <w:r>
        <w:rPr>
          <w:color w:val="auto"/>
        </w:rPr>
        <w:t>《医院处方点评管理规范（试行）》</w:t>
      </w:r>
      <w:r>
        <w:rPr>
          <w:rFonts w:hint="eastAsia"/>
          <w:color w:val="auto"/>
        </w:rPr>
        <w:t>要求的</w:t>
      </w:r>
      <w:r>
        <w:rPr>
          <w:color w:val="auto"/>
        </w:rPr>
        <w:t>28</w:t>
      </w:r>
      <w:r>
        <w:rPr>
          <w:rFonts w:hint="eastAsia"/>
          <w:color w:val="auto"/>
        </w:rPr>
        <w:t>项点评点对处方、医嘱进行点评，并以点评点呈现处方问题。</w:t>
      </w:r>
    </w:p>
    <w:p w14:paraId="723923FF">
      <w:pPr>
        <w:ind w:firstLine="480"/>
        <w:rPr>
          <w:color w:val="auto"/>
        </w:rPr>
      </w:pPr>
      <w:r>
        <w:rPr>
          <w:rFonts w:hint="eastAsia"/>
          <w:color w:val="auto"/>
        </w:rPr>
        <w:t>“系统”能对剂量范围（包含正常使用剂量、肝损害剂量、肾损害剂量）、超多日用量、药物相互作用、体外配伍、配伍浓度、钾离子浓度、药物禁忌、不良反应、门诊输液、超适应症、特殊人群用药（包含老人用药、儿童用药、妊娠用药、哺乳用药、成人用药、性别用药）、药物过敏、给药途径、重复用药、越权用药、围术期用药、细菌耐药率、肠外营养液等不合理用药情况进行程序点评，并提供规则自定义功能，使得点评结果更加符合医院实际用药情况。</w:t>
      </w:r>
    </w:p>
    <w:p w14:paraId="59B6E342">
      <w:pPr>
        <w:ind w:firstLine="480"/>
        <w:rPr>
          <w:color w:val="auto"/>
        </w:rPr>
      </w:pPr>
      <w:r>
        <w:rPr>
          <w:rFonts w:hint="eastAsia"/>
          <w:color w:val="auto"/>
        </w:rPr>
        <w:t>“系统”能实现从抽样、分配、求助、专家复核、反馈医生、医生申述、药师审结的点评闭环管理，并提供求助、复核、反馈、申述的消息提示。点评结果反馈医生后，医生（工作站）可直接填写申述理由或确认，无需再登录系统查看点评结果。</w:t>
      </w:r>
    </w:p>
    <w:p w14:paraId="093CC7BF">
      <w:pPr>
        <w:ind w:firstLine="480"/>
        <w:rPr>
          <w:color w:val="auto"/>
        </w:rPr>
      </w:pPr>
      <w:r>
        <w:rPr>
          <w:rFonts w:hint="eastAsia"/>
          <w:color w:val="auto"/>
        </w:rPr>
        <w:t>“系统”能提供双盲点评，在需要时隐藏医生、药师的姓名。</w:t>
      </w:r>
    </w:p>
    <w:p w14:paraId="23F20CD9">
      <w:pPr>
        <w:ind w:firstLine="480"/>
        <w:rPr>
          <w:color w:val="auto"/>
        </w:rPr>
      </w:pPr>
      <w:r>
        <w:rPr>
          <w:rFonts w:hint="eastAsia"/>
          <w:color w:val="auto"/>
        </w:rPr>
        <w:t>“系统”提供住院患者药品</w:t>
      </w:r>
      <w:r>
        <w:rPr>
          <w:color w:val="auto"/>
        </w:rPr>
        <w:t>联用图、时序图</w:t>
      </w:r>
      <w:r>
        <w:rPr>
          <w:rFonts w:hint="eastAsia"/>
          <w:color w:val="auto"/>
        </w:rPr>
        <w:t>。应能自定义选择患者医嘱生成联用图，</w:t>
      </w:r>
      <w:r>
        <w:rPr>
          <w:color w:val="auto"/>
        </w:rPr>
        <w:t>直观查看药品使用（联用）情况</w:t>
      </w:r>
      <w:r>
        <w:rPr>
          <w:rFonts w:hint="eastAsia"/>
          <w:color w:val="auto"/>
        </w:rPr>
        <w:t>。</w:t>
      </w:r>
    </w:p>
    <w:p w14:paraId="4C596140">
      <w:pPr>
        <w:ind w:firstLine="480"/>
        <w:rPr>
          <w:color w:val="auto"/>
        </w:rPr>
      </w:pPr>
      <w:r>
        <w:rPr>
          <w:rFonts w:hint="eastAsia"/>
          <w:color w:val="auto"/>
        </w:rPr>
        <w:t>“系统”高亮显示被点评药品；当选择某一（类）药品时，将其成组药品一并显示。</w:t>
      </w:r>
    </w:p>
    <w:p w14:paraId="104C2395">
      <w:pPr>
        <w:ind w:firstLine="480"/>
        <w:rPr>
          <w:color w:val="auto"/>
        </w:rPr>
      </w:pPr>
      <w:r>
        <w:rPr>
          <w:rFonts w:hint="eastAsia"/>
          <w:color w:val="auto"/>
        </w:rPr>
        <w:t>“系统”</w:t>
      </w:r>
      <w:r>
        <w:rPr>
          <w:color w:val="auto"/>
        </w:rPr>
        <w:t>提供点评任务平均分配、选择分配、按管辖科室</w:t>
      </w:r>
      <w:r>
        <w:rPr>
          <w:rFonts w:hint="eastAsia"/>
          <w:color w:val="auto"/>
        </w:rPr>
        <w:t>、按药品</w:t>
      </w:r>
      <w:r>
        <w:rPr>
          <w:color w:val="auto"/>
        </w:rPr>
        <w:t>（</w:t>
      </w:r>
      <w:r>
        <w:rPr>
          <w:rFonts w:hint="eastAsia"/>
          <w:color w:val="auto"/>
        </w:rPr>
        <w:t>用药排名医嘱点评）</w:t>
      </w:r>
      <w:r>
        <w:rPr>
          <w:color w:val="auto"/>
        </w:rPr>
        <w:t>分配功能，点评人只能查看自己相关任务的病人信息，无权查看他</w:t>
      </w:r>
      <w:r>
        <w:rPr>
          <w:rFonts w:hint="eastAsia"/>
          <w:color w:val="auto"/>
        </w:rPr>
        <w:t>人的任务信息</w:t>
      </w:r>
      <w:r>
        <w:rPr>
          <w:color w:val="auto"/>
        </w:rPr>
        <w:t xml:space="preserve">。 </w:t>
      </w:r>
    </w:p>
    <w:p w14:paraId="147E1B4A">
      <w:pPr>
        <w:ind w:firstLine="480"/>
        <w:rPr>
          <w:color w:val="auto"/>
        </w:rPr>
      </w:pPr>
      <w:r>
        <w:rPr>
          <w:rFonts w:hint="eastAsia"/>
          <w:color w:val="auto"/>
        </w:rPr>
        <w:t>“系统”</w:t>
      </w:r>
      <w:r>
        <w:rPr>
          <w:color w:val="auto"/>
        </w:rPr>
        <w:t>能自动生成</w:t>
      </w:r>
      <w:r>
        <w:rPr>
          <w:rFonts w:hint="eastAsia"/>
          <w:color w:val="auto"/>
        </w:rPr>
        <w:t>点评工作表、</w:t>
      </w:r>
      <w:r>
        <w:rPr>
          <w:color w:val="auto"/>
        </w:rPr>
        <w:t>点评结果</w:t>
      </w:r>
      <w:r>
        <w:rPr>
          <w:rFonts w:hint="eastAsia"/>
          <w:color w:val="auto"/>
        </w:rPr>
        <w:t>统计表（</w:t>
      </w:r>
      <w:r>
        <w:rPr>
          <w:color w:val="auto"/>
        </w:rPr>
        <w:t>全院/科室/医生</w:t>
      </w:r>
      <w:r>
        <w:rPr>
          <w:rFonts w:hint="eastAsia"/>
          <w:color w:val="auto"/>
        </w:rPr>
        <w:t>）</w:t>
      </w:r>
      <w:r>
        <w:rPr>
          <w:color w:val="auto"/>
        </w:rPr>
        <w:t>、存在问题统计表</w:t>
      </w:r>
      <w:r>
        <w:rPr>
          <w:rFonts w:hint="eastAsia"/>
          <w:color w:val="auto"/>
        </w:rPr>
        <w:t>（</w:t>
      </w:r>
      <w:r>
        <w:rPr>
          <w:color w:val="auto"/>
        </w:rPr>
        <w:t>全院/科室/医生/</w:t>
      </w:r>
      <w:r>
        <w:rPr>
          <w:rFonts w:hint="eastAsia"/>
          <w:color w:val="auto"/>
        </w:rPr>
        <w:t>药品）、点评结果差异明细表（对比程序点评与人工点评的差异）、点评问题明细表（仅显示问题处方</w:t>
      </w:r>
      <w:r>
        <w:rPr>
          <w:color w:val="auto"/>
        </w:rPr>
        <w:t>/</w:t>
      </w:r>
      <w:r>
        <w:rPr>
          <w:rFonts w:hint="eastAsia"/>
          <w:color w:val="auto"/>
        </w:rPr>
        <w:t>医嘱），可追溯到原始处方及问题药品。</w:t>
      </w:r>
    </w:p>
    <w:p w14:paraId="20014A52">
      <w:pPr>
        <w:ind w:firstLine="480"/>
        <w:rPr>
          <w:color w:val="auto"/>
        </w:rPr>
      </w:pPr>
      <w:r>
        <w:rPr>
          <w:rFonts w:hint="eastAsia"/>
          <w:color w:val="auto"/>
        </w:rPr>
        <w:t>“系统”</w:t>
      </w:r>
      <w:r>
        <w:rPr>
          <w:color w:val="auto"/>
        </w:rPr>
        <w:t>能根据药品特点</w:t>
      </w:r>
      <w:r>
        <w:rPr>
          <w:rFonts w:hint="eastAsia"/>
          <w:color w:val="auto"/>
        </w:rPr>
        <w:t>，</w:t>
      </w:r>
      <w:r>
        <w:rPr>
          <w:color w:val="auto"/>
        </w:rPr>
        <w:t>实现精细化点评</w:t>
      </w:r>
      <w:r>
        <w:rPr>
          <w:rFonts w:hint="eastAsia"/>
          <w:color w:val="auto"/>
        </w:rPr>
        <w:t>。</w:t>
      </w:r>
      <w:r>
        <w:rPr>
          <w:color w:val="auto"/>
        </w:rPr>
        <w:t>应包含以下点评模块：</w:t>
      </w:r>
    </w:p>
    <w:p w14:paraId="0E318414">
      <w:pPr>
        <w:ind w:firstLine="480"/>
        <w:rPr>
          <w:color w:val="auto"/>
        </w:rPr>
      </w:pPr>
      <w:r>
        <w:rPr>
          <w:rFonts w:hint="eastAsia"/>
          <w:color w:val="auto"/>
        </w:rPr>
        <w:t>（1）门急诊处方点评功能（全处方）</w:t>
      </w:r>
    </w:p>
    <w:p w14:paraId="684BD2FE">
      <w:pPr>
        <w:ind w:firstLine="480"/>
        <w:rPr>
          <w:color w:val="auto"/>
        </w:rPr>
      </w:pPr>
      <w:r>
        <w:rPr>
          <w:rFonts w:hint="eastAsia"/>
          <w:color w:val="auto"/>
        </w:rPr>
        <w:t>（2）住院病人医嘱点评功能（全医嘱）</w:t>
      </w:r>
    </w:p>
    <w:p w14:paraId="4243FF7C">
      <w:pPr>
        <w:ind w:firstLine="480"/>
        <w:rPr>
          <w:color w:val="auto"/>
        </w:rPr>
      </w:pPr>
      <w:r>
        <w:rPr>
          <w:rFonts w:hint="eastAsia"/>
          <w:color w:val="auto"/>
        </w:rPr>
        <w:t>（3）门急诊处方</w:t>
      </w:r>
      <w:r>
        <w:rPr>
          <w:color w:val="auto"/>
        </w:rPr>
        <w:t>/</w:t>
      </w:r>
      <w:r>
        <w:rPr>
          <w:rFonts w:hint="eastAsia"/>
          <w:color w:val="auto"/>
        </w:rPr>
        <w:t>住院病人医嘱抗菌药物专项点评功能，含联合用药不适宜、更换药物不适宜、感染性疾病未进行病原学检查、药物选择不符合抗菌药物分级管理等点评点</w:t>
      </w:r>
    </w:p>
    <w:p w14:paraId="4EBA6EFF">
      <w:pPr>
        <w:ind w:firstLine="480"/>
        <w:rPr>
          <w:color w:val="auto"/>
        </w:rPr>
      </w:pPr>
      <w:r>
        <w:rPr>
          <w:rFonts w:hint="eastAsia"/>
          <w:color w:val="auto"/>
        </w:rPr>
        <w:t>（4）围手术期抗菌药物专项点评功能，含手术预防使用抗菌药物品种选择不合理、手术频繁换药/术前给药时机/手术预防用药疗程不合理等点评点</w:t>
      </w:r>
    </w:p>
    <w:p w14:paraId="6C67E12D">
      <w:pPr>
        <w:ind w:firstLine="480"/>
        <w:rPr>
          <w:color w:val="auto"/>
        </w:rPr>
      </w:pPr>
      <w:r>
        <w:rPr>
          <w:rFonts w:hint="eastAsia"/>
          <w:color w:val="auto"/>
        </w:rPr>
        <w:t>（</w:t>
      </w:r>
      <w:r>
        <w:rPr>
          <w:color w:val="auto"/>
        </w:rPr>
        <w:t>5</w:t>
      </w:r>
      <w:r>
        <w:rPr>
          <w:rFonts w:hint="eastAsia"/>
          <w:color w:val="auto"/>
        </w:rPr>
        <w:t>）门急诊处方</w:t>
      </w:r>
      <w:r>
        <w:rPr>
          <w:color w:val="auto"/>
        </w:rPr>
        <w:t>/</w:t>
      </w:r>
      <w:r>
        <w:rPr>
          <w:rFonts w:hint="eastAsia"/>
          <w:color w:val="auto"/>
        </w:rPr>
        <w:t>住院病人医嘱专项药品点评功能，可点评任意（类）药品</w:t>
      </w:r>
    </w:p>
    <w:p w14:paraId="5B8E65CF">
      <w:pPr>
        <w:ind w:firstLine="480"/>
        <w:rPr>
          <w:color w:val="auto"/>
        </w:rPr>
      </w:pPr>
      <w:r>
        <w:rPr>
          <w:rFonts w:hint="eastAsia"/>
          <w:color w:val="auto"/>
        </w:rPr>
        <w:t>（6）门急诊处方/住院病人医嘱抗肿瘤药物专项点评功能，含用药顺序错误、化疗方案不合理、越权使用等点评点</w:t>
      </w:r>
    </w:p>
    <w:p w14:paraId="610E4004">
      <w:pPr>
        <w:ind w:firstLine="480"/>
        <w:rPr>
          <w:color w:val="auto"/>
        </w:rPr>
      </w:pPr>
      <w:r>
        <w:rPr>
          <w:rFonts w:hint="eastAsia"/>
          <w:color w:val="auto"/>
        </w:rPr>
        <w:t>（7）住院病人特殊级抗菌药物（万古霉素等）专项点评功能，含越权用药、送检/药敏情况、用药申请/会诊情况等点评点</w:t>
      </w:r>
    </w:p>
    <w:p w14:paraId="67272A25">
      <w:pPr>
        <w:ind w:firstLine="480"/>
        <w:rPr>
          <w:color w:val="auto"/>
        </w:rPr>
      </w:pPr>
      <w:r>
        <w:rPr>
          <w:rFonts w:hint="eastAsia"/>
          <w:color w:val="auto"/>
        </w:rPr>
        <w:t>（</w:t>
      </w:r>
      <w:r>
        <w:rPr>
          <w:color w:val="auto"/>
        </w:rPr>
        <w:t>8）住院病人碳青霉烯类及</w:t>
      </w:r>
      <w:r>
        <w:rPr>
          <w:rFonts w:hint="eastAsia"/>
          <w:color w:val="auto"/>
        </w:rPr>
        <w:t>替加环素专项点评功能，应能针对适应证、品种选择、用法用量及配伍、给药方案、病原学及疗效评估、会诊权限等不合理评价项目进行人工评价及自动扣分。</w:t>
      </w:r>
      <w:r>
        <w:rPr>
          <w:color w:val="auto"/>
        </w:rPr>
        <w:t xml:space="preserve"> </w:t>
      </w:r>
    </w:p>
    <w:p w14:paraId="1798B43C">
      <w:pPr>
        <w:ind w:firstLine="480"/>
        <w:rPr>
          <w:color w:val="auto"/>
        </w:rPr>
      </w:pPr>
      <w:r>
        <w:rPr>
          <w:rFonts w:hint="eastAsia"/>
          <w:color w:val="auto"/>
        </w:rPr>
        <w:t>（9）住院病人人血白蛋白专项点评功能</w:t>
      </w:r>
    </w:p>
    <w:p w14:paraId="4B019878">
      <w:pPr>
        <w:ind w:firstLine="480"/>
        <w:rPr>
          <w:color w:val="auto"/>
        </w:rPr>
      </w:pPr>
      <w:r>
        <w:rPr>
          <w:rFonts w:hint="eastAsia"/>
          <w:color w:val="auto"/>
        </w:rPr>
        <w:t>（10）门（急）诊/住院病人中药饮片处方专项点评功能，含用法用量不适宜、联合用药不适宜或有不良相互作用、未按照君臣佐使顺序书写、超过规定味数、用药与辩证不符、中药配伍禁忌、未按要求标注药物调剂、煎煮等特殊要求、开具毒麻饮片未执行国家有关规定等点评点</w:t>
      </w:r>
    </w:p>
    <w:p w14:paraId="3DB8B203">
      <w:pPr>
        <w:ind w:firstLine="480"/>
        <w:rPr>
          <w:color w:val="auto"/>
        </w:rPr>
      </w:pPr>
      <w:r>
        <w:rPr>
          <w:rFonts w:hint="eastAsia"/>
          <w:color w:val="auto"/>
        </w:rPr>
        <w:t>（11）门（急）诊中成药处方专项点评功能</w:t>
      </w:r>
    </w:p>
    <w:p w14:paraId="11224D3E">
      <w:pPr>
        <w:ind w:firstLine="480"/>
        <w:rPr>
          <w:color w:val="auto"/>
        </w:rPr>
      </w:pPr>
      <w:r>
        <w:rPr>
          <w:rFonts w:hint="eastAsia"/>
          <w:color w:val="auto"/>
        </w:rPr>
        <w:t>（12</w:t>
      </w:r>
      <w:r>
        <w:rPr>
          <w:color w:val="auto"/>
        </w:rPr>
        <w:t>）用药排名医嘱点评功能</w:t>
      </w:r>
      <w:r>
        <w:rPr>
          <w:rFonts w:hint="eastAsia"/>
          <w:color w:val="auto"/>
        </w:rPr>
        <w:t>，应能对门急诊/住院使用前</w:t>
      </w:r>
      <w:r>
        <w:rPr>
          <w:color w:val="auto"/>
        </w:rPr>
        <w:t>N</w:t>
      </w:r>
      <w:r>
        <w:rPr>
          <w:rFonts w:hint="eastAsia"/>
          <w:color w:val="auto"/>
        </w:rPr>
        <w:t>位药品的科室、（开嘱）医生或特定药品使用前</w:t>
      </w:r>
      <w:r>
        <w:rPr>
          <w:color w:val="auto"/>
        </w:rPr>
        <w:t>N</w:t>
      </w:r>
      <w:r>
        <w:rPr>
          <w:rFonts w:hint="eastAsia"/>
          <w:color w:val="auto"/>
        </w:rPr>
        <w:t>位的科室所开具处方/医嘱进行点评</w:t>
      </w:r>
    </w:p>
    <w:p w14:paraId="326FED88">
      <w:pPr>
        <w:ind w:firstLine="480"/>
        <w:rPr>
          <w:color w:val="auto"/>
        </w:rPr>
      </w:pPr>
      <w:r>
        <w:rPr>
          <w:rFonts w:hint="eastAsia"/>
          <w:color w:val="auto"/>
        </w:rPr>
        <w:t>（13）住院用药医嘱点评功能，可按</w:t>
      </w:r>
      <w:r>
        <w:rPr>
          <w:color w:val="auto"/>
        </w:rPr>
        <w:t>开嘱医生抽选患者医嘱进行点评</w:t>
      </w:r>
    </w:p>
    <w:p w14:paraId="07CF0CD7">
      <w:pPr>
        <w:ind w:firstLine="480"/>
        <w:rPr>
          <w:color w:val="auto"/>
        </w:rPr>
      </w:pPr>
      <w:r>
        <w:rPr>
          <w:rFonts w:hint="eastAsia"/>
          <w:color w:val="auto"/>
        </w:rPr>
        <w:t>（14）出院带药医嘱点评功能</w:t>
      </w:r>
    </w:p>
    <w:p w14:paraId="32C84BBE">
      <w:pPr>
        <w:ind w:firstLine="480"/>
        <w:rPr>
          <w:color w:val="auto"/>
        </w:rPr>
      </w:pPr>
      <w:r>
        <w:rPr>
          <w:color w:val="auto"/>
        </w:rPr>
        <w:t>（</w:t>
      </w:r>
      <w:r>
        <w:rPr>
          <w:rFonts w:hint="eastAsia"/>
          <w:color w:val="auto"/>
        </w:rPr>
        <w:t>15</w:t>
      </w:r>
      <w:r>
        <w:rPr>
          <w:color w:val="auto"/>
        </w:rPr>
        <w:t>）门（急）诊基本药物专项点评功能</w:t>
      </w:r>
      <w:r>
        <w:rPr>
          <w:rFonts w:hint="eastAsia"/>
          <w:color w:val="auto"/>
        </w:rPr>
        <w:t>，含用药方案与《国家基本药物临床应用指南》不一致等点评点</w:t>
      </w:r>
    </w:p>
    <w:p w14:paraId="41662103">
      <w:pPr>
        <w:ind w:firstLine="480"/>
        <w:rPr>
          <w:color w:val="auto"/>
        </w:rPr>
      </w:pPr>
      <w:r>
        <w:rPr>
          <w:rFonts w:hint="eastAsia"/>
          <w:color w:val="auto"/>
        </w:rPr>
        <w:t>（16）住院病人肠外营养专项点评功能，可程序点评和计算热量（总热量/单位热量/非蛋白）、补液量、氮量、糖/脂肪乳/氨基酸总量、供给量及浓度、糖脂比、热氮比、丙氨酰谷氨酰胺用量占比、钠/钾/钙/镁/磷/电解质一价及二价阳离子浓度等指标</w:t>
      </w:r>
    </w:p>
    <w:p w14:paraId="55C30D75">
      <w:pPr>
        <w:pStyle w:val="14"/>
        <w:bidi w:val="0"/>
        <w:rPr>
          <w:color w:val="auto"/>
        </w:rPr>
      </w:pPr>
      <w:r>
        <w:rPr>
          <w:rFonts w:hint="eastAsia"/>
          <w:color w:val="auto"/>
          <w:lang w:val="en-US" w:eastAsia="zh-CN"/>
        </w:rPr>
        <w:t xml:space="preserve"> </w:t>
      </w:r>
      <w:r>
        <w:rPr>
          <w:rFonts w:hint="eastAsia"/>
          <w:color w:val="auto"/>
        </w:rPr>
        <w:t>实时审方系统</w:t>
      </w:r>
    </w:p>
    <w:p w14:paraId="6F679E56">
      <w:pPr>
        <w:ind w:firstLine="480"/>
        <w:rPr>
          <w:color w:val="auto"/>
        </w:rPr>
      </w:pPr>
      <w:r>
        <w:rPr>
          <w:color w:val="auto"/>
        </w:rPr>
        <w:t>系统可以为药师提供专门的审方工作平台，帮助药师在患者缴费前（护士领药前）完成门诊处方和住院医嘱实时审查，审核通过，才能划价收费发药；审核未通过能退回给医生修改后重新提交。医生、划价收费处、药房处方划价界面能够看到审方意见。对于长期医嘱，区分新开立医嘱和原医嘱。系统先自动审查出问题处方（医嘱），再由药师人工审查，审查过程中药师可以与医生实时互动，直到处方（医嘱）通过。</w:t>
      </w:r>
    </w:p>
    <w:p w14:paraId="68DA23BE">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27CB9EE">
      <w:pPr>
        <w:ind w:firstLine="480"/>
        <w:rPr>
          <w:b/>
          <w:bCs/>
          <w:color w:val="auto"/>
        </w:rPr>
      </w:pPr>
      <w:r>
        <w:rPr>
          <w:b/>
          <w:bCs/>
          <w:color w:val="auto"/>
        </w:rPr>
        <w:t>信息集成</w:t>
      </w:r>
    </w:p>
    <w:p w14:paraId="5419AC3A">
      <w:pPr>
        <w:ind w:firstLine="480"/>
        <w:rPr>
          <w:color w:val="auto"/>
        </w:rPr>
      </w:pPr>
      <w:r>
        <w:rPr>
          <w:color w:val="auto"/>
        </w:rPr>
        <w:t>系统支持门诊药师审方界面可查看患者处方（历史处方、其他科室处方）检验检查信息、患者过敏史、电子病历系统信息等。</w:t>
      </w:r>
    </w:p>
    <w:p w14:paraId="1CBC53F2">
      <w:pPr>
        <w:ind w:firstLine="480"/>
        <w:rPr>
          <w:b/>
          <w:bCs/>
          <w:color w:val="auto"/>
        </w:rPr>
      </w:pPr>
      <w:r>
        <w:rPr>
          <w:b/>
          <w:bCs/>
          <w:color w:val="auto"/>
        </w:rPr>
        <w:t>实时监测</w:t>
      </w:r>
    </w:p>
    <w:p w14:paraId="79335E89">
      <w:pPr>
        <w:ind w:firstLine="480"/>
        <w:rPr>
          <w:color w:val="auto"/>
        </w:rPr>
      </w:pPr>
      <w:r>
        <w:rPr>
          <w:color w:val="auto"/>
        </w:rPr>
        <w:t>系统支持以动态柱状图、雷达图、环形图的图表形式在首页实时综合展示门诊、住院处方（医嘱）审核情况。</w:t>
      </w:r>
    </w:p>
    <w:p w14:paraId="0EDC271F">
      <w:pPr>
        <w:ind w:firstLine="480"/>
        <w:rPr>
          <w:b/>
          <w:bCs/>
          <w:color w:val="auto"/>
        </w:rPr>
      </w:pPr>
      <w:r>
        <w:rPr>
          <w:b/>
          <w:bCs/>
          <w:color w:val="auto"/>
        </w:rPr>
        <w:t>审方申请</w:t>
      </w:r>
    </w:p>
    <w:p w14:paraId="75441C8B">
      <w:pPr>
        <w:ind w:firstLine="480"/>
        <w:rPr>
          <w:color w:val="auto"/>
        </w:rPr>
      </w:pPr>
      <w:r>
        <w:rPr>
          <w:color w:val="auto"/>
        </w:rPr>
        <w:t>医生提交处方时，系统可先提示处方（医嘱）问题，医生可先自查。自查后，医生可选择返回修改或提请审核，提请审核时还可添加用药理由，方便药师第一时间了解医生用药目的。</w:t>
      </w:r>
    </w:p>
    <w:p w14:paraId="688F5557">
      <w:pPr>
        <w:ind w:firstLine="480"/>
        <w:rPr>
          <w:b/>
          <w:bCs/>
          <w:color w:val="auto"/>
        </w:rPr>
      </w:pPr>
      <w:r>
        <w:rPr>
          <w:b/>
          <w:bCs/>
          <w:color w:val="auto"/>
        </w:rPr>
        <w:t>审方提醒</w:t>
      </w:r>
    </w:p>
    <w:p w14:paraId="3EFFA3CE">
      <w:pPr>
        <w:ind w:firstLine="480"/>
        <w:rPr>
          <w:color w:val="auto"/>
        </w:rPr>
      </w:pPr>
      <w:r>
        <w:rPr>
          <w:color w:val="auto"/>
        </w:rPr>
        <w:t>医生开具处方（医嘱）后，系统应自动审查出问题处方（医嘱）并提示药师，由药师对这些问题处方（医嘱）进行人工审查。可声音提示药师有待审查新处方（医嘱）。医生修改处方（医嘱）后，系统可自动更新处方（医嘱）信息，并能声音提示药师有待审查已修改处方（医嘱）。系统可通过不同颜色区分住院医嘱状态如新开、在用、停用、带药、作废等。</w:t>
      </w:r>
    </w:p>
    <w:p w14:paraId="2186F2BD">
      <w:pPr>
        <w:ind w:firstLine="480"/>
        <w:rPr>
          <w:b/>
          <w:bCs/>
          <w:color w:val="auto"/>
        </w:rPr>
      </w:pPr>
      <w:r>
        <w:rPr>
          <w:b/>
          <w:bCs/>
          <w:color w:val="auto"/>
        </w:rPr>
        <w:t>系统审查</w:t>
      </w:r>
    </w:p>
    <w:p w14:paraId="24F5CAA7">
      <w:pPr>
        <w:ind w:firstLine="480"/>
        <w:rPr>
          <w:color w:val="auto"/>
        </w:rPr>
      </w:pPr>
      <w:r>
        <w:rPr>
          <w:color w:val="auto"/>
        </w:rPr>
        <w:t>医生开具的处方/医嘱后，首先系统自动拦截提示不合理用药问题。系统审查项目、规则等与医院当前在用医生端审方系统保持一致，并能实现无缝对接，即药师端可查看医生端审方系统的详细审查结果信息，同时药师复核问题标准可按医生端审方系统的审查项目和问题级别进行设置。</w:t>
      </w:r>
    </w:p>
    <w:p w14:paraId="53F92EA1">
      <w:pPr>
        <w:ind w:firstLine="480"/>
        <w:rPr>
          <w:b/>
          <w:bCs/>
          <w:color w:val="auto"/>
        </w:rPr>
      </w:pPr>
      <w:r>
        <w:rPr>
          <w:b/>
          <w:bCs/>
          <w:color w:val="auto"/>
        </w:rPr>
        <w:t>药师干预</w:t>
      </w:r>
    </w:p>
    <w:p w14:paraId="3E3B5CA9">
      <w:pPr>
        <w:ind w:firstLine="480"/>
        <w:rPr>
          <w:color w:val="auto"/>
        </w:rPr>
      </w:pPr>
      <w:r>
        <w:rPr>
          <w:color w:val="auto"/>
        </w:rPr>
        <w:t>系统自动审查不通过的处方，系统会根据审方方案自动分配待审核的处方/医嘱任务给药房药师审核。药师根据系统一体化展示的处方或医嘱、检验检查、手术、生命体征、入院记录、病程记录等患者信息，以及系统自动分析结果。打回或通过处方，同时也支持人工输入审核意见及用药建议。支持处方/医嘱审核结果查看。审查过程中，药师可就处方（医嘱）的不合理用药等问题与医生反馈沟通，医生修改处方（医嘱），直到处方（医嘱）通过，进入下一环节，实现药师审方干预效果。</w:t>
      </w:r>
    </w:p>
    <w:p w14:paraId="0DA15FA2">
      <w:pPr>
        <w:ind w:firstLine="480"/>
        <w:rPr>
          <w:b/>
          <w:bCs/>
          <w:color w:val="auto"/>
        </w:rPr>
      </w:pPr>
      <w:r>
        <w:rPr>
          <w:b/>
          <w:bCs/>
          <w:color w:val="auto"/>
        </w:rPr>
        <w:t>审方互动</w:t>
      </w:r>
    </w:p>
    <w:p w14:paraId="3EAD1B29">
      <w:pPr>
        <w:ind w:firstLine="480"/>
        <w:rPr>
          <w:color w:val="auto"/>
        </w:rPr>
      </w:pPr>
      <w:r>
        <w:rPr>
          <w:color w:val="auto"/>
        </w:rPr>
        <w:t>系统提供药师和医生的在线沟通平台，便于医生在开嘱过程中与药师交流，药师在进行审查结果分析时及时与医生沟通，实现药师和医生的在线交流。该平台能嵌入医生工作站运行，登录医生工作站时可自动登录该在线沟通平台。</w:t>
      </w:r>
    </w:p>
    <w:p w14:paraId="35577F24">
      <w:pPr>
        <w:ind w:firstLine="480"/>
        <w:rPr>
          <w:color w:val="auto"/>
        </w:rPr>
      </w:pPr>
      <w:r>
        <w:rPr>
          <w:color w:val="auto"/>
        </w:rPr>
        <w:t>该在线沟通平台提供截图、图片、文件传送功能。医生端接收到药师审核意见时可自动弹框提示，并直接进行沟通回复。</w:t>
      </w:r>
    </w:p>
    <w:p w14:paraId="6DCA03BC">
      <w:pPr>
        <w:ind w:firstLine="480"/>
        <w:rPr>
          <w:b/>
          <w:bCs/>
          <w:color w:val="auto"/>
        </w:rPr>
      </w:pPr>
      <w:r>
        <w:rPr>
          <w:b/>
          <w:bCs/>
          <w:color w:val="auto"/>
        </w:rPr>
        <w:t>统计分析</w:t>
      </w:r>
    </w:p>
    <w:p w14:paraId="2A640F19">
      <w:pPr>
        <w:ind w:firstLine="480"/>
        <w:rPr>
          <w:color w:val="auto"/>
        </w:rPr>
      </w:pPr>
      <w:r>
        <w:rPr>
          <w:color w:val="auto"/>
        </w:rPr>
        <w:t>可以分科室、医生、药品、问题类型提供干预效果追踪，并以折线图的方式体现干预效果。</w:t>
      </w:r>
    </w:p>
    <w:p w14:paraId="4437BE81">
      <w:pPr>
        <w:ind w:firstLine="480"/>
        <w:rPr>
          <w:color w:val="auto"/>
        </w:rPr>
      </w:pPr>
      <w:r>
        <w:rPr>
          <w:color w:val="auto"/>
        </w:rPr>
        <w:t>1.</w:t>
      </w:r>
      <w:r>
        <w:rPr>
          <w:color w:val="auto"/>
        </w:rPr>
        <w:tab/>
      </w:r>
      <w:r>
        <w:rPr>
          <w:color w:val="auto"/>
        </w:rPr>
        <w:t>处方维度：可以分别统计门诊、住院、科室、医生处方（医嘱）的审核率、干预率、处方合格率等重要指标，提供折线图。可按不同的处方（医嘱）通过状态进行统计，生成柱状图、折线趋势图。</w:t>
      </w:r>
    </w:p>
    <w:p w14:paraId="6F2B4F1F">
      <w:pPr>
        <w:ind w:firstLine="480"/>
        <w:rPr>
          <w:color w:val="auto"/>
        </w:rPr>
      </w:pPr>
      <w:r>
        <w:rPr>
          <w:color w:val="auto"/>
        </w:rPr>
        <w:t>2.</w:t>
      </w:r>
      <w:r>
        <w:rPr>
          <w:color w:val="auto"/>
        </w:rPr>
        <w:tab/>
      </w:r>
      <w:r>
        <w:rPr>
          <w:color w:val="auto"/>
        </w:rPr>
        <w:t>药师维度：可以统计每个药师的审核、干预工作量和干预有效率。可生成柱状图，按年月日生成折线图。</w:t>
      </w:r>
    </w:p>
    <w:p w14:paraId="2DD10CD3">
      <w:pPr>
        <w:ind w:firstLine="480"/>
        <w:rPr>
          <w:color w:val="auto"/>
        </w:rPr>
      </w:pPr>
      <w:r>
        <w:rPr>
          <w:color w:val="auto"/>
        </w:rPr>
        <w:t>3.</w:t>
      </w:r>
      <w:r>
        <w:rPr>
          <w:color w:val="auto"/>
        </w:rPr>
        <w:tab/>
      </w:r>
      <w:r>
        <w:rPr>
          <w:color w:val="auto"/>
        </w:rPr>
        <w:t>药品维度：可以统计每个药品的药师审核率、药师干预率。</w:t>
      </w:r>
    </w:p>
    <w:p w14:paraId="652DF435">
      <w:pPr>
        <w:ind w:firstLine="480"/>
        <w:rPr>
          <w:color w:val="auto"/>
        </w:rPr>
      </w:pPr>
      <w:r>
        <w:rPr>
          <w:color w:val="auto"/>
        </w:rPr>
        <w:t>4.</w:t>
      </w:r>
      <w:r>
        <w:rPr>
          <w:color w:val="auto"/>
        </w:rPr>
        <w:tab/>
      </w:r>
      <w:r>
        <w:rPr>
          <w:color w:val="auto"/>
        </w:rPr>
        <w:t>不合理问题：支持按问题、按警示级别查看科室、医生、药品的不合理问题发生情况并可自动生成不合理问题发生情况环形图、趋势图。可以提供不合理问题清单，支持按时间、问题类型、警示级别、科室、医生、医嘱类型进行查看。</w:t>
      </w:r>
    </w:p>
    <w:p w14:paraId="17563A25">
      <w:pPr>
        <w:ind w:firstLine="480"/>
        <w:rPr>
          <w:b/>
          <w:bCs/>
          <w:color w:val="auto"/>
        </w:rPr>
      </w:pPr>
      <w:r>
        <w:rPr>
          <w:b/>
          <w:bCs/>
          <w:color w:val="auto"/>
        </w:rPr>
        <w:t>审方设置</w:t>
      </w:r>
    </w:p>
    <w:p w14:paraId="770856DD">
      <w:pPr>
        <w:ind w:firstLine="480"/>
        <w:rPr>
          <w:color w:val="auto"/>
        </w:rPr>
      </w:pPr>
      <w:r>
        <w:rPr>
          <w:color w:val="auto"/>
        </w:rPr>
        <w:t>1.</w:t>
      </w:r>
      <w:r>
        <w:rPr>
          <w:color w:val="auto"/>
        </w:rPr>
        <w:tab/>
      </w:r>
      <w:r>
        <w:rPr>
          <w:color w:val="auto"/>
        </w:rPr>
        <w:t>审方时限设置：支持全院和分科室审方时限设置。超过规定时限，待审查处方自动通过。</w:t>
      </w:r>
    </w:p>
    <w:p w14:paraId="560FED88">
      <w:pPr>
        <w:ind w:firstLine="480"/>
        <w:rPr>
          <w:color w:val="auto"/>
        </w:rPr>
      </w:pPr>
      <w:r>
        <w:rPr>
          <w:color w:val="auto"/>
        </w:rPr>
        <w:t>2.</w:t>
      </w:r>
      <w:r>
        <w:rPr>
          <w:color w:val="auto"/>
        </w:rPr>
        <w:tab/>
      </w:r>
      <w:r>
        <w:rPr>
          <w:color w:val="auto"/>
        </w:rPr>
        <w:t>严重程度设置：可以设置需要药师人工审查的问题处方（医嘱）审查项目和问题严重程度。系统审查后，问题严重程度低的处方（医嘱）直接通过，药师只审查问题严重程度高的问题处方（医嘱）即可。</w:t>
      </w:r>
    </w:p>
    <w:p w14:paraId="6B285C42">
      <w:pPr>
        <w:ind w:firstLine="480"/>
        <w:rPr>
          <w:color w:val="auto"/>
        </w:rPr>
      </w:pPr>
      <w:r>
        <w:rPr>
          <w:color w:val="auto"/>
        </w:rPr>
        <w:t>3.</w:t>
      </w:r>
      <w:r>
        <w:rPr>
          <w:color w:val="auto"/>
        </w:rPr>
        <w:tab/>
      </w:r>
      <w:r>
        <w:rPr>
          <w:color w:val="auto"/>
        </w:rPr>
        <w:t>重点关注设置：可将任意科室、医生、疾病、药品设置为重点关注，包含重点关注信息的处方由药师进行全面审查。</w:t>
      </w:r>
    </w:p>
    <w:p w14:paraId="31D7DC1E">
      <w:pPr>
        <w:ind w:firstLine="480"/>
        <w:rPr>
          <w:color w:val="auto"/>
        </w:rPr>
      </w:pPr>
      <w:r>
        <w:rPr>
          <w:color w:val="auto"/>
        </w:rPr>
        <w:t>4.</w:t>
      </w:r>
      <w:r>
        <w:rPr>
          <w:color w:val="auto"/>
        </w:rPr>
        <w:tab/>
      </w:r>
      <w:r>
        <w:rPr>
          <w:color w:val="auto"/>
        </w:rPr>
        <w:t>审查科室设置：可对每个药师负责的审查科室进行设置。管理员可对每个药师负责的审查科室进行设置；管理员也可以设置哪些科室的处方需要前置审核；不参与前置审核的科室不受系统审方结果的约束。</w:t>
      </w:r>
    </w:p>
    <w:p w14:paraId="3D76802E">
      <w:pPr>
        <w:ind w:firstLine="480"/>
        <w:rPr>
          <w:color w:val="auto"/>
        </w:rPr>
      </w:pPr>
      <w:r>
        <w:rPr>
          <w:color w:val="auto"/>
        </w:rPr>
        <w:t>5.</w:t>
      </w:r>
      <w:r>
        <w:rPr>
          <w:color w:val="auto"/>
        </w:rPr>
        <w:tab/>
      </w:r>
      <w:r>
        <w:rPr>
          <w:color w:val="auto"/>
        </w:rPr>
        <w:t>双签复核设置：用户可设置双签模式，如医生双签后需药师复核、医生可双签后无需药师复核、药师处理任务时再选择医生双签是否需要药师复核三种模式。</w:t>
      </w:r>
    </w:p>
    <w:p w14:paraId="675F8806">
      <w:pPr>
        <w:ind w:firstLine="480"/>
        <w:rPr>
          <w:color w:val="auto"/>
        </w:rPr>
      </w:pPr>
      <w:r>
        <w:rPr>
          <w:color w:val="auto"/>
        </w:rPr>
        <w:t>6.</w:t>
      </w:r>
      <w:r>
        <w:rPr>
          <w:color w:val="auto"/>
        </w:rPr>
        <w:tab/>
      </w:r>
      <w:r>
        <w:rPr>
          <w:color w:val="auto"/>
        </w:rPr>
        <w:t>问题模板设置：用户可预设常用问题模版，当药师反馈审核意见给医生时可快捷选择，节省时间。</w:t>
      </w:r>
    </w:p>
    <w:p w14:paraId="60765996">
      <w:pPr>
        <w:pStyle w:val="14"/>
        <w:bidi w:val="0"/>
        <w:rPr>
          <w:color w:val="auto"/>
        </w:rPr>
      </w:pPr>
      <w:r>
        <w:rPr>
          <w:rFonts w:hint="eastAsia"/>
          <w:color w:val="auto"/>
        </w:rPr>
        <w:tab/>
      </w:r>
      <w:r>
        <w:rPr>
          <w:rFonts w:hint="eastAsia"/>
          <w:color w:val="auto"/>
        </w:rPr>
        <w:t>抗菌药物管理系统</w:t>
      </w:r>
    </w:p>
    <w:p w14:paraId="1521335D">
      <w:pPr>
        <w:bidi w:val="0"/>
        <w:rPr>
          <w:color w:val="auto"/>
        </w:rPr>
      </w:pPr>
      <w:r>
        <w:rPr>
          <w:rFonts w:hint="eastAsia"/>
          <w:color w:val="auto"/>
          <w:lang w:val="en-US" w:eastAsia="zh-CN"/>
        </w:rPr>
        <w:t>系统能</w:t>
      </w:r>
      <w:r>
        <w:rPr>
          <w:color w:val="auto"/>
        </w:rPr>
        <w:t>严格管控抗生素越级使用，支持治疗/预防用药指征审核与围术期规则配置，通过耐药率统计与强度分析促进规范用药。</w:t>
      </w:r>
    </w:p>
    <w:p w14:paraId="4EE6617F">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0375FE73">
      <w:pPr>
        <w:pStyle w:val="341"/>
        <w:spacing w:beforeLines="0"/>
        <w:ind w:firstLine="482"/>
        <w:rPr>
          <w:rFonts w:hint="eastAsia" w:ascii="宋体" w:hAnsi="宋体" w:cs="仿宋"/>
          <w:b/>
          <w:bCs/>
          <w:color w:val="auto"/>
          <w:sz w:val="24"/>
          <w:szCs w:val="24"/>
        </w:rPr>
      </w:pPr>
      <w:bookmarkStart w:id="395" w:name="_Toc106373268"/>
      <w:r>
        <w:rPr>
          <w:rFonts w:hint="eastAsia" w:ascii="宋体" w:hAnsi="宋体" w:cs="仿宋"/>
          <w:b/>
          <w:bCs/>
          <w:color w:val="auto"/>
          <w:sz w:val="24"/>
          <w:szCs w:val="24"/>
        </w:rPr>
        <w:t>抗生素使用审核</w:t>
      </w:r>
      <w:bookmarkEnd w:id="395"/>
    </w:p>
    <w:p w14:paraId="1B7545FB">
      <w:pPr>
        <w:numPr>
          <w:ilvl w:val="0"/>
          <w:numId w:val="210"/>
        </w:numPr>
        <w:bidi w:val="0"/>
        <w:ind w:left="0" w:leftChars="0" w:firstLine="480" w:firstLineChars="200"/>
        <w:rPr>
          <w:color w:val="auto"/>
        </w:rPr>
      </w:pPr>
      <w:bookmarkStart w:id="396" w:name="_Toc106373269"/>
      <w:r>
        <w:rPr>
          <w:color w:val="auto"/>
        </w:rPr>
        <w:t>支持由医生端发起抗生素越级使用审核后</w:t>
      </w:r>
      <w:r>
        <w:rPr>
          <w:rFonts w:hint="eastAsia"/>
          <w:color w:val="auto"/>
        </w:rPr>
        <w:t>，</w:t>
      </w:r>
      <w:r>
        <w:rPr>
          <w:color w:val="auto"/>
        </w:rPr>
        <w:t>进行</w:t>
      </w:r>
      <w:r>
        <w:rPr>
          <w:rFonts w:hint="eastAsia"/>
          <w:color w:val="auto"/>
        </w:rPr>
        <w:t>统一的审批流程。</w:t>
      </w:r>
    </w:p>
    <w:p w14:paraId="25856A51">
      <w:pPr>
        <w:numPr>
          <w:ilvl w:val="0"/>
          <w:numId w:val="210"/>
        </w:numPr>
        <w:bidi w:val="0"/>
        <w:ind w:left="0" w:leftChars="0" w:firstLine="480" w:firstLineChars="200"/>
        <w:rPr>
          <w:color w:val="auto"/>
        </w:rPr>
      </w:pPr>
      <w:r>
        <w:rPr>
          <w:color w:val="auto"/>
        </w:rPr>
        <w:t>支持医师发起抗生素越级使用审核后</w:t>
      </w:r>
      <w:r>
        <w:rPr>
          <w:rFonts w:hint="eastAsia"/>
          <w:color w:val="auto"/>
        </w:rPr>
        <w:t>，</w:t>
      </w:r>
      <w:r>
        <w:rPr>
          <w:color w:val="auto"/>
        </w:rPr>
        <w:t>通过消息提醒</w:t>
      </w:r>
      <w:r>
        <w:rPr>
          <w:rFonts w:hint="eastAsia"/>
          <w:color w:val="auto"/>
        </w:rPr>
        <w:t>，</w:t>
      </w:r>
      <w:r>
        <w:rPr>
          <w:color w:val="auto"/>
        </w:rPr>
        <w:t>提醒主管部门及时进行审核</w:t>
      </w:r>
      <w:r>
        <w:rPr>
          <w:rFonts w:hint="eastAsia"/>
          <w:color w:val="auto"/>
        </w:rPr>
        <w:t>。</w:t>
      </w:r>
    </w:p>
    <w:p w14:paraId="79B1E57D">
      <w:pPr>
        <w:numPr>
          <w:ilvl w:val="0"/>
          <w:numId w:val="210"/>
        </w:numPr>
        <w:bidi w:val="0"/>
        <w:ind w:left="0" w:leftChars="0" w:firstLine="480" w:firstLineChars="200"/>
        <w:rPr>
          <w:color w:val="auto"/>
        </w:rPr>
      </w:pPr>
      <w:r>
        <w:rPr>
          <w:color w:val="auto"/>
        </w:rPr>
        <w:t>能够在审核完成后</w:t>
      </w:r>
      <w:r>
        <w:rPr>
          <w:rFonts w:hint="eastAsia"/>
          <w:color w:val="auto"/>
        </w:rPr>
        <w:t>，</w:t>
      </w:r>
      <w:r>
        <w:rPr>
          <w:color w:val="auto"/>
        </w:rPr>
        <w:t>第一时间通知到临床医生</w:t>
      </w:r>
      <w:r>
        <w:rPr>
          <w:rFonts w:hint="eastAsia"/>
          <w:color w:val="auto"/>
        </w:rPr>
        <w:t>，并将处方转交由收费室收费及进行发药流程。</w:t>
      </w:r>
    </w:p>
    <w:p w14:paraId="25B42F01">
      <w:pPr>
        <w:numPr>
          <w:ilvl w:val="0"/>
          <w:numId w:val="210"/>
        </w:numPr>
        <w:bidi w:val="0"/>
        <w:ind w:left="0" w:leftChars="0" w:firstLine="480" w:firstLineChars="200"/>
        <w:rPr>
          <w:color w:val="auto"/>
        </w:rPr>
      </w:pPr>
      <w:r>
        <w:rPr>
          <w:color w:val="auto"/>
        </w:rPr>
        <w:t>能够通过颜色标记</w:t>
      </w:r>
      <w:r>
        <w:rPr>
          <w:rFonts w:hint="eastAsia"/>
          <w:color w:val="auto"/>
        </w:rPr>
        <w:t>，</w:t>
      </w:r>
      <w:r>
        <w:rPr>
          <w:color w:val="auto"/>
        </w:rPr>
        <w:t>区分已审核</w:t>
      </w:r>
      <w:r>
        <w:rPr>
          <w:rFonts w:hint="eastAsia"/>
          <w:color w:val="auto"/>
        </w:rPr>
        <w:t>、</w:t>
      </w:r>
      <w:r>
        <w:rPr>
          <w:color w:val="auto"/>
        </w:rPr>
        <w:t>未审核</w:t>
      </w:r>
      <w:r>
        <w:rPr>
          <w:rFonts w:hint="eastAsia"/>
          <w:color w:val="auto"/>
        </w:rPr>
        <w:t>、</w:t>
      </w:r>
      <w:r>
        <w:rPr>
          <w:color w:val="auto"/>
        </w:rPr>
        <w:t>审核不通过的越级使用申请</w:t>
      </w:r>
      <w:r>
        <w:rPr>
          <w:rFonts w:hint="eastAsia"/>
          <w:color w:val="auto"/>
        </w:rPr>
        <w:t>。</w:t>
      </w:r>
    </w:p>
    <w:p w14:paraId="678019CA">
      <w:pPr>
        <w:numPr>
          <w:ilvl w:val="0"/>
          <w:numId w:val="210"/>
        </w:numPr>
        <w:bidi w:val="0"/>
        <w:ind w:left="0" w:leftChars="0" w:firstLine="480" w:firstLineChars="200"/>
        <w:rPr>
          <w:color w:val="auto"/>
        </w:rPr>
      </w:pPr>
      <w:r>
        <w:rPr>
          <w:rFonts w:hint="eastAsia"/>
          <w:color w:val="auto"/>
        </w:rPr>
        <w:t>支持医嘱中抗生素用药目的必须填写（参数控制），用于区分是预防用药还是治疗用药或预防+治疗。</w:t>
      </w:r>
    </w:p>
    <w:p w14:paraId="700D4048">
      <w:pPr>
        <w:numPr>
          <w:ilvl w:val="0"/>
          <w:numId w:val="210"/>
        </w:numPr>
        <w:bidi w:val="0"/>
        <w:ind w:left="0" w:leftChars="0" w:firstLine="480" w:firstLineChars="200"/>
        <w:rPr>
          <w:color w:val="auto"/>
        </w:rPr>
      </w:pPr>
      <w:r>
        <w:rPr>
          <w:rFonts w:hint="eastAsia"/>
          <w:color w:val="auto"/>
        </w:rPr>
        <w:t>能够通过启用抗生素管理参数，进行流程控制。</w:t>
      </w:r>
    </w:p>
    <w:p w14:paraId="5FAB49FC">
      <w:pPr>
        <w:numPr>
          <w:ilvl w:val="0"/>
          <w:numId w:val="210"/>
        </w:numPr>
        <w:bidi w:val="0"/>
        <w:ind w:left="0" w:leftChars="0" w:firstLine="480" w:firstLineChars="200"/>
        <w:rPr>
          <w:color w:val="auto"/>
        </w:rPr>
      </w:pPr>
      <w:r>
        <w:rPr>
          <w:rFonts w:hint="eastAsia"/>
          <w:color w:val="auto"/>
        </w:rPr>
        <w:t>支持判断如果是预防，且参数启用预防干预，则调用指征确认模块，填写预防用药的理由（分手术预防和非手术预防）。</w:t>
      </w:r>
    </w:p>
    <w:p w14:paraId="7F3399AA">
      <w:pPr>
        <w:numPr>
          <w:ilvl w:val="0"/>
          <w:numId w:val="210"/>
        </w:numPr>
        <w:bidi w:val="0"/>
        <w:ind w:left="0" w:leftChars="0" w:firstLine="480" w:firstLineChars="200"/>
        <w:rPr>
          <w:color w:val="auto"/>
        </w:rPr>
      </w:pPr>
      <w:r>
        <w:rPr>
          <w:rFonts w:hint="eastAsia"/>
          <w:color w:val="auto"/>
        </w:rPr>
        <w:t>支持判断如果是治疗，且参数启用治疗干预（干预等级划分：不干预，必须有医技结果，允许主观判断但必须填写原因）。</w:t>
      </w:r>
    </w:p>
    <w:p w14:paraId="250A470B">
      <w:pPr>
        <w:numPr>
          <w:ilvl w:val="0"/>
          <w:numId w:val="210"/>
        </w:numPr>
        <w:bidi w:val="0"/>
        <w:ind w:left="0" w:leftChars="0" w:firstLine="480" w:firstLineChars="200"/>
        <w:rPr>
          <w:color w:val="auto"/>
        </w:rPr>
      </w:pPr>
      <w:r>
        <w:rPr>
          <w:rFonts w:hint="eastAsia"/>
          <w:color w:val="auto"/>
        </w:rPr>
        <w:t>根据药敏试验结果推荐用药：在用药指征确认时给出提示；在非推荐用药时给出提示。</w:t>
      </w:r>
    </w:p>
    <w:p w14:paraId="0A2F50BE">
      <w:pPr>
        <w:numPr>
          <w:ilvl w:val="0"/>
          <w:numId w:val="210"/>
        </w:numPr>
        <w:bidi w:val="0"/>
        <w:ind w:left="0" w:leftChars="0" w:firstLine="480" w:firstLineChars="200"/>
        <w:rPr>
          <w:color w:val="auto"/>
        </w:rPr>
      </w:pPr>
      <w:r>
        <w:rPr>
          <w:rFonts w:hint="eastAsia"/>
          <w:color w:val="auto"/>
        </w:rPr>
        <w:t>合理用药剂量监控：根据感染级别及部位（在用药指征中确认）查找对应配置的剂量范围（在抗菌药物信息配置中设置），如果超出范围则给出警示或限制（参数配置）。</w:t>
      </w:r>
    </w:p>
    <w:p w14:paraId="7E644C8D">
      <w:pPr>
        <w:numPr>
          <w:ilvl w:val="0"/>
          <w:numId w:val="210"/>
        </w:numPr>
        <w:bidi w:val="0"/>
        <w:ind w:left="0" w:leftChars="0" w:firstLine="480" w:firstLineChars="200"/>
        <w:rPr>
          <w:color w:val="auto"/>
        </w:rPr>
      </w:pPr>
      <w:r>
        <w:rPr>
          <w:rFonts w:hint="eastAsia"/>
          <w:color w:val="auto"/>
        </w:rPr>
        <w:t>合理用药用法及频次监控：根据感染级别及部位（在用药指征中确认）查找对应配置的给药方法和频次（在抗菌药物信息配置中设置），如果医嘱开立不正确则给出警示或限制（参数配置）。</w:t>
      </w:r>
    </w:p>
    <w:p w14:paraId="435E03AB">
      <w:pPr>
        <w:numPr>
          <w:ilvl w:val="0"/>
          <w:numId w:val="210"/>
        </w:numPr>
        <w:bidi w:val="0"/>
        <w:ind w:left="0" w:leftChars="0" w:firstLine="480" w:firstLineChars="200"/>
        <w:rPr>
          <w:color w:val="auto"/>
        </w:rPr>
      </w:pPr>
      <w:r>
        <w:rPr>
          <w:rFonts w:hint="eastAsia"/>
          <w:color w:val="auto"/>
        </w:rPr>
        <w:t>联合用药监控：如果本次就诊一定时间内存在2种及以上抗菌药物的使用，则给出警示或必须填写联合给药原因（参数配置）。</w:t>
      </w:r>
    </w:p>
    <w:p w14:paraId="7B9DD342">
      <w:pPr>
        <w:numPr>
          <w:ilvl w:val="0"/>
          <w:numId w:val="210"/>
        </w:numPr>
        <w:bidi w:val="0"/>
        <w:ind w:left="0" w:leftChars="0" w:firstLine="480" w:firstLineChars="200"/>
        <w:rPr>
          <w:color w:val="auto"/>
        </w:rPr>
      </w:pPr>
      <w:r>
        <w:rPr>
          <w:rFonts w:hint="eastAsia"/>
          <w:color w:val="auto"/>
        </w:rPr>
        <w:t>特殊生理特征者监控：在抗生素用药监测函数的入参中需传入患者的生理特征，根据抗菌药物信息配置的信息给出警示或限制。</w:t>
      </w:r>
    </w:p>
    <w:p w14:paraId="42C9C6E9">
      <w:pPr>
        <w:numPr>
          <w:ilvl w:val="0"/>
          <w:numId w:val="210"/>
        </w:numPr>
        <w:bidi w:val="0"/>
        <w:ind w:left="0" w:leftChars="0" w:firstLine="480" w:firstLineChars="200"/>
        <w:rPr>
          <w:color w:val="auto"/>
        </w:rPr>
      </w:pPr>
      <w:r>
        <w:rPr>
          <w:rFonts w:hint="eastAsia"/>
          <w:color w:val="auto"/>
        </w:rPr>
        <w:t>支持判断进入围手术期的前提条件：本次就诊中已经开立了有效的（已审核）手术申请。</w:t>
      </w:r>
    </w:p>
    <w:p w14:paraId="00DFE7F5">
      <w:pPr>
        <w:numPr>
          <w:ilvl w:val="0"/>
          <w:numId w:val="210"/>
        </w:numPr>
        <w:bidi w:val="0"/>
        <w:ind w:left="0" w:leftChars="0" w:firstLine="480" w:firstLineChars="200"/>
        <w:rPr>
          <w:color w:val="auto"/>
        </w:rPr>
      </w:pPr>
      <w:r>
        <w:rPr>
          <w:rFonts w:hint="eastAsia"/>
          <w:color w:val="auto"/>
        </w:rPr>
        <w:t>支持围手术期抗菌用药必须填写用药目的，不受参数控制。</w:t>
      </w:r>
    </w:p>
    <w:p w14:paraId="30C5B4E9">
      <w:pPr>
        <w:numPr>
          <w:ilvl w:val="0"/>
          <w:numId w:val="210"/>
        </w:numPr>
        <w:bidi w:val="0"/>
        <w:ind w:left="0" w:leftChars="0" w:firstLine="480" w:firstLineChars="200"/>
        <w:rPr>
          <w:color w:val="auto"/>
        </w:rPr>
      </w:pPr>
      <w:r>
        <w:rPr>
          <w:rFonts w:hint="eastAsia"/>
          <w:color w:val="auto"/>
        </w:rPr>
        <w:t>支持根据切口类型进行抗生素开立警示（I类切口一般不需要抗生素）。</w:t>
      </w:r>
    </w:p>
    <w:p w14:paraId="7318BF80">
      <w:pPr>
        <w:numPr>
          <w:ilvl w:val="0"/>
          <w:numId w:val="210"/>
        </w:numPr>
        <w:bidi w:val="0"/>
        <w:ind w:left="0" w:leftChars="0" w:firstLine="480" w:firstLineChars="200"/>
        <w:rPr>
          <w:color w:val="auto"/>
        </w:rPr>
      </w:pPr>
      <w:r>
        <w:rPr>
          <w:rFonts w:hint="eastAsia"/>
          <w:color w:val="auto"/>
        </w:rPr>
        <w:t>能够根据切口类型监控用药时机（医嘱用药附加属性中描述），通过参数配置围手术期的用药时机是否必须填写。</w:t>
      </w:r>
    </w:p>
    <w:p w14:paraId="56DFE43A">
      <w:pPr>
        <w:numPr>
          <w:ilvl w:val="0"/>
          <w:numId w:val="210"/>
        </w:numPr>
        <w:bidi w:val="0"/>
        <w:ind w:left="0" w:leftChars="0" w:firstLine="480" w:firstLineChars="200"/>
        <w:rPr>
          <w:color w:val="auto"/>
        </w:rPr>
      </w:pPr>
      <w:r>
        <w:rPr>
          <w:rFonts w:hint="eastAsia"/>
          <w:color w:val="auto"/>
        </w:rPr>
        <w:t>支持通过参数控制围手术期用药是否可以越级使用抗生素。</w:t>
      </w:r>
    </w:p>
    <w:p w14:paraId="09E448F6">
      <w:pPr>
        <w:numPr>
          <w:ilvl w:val="0"/>
          <w:numId w:val="210"/>
        </w:numPr>
        <w:bidi w:val="0"/>
        <w:ind w:left="0" w:leftChars="0" w:firstLine="480" w:firstLineChars="200"/>
        <w:rPr>
          <w:rFonts w:hint="eastAsia"/>
          <w:color w:val="auto"/>
        </w:rPr>
      </w:pPr>
      <w:r>
        <w:rPr>
          <w:rFonts w:hint="eastAsia"/>
          <w:color w:val="auto"/>
        </w:rPr>
        <w:t>能够根据手术信息（手术类别、切口类别、规模等）推荐抗生素用药（暂缓实现，预留接口）。</w:t>
      </w:r>
    </w:p>
    <w:p w14:paraId="4157EC11">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基本设置</w:t>
      </w:r>
      <w:bookmarkEnd w:id="396"/>
    </w:p>
    <w:p w14:paraId="48F65462">
      <w:pPr>
        <w:ind w:firstLine="480"/>
        <w:rPr>
          <w:color w:val="auto"/>
        </w:rPr>
      </w:pPr>
      <w:bookmarkStart w:id="397" w:name="_Toc106373270"/>
      <w:r>
        <w:rPr>
          <w:rFonts w:hint="eastAsia"/>
          <w:color w:val="auto"/>
        </w:rPr>
        <w:t>（一）抗生素感染诊断设置</w:t>
      </w:r>
    </w:p>
    <w:p w14:paraId="24925FA7">
      <w:pPr>
        <w:numPr>
          <w:ilvl w:val="0"/>
          <w:numId w:val="211"/>
        </w:numPr>
        <w:bidi w:val="0"/>
        <w:ind w:left="0" w:leftChars="0" w:firstLine="480" w:firstLineChars="200"/>
        <w:rPr>
          <w:color w:val="auto"/>
        </w:rPr>
      </w:pPr>
      <w:r>
        <w:rPr>
          <w:rFonts w:hint="eastAsia"/>
          <w:color w:val="auto"/>
        </w:rPr>
        <w:t>支持</w:t>
      </w:r>
      <w:r>
        <w:rPr>
          <w:color w:val="auto"/>
        </w:rPr>
        <w:t>感染诊断设置</w:t>
      </w:r>
      <w:r>
        <w:rPr>
          <w:rFonts w:hint="eastAsia"/>
          <w:color w:val="auto"/>
        </w:rPr>
        <w:t>，</w:t>
      </w:r>
      <w:r>
        <w:rPr>
          <w:color w:val="auto"/>
        </w:rPr>
        <w:t>包括感染诊断范围设置</w:t>
      </w:r>
      <w:r>
        <w:rPr>
          <w:rFonts w:hint="eastAsia"/>
          <w:color w:val="auto"/>
        </w:rPr>
        <w:t>、</w:t>
      </w:r>
      <w:r>
        <w:rPr>
          <w:color w:val="auto"/>
        </w:rPr>
        <w:t>诊断对应抗菌药物范围设置</w:t>
      </w:r>
      <w:r>
        <w:rPr>
          <w:rFonts w:hint="eastAsia"/>
          <w:color w:val="auto"/>
        </w:rPr>
        <w:t>等</w:t>
      </w:r>
    </w:p>
    <w:p w14:paraId="1060ED24">
      <w:pPr>
        <w:numPr>
          <w:ilvl w:val="0"/>
          <w:numId w:val="211"/>
        </w:numPr>
        <w:bidi w:val="0"/>
        <w:ind w:left="0" w:leftChars="0" w:firstLine="480" w:firstLineChars="200"/>
        <w:rPr>
          <w:color w:val="auto"/>
        </w:rPr>
      </w:pPr>
      <w:r>
        <w:rPr>
          <w:rFonts w:hint="eastAsia"/>
          <w:color w:val="auto"/>
        </w:rPr>
        <w:t>支持</w:t>
      </w:r>
      <w:r>
        <w:rPr>
          <w:color w:val="auto"/>
        </w:rPr>
        <w:t>抗菌药物推荐级别设置。</w:t>
      </w:r>
    </w:p>
    <w:p w14:paraId="3E639B0B">
      <w:pPr>
        <w:numPr>
          <w:ilvl w:val="0"/>
          <w:numId w:val="211"/>
        </w:numPr>
        <w:bidi w:val="0"/>
        <w:ind w:left="0" w:leftChars="0" w:firstLine="480" w:firstLineChars="200"/>
        <w:rPr>
          <w:color w:val="auto"/>
        </w:rPr>
      </w:pPr>
      <w:r>
        <w:rPr>
          <w:rFonts w:hint="eastAsia"/>
          <w:color w:val="auto"/>
        </w:rPr>
        <w:t>支持</w:t>
      </w:r>
      <w:r>
        <w:rPr>
          <w:color w:val="auto"/>
        </w:rPr>
        <w:t>抗生素专用信息</w:t>
      </w:r>
      <w:r>
        <w:rPr>
          <w:rFonts w:hint="eastAsia"/>
          <w:color w:val="auto"/>
        </w:rPr>
        <w:t>设置，包含</w:t>
      </w:r>
      <w:r>
        <w:rPr>
          <w:color w:val="auto"/>
        </w:rPr>
        <w:t>肝肾功能减退</w:t>
      </w:r>
      <w:r>
        <w:rPr>
          <w:rFonts w:hint="eastAsia"/>
          <w:color w:val="auto"/>
        </w:rPr>
        <w:t>、</w:t>
      </w:r>
      <w:r>
        <w:rPr>
          <w:color w:val="auto"/>
        </w:rPr>
        <w:t>老年人、小儿、婴幼儿、妊娠期、哺乳期</w:t>
      </w:r>
      <w:r>
        <w:rPr>
          <w:rFonts w:hint="eastAsia"/>
          <w:color w:val="auto"/>
        </w:rPr>
        <w:t>的</w:t>
      </w:r>
      <w:r>
        <w:rPr>
          <w:color w:val="auto"/>
        </w:rPr>
        <w:t>使用级别及用量范围、是否必检病原体、抗生素类别</w:t>
      </w:r>
      <w:r>
        <w:rPr>
          <w:rFonts w:hint="eastAsia"/>
          <w:color w:val="auto"/>
        </w:rPr>
        <w:t>等</w:t>
      </w:r>
      <w:r>
        <w:rPr>
          <w:color w:val="auto"/>
        </w:rPr>
        <w:t>。</w:t>
      </w:r>
    </w:p>
    <w:p w14:paraId="3A91619E">
      <w:pPr>
        <w:numPr>
          <w:ilvl w:val="0"/>
          <w:numId w:val="211"/>
        </w:numPr>
        <w:bidi w:val="0"/>
        <w:ind w:left="0" w:leftChars="0" w:firstLine="480" w:firstLineChars="200"/>
        <w:rPr>
          <w:color w:val="auto"/>
        </w:rPr>
      </w:pPr>
      <w:r>
        <w:rPr>
          <w:rFonts w:hint="eastAsia"/>
          <w:color w:val="auto"/>
        </w:rPr>
        <w:t>支持</w:t>
      </w:r>
      <w:r>
        <w:rPr>
          <w:color w:val="auto"/>
        </w:rPr>
        <w:t>感染等级范围，适用手术切口类型范围，作用细菌范围、肝肾功能减退</w:t>
      </w:r>
      <w:r>
        <w:rPr>
          <w:rFonts w:hint="eastAsia"/>
          <w:color w:val="auto"/>
        </w:rPr>
        <w:t>的设置</w:t>
      </w:r>
      <w:r>
        <w:rPr>
          <w:color w:val="auto"/>
        </w:rPr>
        <w:t>。</w:t>
      </w:r>
    </w:p>
    <w:p w14:paraId="423AD2C5">
      <w:pPr>
        <w:numPr>
          <w:ilvl w:val="0"/>
          <w:numId w:val="211"/>
        </w:numPr>
        <w:bidi w:val="0"/>
        <w:ind w:left="0" w:leftChars="0" w:firstLine="480" w:firstLineChars="200"/>
        <w:rPr>
          <w:color w:val="auto"/>
        </w:rPr>
      </w:pPr>
      <w:r>
        <w:rPr>
          <w:rFonts w:hint="eastAsia"/>
          <w:color w:val="auto"/>
        </w:rPr>
        <w:t>支持</w:t>
      </w:r>
      <w:r>
        <w:rPr>
          <w:color w:val="auto"/>
        </w:rPr>
        <w:t>围手术期相关信息</w:t>
      </w:r>
      <w:r>
        <w:rPr>
          <w:rFonts w:hint="eastAsia"/>
          <w:color w:val="auto"/>
        </w:rPr>
        <w:t>设置，如</w:t>
      </w:r>
      <w:r>
        <w:rPr>
          <w:color w:val="auto"/>
        </w:rPr>
        <w:t>切口类型对应的抗生素用药时机范围、用法范围、用量范围等。</w:t>
      </w:r>
    </w:p>
    <w:p w14:paraId="5FF7C825">
      <w:pPr>
        <w:numPr>
          <w:ilvl w:val="0"/>
          <w:numId w:val="211"/>
        </w:numPr>
        <w:bidi w:val="0"/>
        <w:ind w:left="0" w:leftChars="0" w:firstLine="480" w:firstLineChars="200"/>
        <w:rPr>
          <w:color w:val="auto"/>
        </w:rPr>
      </w:pPr>
      <w:r>
        <w:rPr>
          <w:rFonts w:hint="eastAsia"/>
          <w:color w:val="auto"/>
        </w:rPr>
        <w:t>支持</w:t>
      </w:r>
      <w:r>
        <w:rPr>
          <w:color w:val="auto"/>
        </w:rPr>
        <w:t>抗生素检测参数规则配置</w:t>
      </w:r>
      <w:r>
        <w:rPr>
          <w:rFonts w:hint="eastAsia"/>
          <w:color w:val="auto"/>
        </w:rPr>
        <w:t>，包含</w:t>
      </w:r>
      <w:r>
        <w:rPr>
          <w:color w:val="auto"/>
        </w:rPr>
        <w:t>检验结果</w:t>
      </w:r>
      <w:r>
        <w:rPr>
          <w:rFonts w:hint="eastAsia"/>
          <w:color w:val="auto"/>
        </w:rPr>
        <w:t>、</w:t>
      </w:r>
      <w:r>
        <w:rPr>
          <w:color w:val="auto"/>
        </w:rPr>
        <w:t>检查结果</w:t>
      </w:r>
      <w:r>
        <w:rPr>
          <w:rFonts w:hint="eastAsia"/>
          <w:color w:val="auto"/>
        </w:rPr>
        <w:t>、</w:t>
      </w:r>
      <w:r>
        <w:rPr>
          <w:color w:val="auto"/>
        </w:rPr>
        <w:t>主观感染判断规则</w:t>
      </w:r>
      <w:r>
        <w:rPr>
          <w:rFonts w:hint="eastAsia"/>
          <w:color w:val="auto"/>
        </w:rPr>
        <w:t>、</w:t>
      </w:r>
      <w:r>
        <w:rPr>
          <w:color w:val="auto"/>
        </w:rPr>
        <w:t>联合用药规则</w:t>
      </w:r>
      <w:r>
        <w:rPr>
          <w:rFonts w:hint="eastAsia"/>
          <w:color w:val="auto"/>
        </w:rPr>
        <w:t>、</w:t>
      </w:r>
      <w:r>
        <w:rPr>
          <w:color w:val="auto"/>
        </w:rPr>
        <w:t>围手术期可用切口类型范围</w:t>
      </w:r>
      <w:r>
        <w:rPr>
          <w:rFonts w:hint="eastAsia"/>
          <w:color w:val="auto"/>
        </w:rPr>
        <w:t>等。</w:t>
      </w:r>
    </w:p>
    <w:p w14:paraId="2D17A343">
      <w:pPr>
        <w:numPr>
          <w:ilvl w:val="0"/>
          <w:numId w:val="211"/>
        </w:numPr>
        <w:bidi w:val="0"/>
        <w:ind w:left="0" w:leftChars="0" w:firstLine="480" w:firstLineChars="200"/>
        <w:rPr>
          <w:color w:val="auto"/>
        </w:rPr>
      </w:pPr>
      <w:r>
        <w:rPr>
          <w:rFonts w:hint="eastAsia"/>
          <w:color w:val="auto"/>
        </w:rPr>
        <w:t>支持</w:t>
      </w:r>
      <w:r>
        <w:rPr>
          <w:color w:val="auto"/>
        </w:rPr>
        <w:t>医生用药等级设置</w:t>
      </w:r>
      <w:r>
        <w:rPr>
          <w:rFonts w:hint="eastAsia"/>
          <w:color w:val="auto"/>
        </w:rPr>
        <w:t>，包含医生类型（</w:t>
      </w:r>
      <w:r>
        <w:rPr>
          <w:color w:val="auto"/>
        </w:rPr>
        <w:t>住院临床医生、门诊临床医生、手术医师</w:t>
      </w:r>
      <w:r>
        <w:rPr>
          <w:rFonts w:hint="eastAsia"/>
          <w:color w:val="auto"/>
        </w:rPr>
        <w:t>）、</w:t>
      </w:r>
      <w:r>
        <w:rPr>
          <w:color w:val="auto"/>
        </w:rPr>
        <w:t>按科室分组</w:t>
      </w:r>
      <w:r>
        <w:rPr>
          <w:rFonts w:hint="eastAsia"/>
          <w:color w:val="auto"/>
        </w:rPr>
        <w:t>、</w:t>
      </w:r>
      <w:r>
        <w:rPr>
          <w:color w:val="auto"/>
        </w:rPr>
        <w:t>外部</w:t>
      </w:r>
      <w:r>
        <w:rPr>
          <w:rFonts w:hint="eastAsia"/>
          <w:color w:val="auto"/>
        </w:rPr>
        <w:t>系统接口等</w:t>
      </w:r>
      <w:r>
        <w:rPr>
          <w:color w:val="auto"/>
        </w:rPr>
        <w:t>。</w:t>
      </w:r>
    </w:p>
    <w:p w14:paraId="704C093F">
      <w:pPr>
        <w:ind w:firstLine="480"/>
        <w:rPr>
          <w:color w:val="auto"/>
        </w:rPr>
      </w:pPr>
      <w:r>
        <w:rPr>
          <w:rFonts w:hint="eastAsia"/>
          <w:color w:val="auto"/>
        </w:rPr>
        <w:t>（三）医生抗生素用药等级设置</w:t>
      </w:r>
    </w:p>
    <w:p w14:paraId="24DF1259">
      <w:pPr>
        <w:numPr>
          <w:ilvl w:val="0"/>
          <w:numId w:val="212"/>
        </w:numPr>
        <w:bidi w:val="0"/>
        <w:ind w:left="0" w:leftChars="0" w:firstLine="480" w:firstLineChars="200"/>
        <w:rPr>
          <w:color w:val="auto"/>
        </w:rPr>
      </w:pPr>
      <w:r>
        <w:rPr>
          <w:rFonts w:hint="eastAsia"/>
          <w:color w:val="auto"/>
        </w:rPr>
        <w:t>医生范围：住院临床医生、门诊临床医生、手术医师。</w:t>
      </w:r>
    </w:p>
    <w:p w14:paraId="642E1F46">
      <w:pPr>
        <w:numPr>
          <w:ilvl w:val="0"/>
          <w:numId w:val="212"/>
        </w:numPr>
        <w:bidi w:val="0"/>
        <w:ind w:left="0" w:leftChars="0" w:firstLine="480" w:firstLineChars="200"/>
        <w:rPr>
          <w:color w:val="auto"/>
        </w:rPr>
      </w:pPr>
      <w:r>
        <w:rPr>
          <w:rFonts w:hint="eastAsia"/>
          <w:color w:val="auto"/>
        </w:rPr>
        <w:t>按科室分组显示。</w:t>
      </w:r>
    </w:p>
    <w:p w14:paraId="2203CBB2">
      <w:pPr>
        <w:numPr>
          <w:ilvl w:val="0"/>
          <w:numId w:val="212"/>
        </w:numPr>
        <w:bidi w:val="0"/>
        <w:ind w:left="0" w:leftChars="0" w:firstLine="480" w:firstLineChars="200"/>
        <w:rPr>
          <w:color w:val="auto"/>
        </w:rPr>
      </w:pPr>
      <w:r>
        <w:rPr>
          <w:rFonts w:hint="eastAsia"/>
          <w:color w:val="auto"/>
        </w:rPr>
        <w:t>支持通过接口从外部系统获取级别，批量更新。</w:t>
      </w:r>
    </w:p>
    <w:p w14:paraId="1427FC4F">
      <w:pPr>
        <w:numPr>
          <w:ilvl w:val="0"/>
          <w:numId w:val="212"/>
        </w:numPr>
        <w:bidi w:val="0"/>
        <w:ind w:left="0" w:leftChars="0" w:firstLine="480" w:firstLineChars="200"/>
        <w:rPr>
          <w:color w:val="auto"/>
        </w:rPr>
      </w:pPr>
      <w:r>
        <w:rPr>
          <w:color w:val="auto"/>
        </w:rPr>
        <w:t>能够根据医生抗生素用药等级</w:t>
      </w:r>
      <w:r>
        <w:rPr>
          <w:rFonts w:hint="eastAsia"/>
          <w:color w:val="auto"/>
        </w:rPr>
        <w:t>，</w:t>
      </w:r>
      <w:r>
        <w:rPr>
          <w:color w:val="auto"/>
        </w:rPr>
        <w:t>在医生开药时</w:t>
      </w:r>
      <w:r>
        <w:rPr>
          <w:rFonts w:hint="eastAsia"/>
          <w:color w:val="auto"/>
        </w:rPr>
        <w:t>，</w:t>
      </w:r>
      <w:r>
        <w:rPr>
          <w:color w:val="auto"/>
        </w:rPr>
        <w:t>进行相应的逻辑判断</w:t>
      </w:r>
      <w:r>
        <w:rPr>
          <w:rFonts w:hint="eastAsia"/>
          <w:color w:val="auto"/>
        </w:rPr>
        <w:t>，</w:t>
      </w:r>
      <w:r>
        <w:rPr>
          <w:color w:val="auto"/>
        </w:rPr>
        <w:t>是否为越级使用</w:t>
      </w:r>
      <w:r>
        <w:rPr>
          <w:rFonts w:hint="eastAsia"/>
          <w:color w:val="auto"/>
        </w:rPr>
        <w:t>。</w:t>
      </w:r>
    </w:p>
    <w:p w14:paraId="37DF95DE">
      <w:pPr>
        <w:ind w:firstLine="480"/>
        <w:rPr>
          <w:color w:val="auto"/>
        </w:rPr>
      </w:pPr>
      <w:r>
        <w:rPr>
          <w:rFonts w:hint="eastAsia"/>
          <w:color w:val="auto"/>
        </w:rPr>
        <w:t>（四）抗生素药品设置</w:t>
      </w:r>
    </w:p>
    <w:p w14:paraId="517D937E">
      <w:pPr>
        <w:pStyle w:val="94"/>
        <w:numPr>
          <w:ilvl w:val="0"/>
          <w:numId w:val="213"/>
        </w:numPr>
        <w:ind w:left="0" w:firstLine="480"/>
        <w:rPr>
          <w:color w:val="auto"/>
          <w:sz w:val="24"/>
        </w:rPr>
      </w:pPr>
      <w:r>
        <w:rPr>
          <w:color w:val="auto"/>
          <w:sz w:val="24"/>
        </w:rPr>
        <w:t>提供统一的抗生素药品设置界面</w:t>
      </w:r>
      <w:r>
        <w:rPr>
          <w:rFonts w:hint="eastAsia"/>
          <w:color w:val="auto"/>
          <w:sz w:val="24"/>
        </w:rPr>
        <w:t>。</w:t>
      </w:r>
    </w:p>
    <w:p w14:paraId="512D0535">
      <w:pPr>
        <w:pStyle w:val="94"/>
        <w:numPr>
          <w:ilvl w:val="0"/>
          <w:numId w:val="213"/>
        </w:numPr>
        <w:ind w:left="0" w:firstLine="480"/>
        <w:rPr>
          <w:color w:val="auto"/>
          <w:sz w:val="24"/>
        </w:rPr>
      </w:pPr>
      <w:r>
        <w:rPr>
          <w:color w:val="auto"/>
          <w:sz w:val="24"/>
        </w:rPr>
        <w:t>支持定义抗生素等级</w:t>
      </w:r>
      <w:r>
        <w:rPr>
          <w:rFonts w:hint="eastAsia"/>
          <w:color w:val="auto"/>
          <w:sz w:val="24"/>
        </w:rPr>
        <w:t>、</w:t>
      </w:r>
      <w:r>
        <w:rPr>
          <w:color w:val="auto"/>
          <w:sz w:val="24"/>
        </w:rPr>
        <w:t>DDD值</w:t>
      </w:r>
      <w:r>
        <w:rPr>
          <w:rFonts w:hint="eastAsia"/>
          <w:color w:val="auto"/>
          <w:sz w:val="24"/>
        </w:rPr>
        <w:t>、</w:t>
      </w:r>
      <w:r>
        <w:rPr>
          <w:color w:val="auto"/>
          <w:sz w:val="24"/>
        </w:rPr>
        <w:t>是否计入强度计算等信息</w:t>
      </w:r>
      <w:r>
        <w:rPr>
          <w:rFonts w:hint="eastAsia"/>
          <w:color w:val="auto"/>
          <w:sz w:val="24"/>
        </w:rPr>
        <w:t>。</w:t>
      </w:r>
    </w:p>
    <w:p w14:paraId="5BE50056">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统计查询</w:t>
      </w:r>
      <w:bookmarkEnd w:id="397"/>
    </w:p>
    <w:p w14:paraId="66C24E50">
      <w:pPr>
        <w:ind w:firstLine="480"/>
        <w:rPr>
          <w:color w:val="auto"/>
        </w:rPr>
      </w:pPr>
      <w:r>
        <w:rPr>
          <w:rFonts w:hint="eastAsia"/>
          <w:color w:val="auto"/>
        </w:rPr>
        <w:t>（一）抗生素使用率查询</w:t>
      </w:r>
    </w:p>
    <w:p w14:paraId="7F00FD03">
      <w:pPr>
        <w:pStyle w:val="94"/>
        <w:numPr>
          <w:ilvl w:val="0"/>
          <w:numId w:val="214"/>
        </w:numPr>
        <w:ind w:left="0" w:firstLine="480"/>
        <w:rPr>
          <w:color w:val="auto"/>
          <w:sz w:val="24"/>
        </w:rPr>
      </w:pPr>
      <w:r>
        <w:rPr>
          <w:rFonts w:hint="eastAsia"/>
          <w:color w:val="auto"/>
          <w:sz w:val="24"/>
        </w:rPr>
        <w:t>查询一段时间内：医联体内医院、医院内科室、医院内医生的各项使用率。</w:t>
      </w:r>
    </w:p>
    <w:p w14:paraId="08665B48">
      <w:pPr>
        <w:pStyle w:val="94"/>
        <w:numPr>
          <w:ilvl w:val="0"/>
          <w:numId w:val="214"/>
        </w:numPr>
        <w:ind w:left="0" w:firstLine="480"/>
        <w:rPr>
          <w:color w:val="auto"/>
          <w:sz w:val="24"/>
        </w:rPr>
      </w:pPr>
      <w:r>
        <w:rPr>
          <w:rFonts w:hint="eastAsia"/>
          <w:color w:val="auto"/>
          <w:sz w:val="24"/>
        </w:rPr>
        <w:t>查询指标：门诊使用率、住院使用率、使用率、门诊二联使用率、门诊三联使用率、住院二联使用率、住院三联使用率、二联使用率、三联使用率。</w:t>
      </w:r>
    </w:p>
    <w:p w14:paraId="1B63B21D">
      <w:pPr>
        <w:ind w:firstLine="480"/>
        <w:rPr>
          <w:color w:val="auto"/>
        </w:rPr>
      </w:pPr>
      <w:r>
        <w:rPr>
          <w:rFonts w:hint="eastAsia"/>
          <w:color w:val="auto"/>
        </w:rPr>
        <w:t>（二）抗生素使用强度查询</w:t>
      </w:r>
    </w:p>
    <w:p w14:paraId="3EF4CF24">
      <w:pPr>
        <w:pStyle w:val="94"/>
        <w:numPr>
          <w:ilvl w:val="0"/>
          <w:numId w:val="215"/>
        </w:numPr>
        <w:ind w:left="0" w:firstLine="480"/>
        <w:rPr>
          <w:color w:val="auto"/>
          <w:sz w:val="24"/>
        </w:rPr>
      </w:pPr>
      <w:r>
        <w:rPr>
          <w:color w:val="auto"/>
          <w:sz w:val="24"/>
        </w:rPr>
        <w:t>查询时间段内</w:t>
      </w:r>
      <w:r>
        <w:rPr>
          <w:rFonts w:hint="eastAsia"/>
          <w:color w:val="auto"/>
          <w:sz w:val="24"/>
        </w:rPr>
        <w:t>：</w:t>
      </w:r>
      <w:r>
        <w:rPr>
          <w:color w:val="auto"/>
          <w:sz w:val="24"/>
        </w:rPr>
        <w:t>全院抗生素使用强度</w:t>
      </w:r>
      <w:r>
        <w:rPr>
          <w:rFonts w:hint="eastAsia"/>
          <w:color w:val="auto"/>
          <w:sz w:val="24"/>
        </w:rPr>
        <w:t>、</w:t>
      </w:r>
      <w:r>
        <w:rPr>
          <w:color w:val="auto"/>
          <w:sz w:val="24"/>
        </w:rPr>
        <w:t>门诊使用强度</w:t>
      </w:r>
      <w:r>
        <w:rPr>
          <w:rFonts w:hint="eastAsia"/>
          <w:color w:val="auto"/>
          <w:sz w:val="24"/>
        </w:rPr>
        <w:t>、</w:t>
      </w:r>
      <w:r>
        <w:rPr>
          <w:color w:val="auto"/>
          <w:sz w:val="24"/>
        </w:rPr>
        <w:t>住院使用强度</w:t>
      </w:r>
      <w:r>
        <w:rPr>
          <w:rFonts w:hint="eastAsia"/>
          <w:color w:val="auto"/>
          <w:sz w:val="24"/>
        </w:rPr>
        <w:t>、</w:t>
      </w:r>
      <w:r>
        <w:rPr>
          <w:color w:val="auto"/>
          <w:sz w:val="24"/>
        </w:rPr>
        <w:t>手术科室使用强度</w:t>
      </w:r>
      <w:r>
        <w:rPr>
          <w:rFonts w:hint="eastAsia"/>
          <w:color w:val="auto"/>
          <w:sz w:val="24"/>
        </w:rPr>
        <w:t>。</w:t>
      </w:r>
    </w:p>
    <w:p w14:paraId="47406394">
      <w:pPr>
        <w:pStyle w:val="94"/>
        <w:numPr>
          <w:ilvl w:val="0"/>
          <w:numId w:val="215"/>
        </w:numPr>
        <w:ind w:left="0" w:firstLine="480"/>
        <w:rPr>
          <w:color w:val="auto"/>
          <w:sz w:val="24"/>
        </w:rPr>
      </w:pPr>
      <w:r>
        <w:rPr>
          <w:color w:val="auto"/>
          <w:sz w:val="24"/>
        </w:rPr>
        <w:t>查询指标</w:t>
      </w:r>
      <w:r>
        <w:rPr>
          <w:rFonts w:hint="eastAsia"/>
          <w:color w:val="auto"/>
          <w:sz w:val="24"/>
        </w:rPr>
        <w:t>：</w:t>
      </w:r>
      <w:r>
        <w:rPr>
          <w:color w:val="auto"/>
          <w:sz w:val="24"/>
        </w:rPr>
        <w:t>科室编号</w:t>
      </w:r>
      <w:r>
        <w:rPr>
          <w:rFonts w:hint="eastAsia"/>
          <w:color w:val="auto"/>
          <w:sz w:val="24"/>
        </w:rPr>
        <w:t>、</w:t>
      </w:r>
      <w:r>
        <w:rPr>
          <w:color w:val="auto"/>
          <w:sz w:val="24"/>
        </w:rPr>
        <w:t>科室名称</w:t>
      </w:r>
      <w:r>
        <w:rPr>
          <w:rFonts w:hint="eastAsia"/>
          <w:color w:val="auto"/>
          <w:sz w:val="24"/>
        </w:rPr>
        <w:t>、</w:t>
      </w:r>
      <w:r>
        <w:rPr>
          <w:color w:val="auto"/>
          <w:sz w:val="24"/>
        </w:rPr>
        <w:t>累计DDD数</w:t>
      </w:r>
      <w:r>
        <w:rPr>
          <w:rFonts w:hint="eastAsia"/>
          <w:color w:val="auto"/>
          <w:sz w:val="24"/>
        </w:rPr>
        <w:t>、</w:t>
      </w:r>
      <w:r>
        <w:rPr>
          <w:color w:val="auto"/>
          <w:sz w:val="24"/>
        </w:rPr>
        <w:t>同期收治患者人天数</w:t>
      </w:r>
      <w:r>
        <w:rPr>
          <w:rFonts w:hint="eastAsia"/>
          <w:color w:val="auto"/>
          <w:sz w:val="24"/>
        </w:rPr>
        <w:t>、</w:t>
      </w:r>
      <w:r>
        <w:rPr>
          <w:color w:val="auto"/>
          <w:sz w:val="24"/>
        </w:rPr>
        <w:t>使用强度</w:t>
      </w:r>
      <w:r>
        <w:rPr>
          <w:rFonts w:hint="eastAsia"/>
          <w:color w:val="auto"/>
          <w:sz w:val="24"/>
        </w:rPr>
        <w:t>。</w:t>
      </w:r>
    </w:p>
    <w:p w14:paraId="5A916AE9">
      <w:pPr>
        <w:pStyle w:val="14"/>
        <w:bidi w:val="0"/>
        <w:rPr>
          <w:color w:val="auto"/>
        </w:rPr>
      </w:pPr>
      <w:r>
        <w:rPr>
          <w:rFonts w:hint="eastAsia"/>
          <w:color w:val="auto"/>
        </w:rPr>
        <w:tab/>
      </w:r>
      <w:r>
        <w:rPr>
          <w:rFonts w:hint="eastAsia"/>
          <w:color w:val="auto"/>
        </w:rPr>
        <w:t>静脉药物配置管理</w:t>
      </w:r>
    </w:p>
    <w:p w14:paraId="3D6DF436">
      <w:pPr>
        <w:bidi w:val="0"/>
        <w:rPr>
          <w:rFonts w:hint="eastAsia"/>
          <w:color w:val="auto"/>
        </w:rPr>
      </w:pPr>
      <w:r>
        <w:rPr>
          <w:color w:val="auto"/>
        </w:rPr>
        <w:t>静脉用药调配中心是医疗机构药学部门根据医师处方或用药医嘱，经药师进行适宜性审核，由药学专业技术人员按照无菌操作要求，在洁净环境下对静脉用药物进行加药混合调配，使其成为可供临床直接静脉输注使用的成品输液和药学服务的机构。</w:t>
      </w:r>
    </w:p>
    <w:p w14:paraId="097E65B7">
      <w:pPr>
        <w:bidi w:val="0"/>
        <w:rPr>
          <w:rFonts w:hint="eastAsia"/>
          <w:color w:val="auto"/>
        </w:rPr>
      </w:pPr>
      <w:r>
        <w:rPr>
          <w:color w:val="auto"/>
        </w:rPr>
        <w:t>医院静脉输液配置中心完全改变了传统的用药方式，医生开好处方单后由电脑输入到配制中心，先由药师核对检查其用药的合理性，然后再严格按照无菌配置技术配置药物，提供给病人正确的输液、正确的浓度、正确的给药持续时间。</w:t>
      </w:r>
    </w:p>
    <w:p w14:paraId="11139602">
      <w:pPr>
        <w:bidi w:val="0"/>
        <w:rPr>
          <w:b/>
          <w:bCs/>
          <w:color w:val="auto"/>
        </w:rPr>
      </w:pPr>
      <w:bookmarkStart w:id="398" w:name="_Toc153618431"/>
      <w:r>
        <w:rPr>
          <w:b/>
          <w:bCs/>
          <w:color w:val="auto"/>
        </w:rPr>
        <w:t>操作流程</w:t>
      </w:r>
      <w:bookmarkEnd w:id="398"/>
    </w:p>
    <w:p w14:paraId="6BFF7BE3">
      <w:pPr>
        <w:bidi w:val="0"/>
        <w:rPr>
          <w:color w:val="auto"/>
        </w:rPr>
      </w:pPr>
      <w:r>
        <w:rPr>
          <w:color w:val="auto"/>
        </w:rPr>
        <w:t>根据医院的具体情况，分散式配置中心在统一排药复核后，按照科室把需要配置的药品按单组次送达到科室，并进行科室交接；科室使用条码扫描进行输液单接收确定。科室在按照批次配置前，进行退药处理，然后按照批次进行配置， 配置完毕后，按照输液标签进行扫描，确定配置完成。</w:t>
      </w:r>
    </w:p>
    <w:p w14:paraId="6FA45330">
      <w:pPr>
        <w:keepNext w:val="0"/>
        <w:keepLines w:val="0"/>
        <w:widowControl w:val="0"/>
        <w:suppressLineNumbers w:val="0"/>
        <w:spacing w:before="0" w:beforeAutospacing="0" w:after="0" w:afterAutospacing="0" w:line="360" w:lineRule="auto"/>
        <w:ind w:left="0" w:right="0" w:firstLine="480" w:firstLineChars="200"/>
        <w:jc w:val="both"/>
        <w:rPr>
          <w:rFonts w:hint="eastAsia"/>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25650C6">
      <w:pPr>
        <w:bidi w:val="0"/>
        <w:rPr>
          <w:b/>
          <w:bCs/>
          <w:color w:val="auto"/>
        </w:rPr>
      </w:pPr>
      <w:bookmarkStart w:id="399" w:name="_Toc153618432"/>
      <w:r>
        <w:rPr>
          <w:b/>
          <w:bCs/>
          <w:color w:val="auto"/>
        </w:rPr>
        <w:t>功能介绍</w:t>
      </w:r>
      <w:bookmarkEnd w:id="399"/>
    </w:p>
    <w:p w14:paraId="4338A113">
      <w:pPr>
        <w:bidi w:val="0"/>
        <w:rPr>
          <w:rFonts w:hint="eastAsia"/>
          <w:color w:val="auto"/>
        </w:rPr>
      </w:pPr>
      <w:r>
        <w:rPr>
          <w:color w:val="auto"/>
        </w:rPr>
        <w:t>静脉药物配置中心(PIVAs)管理系统包括以下功能：</w:t>
      </w:r>
    </w:p>
    <w:p w14:paraId="1E773F3F">
      <w:pPr>
        <w:pStyle w:val="94"/>
        <w:numPr>
          <w:ilvl w:val="0"/>
          <w:numId w:val="216"/>
        </w:numPr>
        <w:autoSpaceDE w:val="0"/>
        <w:autoSpaceDN w:val="0"/>
        <w:ind w:left="0" w:firstLine="480"/>
        <w:rPr>
          <w:color w:val="auto"/>
          <w:sz w:val="24"/>
        </w:rPr>
      </w:pPr>
      <w:r>
        <w:rPr>
          <w:color w:val="auto"/>
          <w:sz w:val="24"/>
        </w:rPr>
        <w:t>PIVAS</w:t>
      </w:r>
      <w:r>
        <w:rPr>
          <w:color w:val="auto"/>
          <w:spacing w:val="-24"/>
          <w:sz w:val="24"/>
        </w:rPr>
        <w:t xml:space="preserve"> 系统与 </w:t>
      </w:r>
      <w:r>
        <w:rPr>
          <w:color w:val="auto"/>
          <w:sz w:val="24"/>
        </w:rPr>
        <w:t>HIS</w:t>
      </w:r>
      <w:r>
        <w:rPr>
          <w:color w:val="auto"/>
          <w:spacing w:val="-8"/>
          <w:sz w:val="24"/>
        </w:rPr>
        <w:t xml:space="preserve"> 系统的数据接口</w:t>
      </w:r>
    </w:p>
    <w:p w14:paraId="6C46B64C">
      <w:pPr>
        <w:pStyle w:val="94"/>
        <w:numPr>
          <w:ilvl w:val="0"/>
          <w:numId w:val="216"/>
        </w:numPr>
        <w:autoSpaceDE w:val="0"/>
        <w:autoSpaceDN w:val="0"/>
        <w:ind w:left="0" w:firstLine="480"/>
        <w:rPr>
          <w:color w:val="auto"/>
          <w:sz w:val="24"/>
        </w:rPr>
      </w:pPr>
      <w:r>
        <w:rPr>
          <w:color w:val="auto"/>
          <w:sz w:val="24"/>
        </w:rPr>
        <w:t>HIS</w:t>
      </w:r>
      <w:r>
        <w:rPr>
          <w:color w:val="auto"/>
          <w:spacing w:val="-12"/>
          <w:sz w:val="24"/>
        </w:rPr>
        <w:t xml:space="preserve"> 医嘱审查</w:t>
      </w:r>
    </w:p>
    <w:p w14:paraId="14944C9A">
      <w:pPr>
        <w:pStyle w:val="94"/>
        <w:numPr>
          <w:ilvl w:val="0"/>
          <w:numId w:val="216"/>
        </w:numPr>
        <w:autoSpaceDE w:val="0"/>
        <w:autoSpaceDN w:val="0"/>
        <w:ind w:left="0" w:firstLine="480"/>
        <w:rPr>
          <w:color w:val="auto"/>
          <w:sz w:val="24"/>
        </w:rPr>
      </w:pPr>
      <w:r>
        <w:rPr>
          <w:color w:val="auto"/>
          <w:sz w:val="24"/>
        </w:rPr>
        <w:t>输液单提取</w:t>
      </w:r>
    </w:p>
    <w:p w14:paraId="1DA6FACD">
      <w:pPr>
        <w:pStyle w:val="94"/>
        <w:numPr>
          <w:ilvl w:val="0"/>
          <w:numId w:val="216"/>
        </w:numPr>
        <w:autoSpaceDE w:val="0"/>
        <w:autoSpaceDN w:val="0"/>
        <w:ind w:left="0" w:firstLine="480"/>
        <w:rPr>
          <w:color w:val="auto"/>
          <w:sz w:val="24"/>
        </w:rPr>
      </w:pPr>
      <w:r>
        <w:rPr>
          <w:color w:val="auto"/>
          <w:sz w:val="24"/>
        </w:rPr>
        <w:t>输液单审查</w:t>
      </w:r>
    </w:p>
    <w:p w14:paraId="223D6E67">
      <w:pPr>
        <w:pStyle w:val="94"/>
        <w:numPr>
          <w:ilvl w:val="0"/>
          <w:numId w:val="216"/>
        </w:numPr>
        <w:autoSpaceDE w:val="0"/>
        <w:autoSpaceDN w:val="0"/>
        <w:ind w:left="0" w:firstLine="480"/>
        <w:rPr>
          <w:color w:val="auto"/>
          <w:sz w:val="24"/>
        </w:rPr>
      </w:pPr>
      <w:r>
        <w:rPr>
          <w:color w:val="auto"/>
          <w:sz w:val="24"/>
        </w:rPr>
        <w:t>当天用药摆药</w:t>
      </w:r>
    </w:p>
    <w:p w14:paraId="232A4A9C">
      <w:pPr>
        <w:pStyle w:val="94"/>
        <w:numPr>
          <w:ilvl w:val="0"/>
          <w:numId w:val="216"/>
        </w:numPr>
        <w:autoSpaceDE w:val="0"/>
        <w:autoSpaceDN w:val="0"/>
        <w:ind w:left="0" w:firstLine="480"/>
        <w:rPr>
          <w:color w:val="auto"/>
          <w:sz w:val="24"/>
        </w:rPr>
      </w:pPr>
      <w:r>
        <w:rPr>
          <w:color w:val="auto"/>
          <w:sz w:val="24"/>
        </w:rPr>
        <w:t>摆药决策</w:t>
      </w:r>
    </w:p>
    <w:p w14:paraId="5C0D81BC">
      <w:pPr>
        <w:pStyle w:val="94"/>
        <w:numPr>
          <w:ilvl w:val="0"/>
          <w:numId w:val="216"/>
        </w:numPr>
        <w:autoSpaceDE w:val="0"/>
        <w:autoSpaceDN w:val="0"/>
        <w:ind w:left="0" w:firstLine="480"/>
        <w:rPr>
          <w:color w:val="auto"/>
          <w:sz w:val="24"/>
        </w:rPr>
      </w:pPr>
      <w:r>
        <w:rPr>
          <w:color w:val="auto"/>
          <w:sz w:val="24"/>
        </w:rPr>
        <w:t>科室摆药汇总</w:t>
      </w:r>
    </w:p>
    <w:p w14:paraId="4F07A016">
      <w:pPr>
        <w:pStyle w:val="94"/>
        <w:numPr>
          <w:ilvl w:val="0"/>
          <w:numId w:val="216"/>
        </w:numPr>
        <w:autoSpaceDE w:val="0"/>
        <w:autoSpaceDN w:val="0"/>
        <w:ind w:left="0" w:firstLine="480"/>
        <w:rPr>
          <w:color w:val="auto"/>
          <w:sz w:val="24"/>
        </w:rPr>
      </w:pPr>
      <w:r>
        <w:rPr>
          <w:color w:val="auto"/>
          <w:sz w:val="24"/>
        </w:rPr>
        <w:t>输液单打印</w:t>
      </w:r>
    </w:p>
    <w:p w14:paraId="441A7140">
      <w:pPr>
        <w:pStyle w:val="94"/>
        <w:numPr>
          <w:ilvl w:val="0"/>
          <w:numId w:val="216"/>
        </w:numPr>
        <w:autoSpaceDE w:val="0"/>
        <w:autoSpaceDN w:val="0"/>
        <w:ind w:left="0" w:firstLine="480"/>
        <w:rPr>
          <w:color w:val="auto"/>
          <w:sz w:val="24"/>
        </w:rPr>
      </w:pPr>
      <w:r>
        <w:rPr>
          <w:color w:val="auto"/>
          <w:sz w:val="24"/>
        </w:rPr>
        <w:t>排药复核</w:t>
      </w:r>
    </w:p>
    <w:p w14:paraId="4CD3655D">
      <w:pPr>
        <w:pStyle w:val="94"/>
        <w:numPr>
          <w:ilvl w:val="0"/>
          <w:numId w:val="216"/>
        </w:numPr>
        <w:autoSpaceDE w:val="0"/>
        <w:autoSpaceDN w:val="0"/>
        <w:ind w:left="0" w:firstLine="480"/>
        <w:rPr>
          <w:color w:val="auto"/>
          <w:sz w:val="24"/>
        </w:rPr>
      </w:pPr>
      <w:r>
        <w:rPr>
          <w:color w:val="auto"/>
          <w:sz w:val="24"/>
        </w:rPr>
        <w:t>退药处理</w:t>
      </w:r>
    </w:p>
    <w:p w14:paraId="11D15AB6">
      <w:pPr>
        <w:pStyle w:val="94"/>
        <w:numPr>
          <w:ilvl w:val="0"/>
          <w:numId w:val="216"/>
        </w:numPr>
        <w:autoSpaceDE w:val="0"/>
        <w:autoSpaceDN w:val="0"/>
        <w:ind w:left="0" w:firstLine="480"/>
        <w:rPr>
          <w:color w:val="auto"/>
          <w:sz w:val="24"/>
        </w:rPr>
      </w:pPr>
      <w:r>
        <w:rPr>
          <w:color w:val="auto"/>
          <w:sz w:val="24"/>
        </w:rPr>
        <w:t>成品复核</w:t>
      </w:r>
    </w:p>
    <w:p w14:paraId="66C431FE">
      <w:pPr>
        <w:pStyle w:val="94"/>
        <w:numPr>
          <w:ilvl w:val="0"/>
          <w:numId w:val="216"/>
        </w:numPr>
        <w:autoSpaceDE w:val="0"/>
        <w:autoSpaceDN w:val="0"/>
        <w:ind w:left="0" w:firstLine="480"/>
        <w:rPr>
          <w:color w:val="auto"/>
          <w:sz w:val="24"/>
        </w:rPr>
      </w:pPr>
      <w:r>
        <w:rPr>
          <w:color w:val="auto"/>
          <w:sz w:val="24"/>
        </w:rPr>
        <w:t>科室交接单</w:t>
      </w:r>
    </w:p>
    <w:p w14:paraId="47A5664D">
      <w:pPr>
        <w:pStyle w:val="94"/>
        <w:numPr>
          <w:ilvl w:val="0"/>
          <w:numId w:val="216"/>
        </w:numPr>
        <w:autoSpaceDE w:val="0"/>
        <w:autoSpaceDN w:val="0"/>
        <w:ind w:left="0" w:firstLine="480"/>
        <w:rPr>
          <w:color w:val="auto"/>
          <w:sz w:val="24"/>
        </w:rPr>
      </w:pPr>
      <w:r>
        <w:rPr>
          <w:color w:val="auto"/>
          <w:sz w:val="24"/>
        </w:rPr>
        <w:t>输液单费用管理</w:t>
      </w:r>
    </w:p>
    <w:p w14:paraId="2AFB53D0">
      <w:pPr>
        <w:pStyle w:val="94"/>
        <w:numPr>
          <w:ilvl w:val="0"/>
          <w:numId w:val="216"/>
        </w:numPr>
        <w:autoSpaceDE w:val="0"/>
        <w:autoSpaceDN w:val="0"/>
        <w:ind w:left="0" w:firstLine="480"/>
        <w:rPr>
          <w:color w:val="auto"/>
          <w:sz w:val="24"/>
        </w:rPr>
      </w:pPr>
      <w:r>
        <w:rPr>
          <w:color w:val="auto"/>
          <w:sz w:val="24"/>
        </w:rPr>
        <w:t>输液袋回收</w:t>
      </w:r>
    </w:p>
    <w:p w14:paraId="61637D6A">
      <w:pPr>
        <w:pStyle w:val="94"/>
        <w:numPr>
          <w:ilvl w:val="0"/>
          <w:numId w:val="216"/>
        </w:numPr>
        <w:autoSpaceDE w:val="0"/>
        <w:autoSpaceDN w:val="0"/>
        <w:ind w:left="0" w:firstLine="480"/>
        <w:rPr>
          <w:color w:val="auto"/>
          <w:sz w:val="24"/>
        </w:rPr>
      </w:pPr>
      <w:r>
        <w:rPr>
          <w:color w:val="auto"/>
          <w:sz w:val="24"/>
        </w:rPr>
        <w:t>输液单查询</w:t>
      </w:r>
    </w:p>
    <w:p w14:paraId="0E4B583C">
      <w:pPr>
        <w:pStyle w:val="94"/>
        <w:numPr>
          <w:ilvl w:val="0"/>
          <w:numId w:val="216"/>
        </w:numPr>
        <w:autoSpaceDE w:val="0"/>
        <w:autoSpaceDN w:val="0"/>
        <w:ind w:left="0" w:firstLine="480"/>
        <w:rPr>
          <w:color w:val="auto"/>
          <w:sz w:val="24"/>
        </w:rPr>
      </w:pPr>
      <w:r>
        <w:rPr>
          <w:color w:val="auto"/>
          <w:sz w:val="24"/>
        </w:rPr>
        <w:t>基本资料维护</w:t>
      </w:r>
    </w:p>
    <w:p w14:paraId="6204A628">
      <w:pPr>
        <w:pStyle w:val="94"/>
        <w:numPr>
          <w:ilvl w:val="0"/>
          <w:numId w:val="216"/>
        </w:numPr>
        <w:autoSpaceDE w:val="0"/>
        <w:autoSpaceDN w:val="0"/>
        <w:ind w:left="0" w:firstLine="480"/>
        <w:rPr>
          <w:color w:val="auto"/>
          <w:sz w:val="24"/>
        </w:rPr>
      </w:pPr>
      <w:r>
        <w:rPr>
          <w:color w:val="auto"/>
          <w:sz w:val="24"/>
        </w:rPr>
        <w:t>输液单重新打印操作</w:t>
      </w:r>
    </w:p>
    <w:p w14:paraId="4F005F33">
      <w:pPr>
        <w:pStyle w:val="94"/>
        <w:numPr>
          <w:ilvl w:val="0"/>
          <w:numId w:val="216"/>
        </w:numPr>
        <w:autoSpaceDE w:val="0"/>
        <w:autoSpaceDN w:val="0"/>
        <w:ind w:left="0" w:firstLine="480"/>
        <w:rPr>
          <w:color w:val="auto"/>
          <w:sz w:val="24"/>
        </w:rPr>
      </w:pPr>
      <w:r>
        <w:rPr>
          <w:color w:val="auto"/>
          <w:sz w:val="24"/>
        </w:rPr>
        <w:t>相关查询和决策分析</w:t>
      </w:r>
    </w:p>
    <w:p w14:paraId="37D15D64">
      <w:pPr>
        <w:bidi w:val="0"/>
        <w:rPr>
          <w:rFonts w:hint="eastAsia"/>
          <w:color w:val="auto"/>
        </w:rPr>
      </w:pPr>
      <w:r>
        <w:rPr>
          <w:color w:val="auto"/>
        </w:rPr>
        <w:t>全面支持医药临床药局的管理模式，支持临时医嘱和长期医嘱的处理，支持临时医嘱强制配置和单品种药品集中配置的功能，可以最大程度的满足不同医院业务流程。</w:t>
      </w:r>
    </w:p>
    <w:p w14:paraId="20FA9D83">
      <w:pPr>
        <w:bidi w:val="0"/>
        <w:rPr>
          <w:rFonts w:hint="eastAsia"/>
          <w:color w:val="auto"/>
        </w:rPr>
      </w:pPr>
      <w:r>
        <w:rPr>
          <w:color w:val="auto"/>
        </w:rPr>
        <w:t>可集成业内普及率较高的合理用药系统，如美康、大通的合理用药审查功能， 确保安全用药。</w:t>
      </w:r>
    </w:p>
    <w:p w14:paraId="234CDD83">
      <w:pPr>
        <w:bidi w:val="0"/>
        <w:rPr>
          <w:rFonts w:hint="eastAsia"/>
          <w:color w:val="auto"/>
        </w:rPr>
      </w:pPr>
      <w:r>
        <w:rPr>
          <w:color w:val="auto"/>
        </w:rPr>
        <w:t>在静脉配置单打印、排药复核、成品复核退药处理中，全面支持条码扫描设备。</w:t>
      </w:r>
    </w:p>
    <w:p w14:paraId="25379DF1">
      <w:pPr>
        <w:bidi w:val="0"/>
        <w:rPr>
          <w:rFonts w:hint="eastAsia"/>
          <w:color w:val="auto"/>
        </w:rPr>
      </w:pPr>
      <w:r>
        <w:rPr>
          <w:color w:val="auto"/>
        </w:rPr>
        <w:t>支持图像抓拍功能，可以把排药复核、成品复核时的照片进行拍照抓取，保存现场的图片，保证每组输液的排药到配置成品的逆向追查。</w:t>
      </w:r>
    </w:p>
    <w:p w14:paraId="61F87789">
      <w:pPr>
        <w:pStyle w:val="13"/>
        <w:bidi w:val="0"/>
        <w:ind w:left="1008" w:leftChars="0" w:hanging="1008" w:firstLineChars="0"/>
        <w:rPr>
          <w:color w:val="auto"/>
        </w:rPr>
      </w:pPr>
      <w:r>
        <w:rPr>
          <w:rFonts w:hint="eastAsia"/>
          <w:color w:val="auto"/>
          <w:lang w:val="en-US" w:eastAsia="zh-CN"/>
        </w:rPr>
        <w:t xml:space="preserve"> </w:t>
      </w:r>
      <w:r>
        <w:rPr>
          <w:rFonts w:hint="eastAsia"/>
          <w:color w:val="auto"/>
        </w:rPr>
        <w:t>结算系统</w:t>
      </w:r>
      <w:r>
        <w:rPr>
          <w:rFonts w:hint="eastAsia"/>
          <w:color w:val="auto"/>
        </w:rPr>
        <w:tab/>
      </w:r>
    </w:p>
    <w:p w14:paraId="2C39AFE2">
      <w:pPr>
        <w:pStyle w:val="14"/>
        <w:bidi w:val="0"/>
        <w:rPr>
          <w:color w:val="auto"/>
        </w:rPr>
      </w:pPr>
      <w:r>
        <w:rPr>
          <w:rFonts w:hint="eastAsia"/>
          <w:color w:val="auto"/>
          <w:lang w:val="en-US" w:eastAsia="zh-CN"/>
        </w:rPr>
        <w:t xml:space="preserve"> </w:t>
      </w:r>
      <w:r>
        <w:rPr>
          <w:rFonts w:hint="eastAsia"/>
          <w:color w:val="auto"/>
        </w:rPr>
        <w:t>门诊收费结算系统</w:t>
      </w:r>
    </w:p>
    <w:p w14:paraId="6E5F9D15">
      <w:pPr>
        <w:bidi w:val="0"/>
        <w:rPr>
          <w:color w:val="auto"/>
        </w:rPr>
      </w:pPr>
      <w:r>
        <w:rPr>
          <w:color w:val="auto"/>
        </w:rPr>
        <w:t>支持多支付方式、医保对接及电子发票，提供退费控制与日结对账功能，优化患者缴费体验并保障财务准确性。</w:t>
      </w:r>
    </w:p>
    <w:p w14:paraId="26758DB6">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6716DCB">
      <w:pPr>
        <w:pStyle w:val="341"/>
        <w:spacing w:beforeLines="0"/>
        <w:ind w:firstLine="482"/>
        <w:rPr>
          <w:rFonts w:hint="eastAsia" w:ascii="宋体" w:hAnsi="宋体" w:cs="仿宋"/>
          <w:b/>
          <w:bCs/>
          <w:color w:val="auto"/>
          <w:sz w:val="24"/>
          <w:szCs w:val="24"/>
        </w:rPr>
      </w:pPr>
      <w:bookmarkStart w:id="400" w:name="_Toc106373322"/>
      <w:r>
        <w:rPr>
          <w:rFonts w:hint="eastAsia" w:ascii="宋体" w:hAnsi="宋体" w:cs="仿宋"/>
          <w:b/>
          <w:bCs/>
          <w:color w:val="auto"/>
          <w:sz w:val="24"/>
          <w:szCs w:val="24"/>
        </w:rPr>
        <w:t>门诊收费</w:t>
      </w:r>
      <w:bookmarkEnd w:id="400"/>
    </w:p>
    <w:p w14:paraId="2F67362C">
      <w:pPr>
        <w:pStyle w:val="94"/>
        <w:numPr>
          <w:ilvl w:val="0"/>
          <w:numId w:val="217"/>
        </w:numPr>
        <w:ind w:left="0" w:firstLine="480"/>
        <w:rPr>
          <w:rFonts w:cs="Arial"/>
          <w:bCs/>
          <w:color w:val="auto"/>
          <w:sz w:val="24"/>
        </w:rPr>
      </w:pPr>
      <w:bookmarkStart w:id="401" w:name="_Toc106373323"/>
      <w:r>
        <w:rPr>
          <w:rFonts w:hint="eastAsia" w:cs="Arial"/>
          <w:bCs/>
          <w:color w:val="auto"/>
          <w:sz w:val="24"/>
        </w:rPr>
        <w:t>支持从网络系统中自动获取或直接录入患者收费信息：包括患者姓名、病历号、结算类别、医疗类别、临床诊断、医生编码，开处方科室名称、药品/诊疗项目名、数量等收费有关信息，系统自动划价，输入所收费用，系统自动找零，支持手工收费和医保患者通过读卡收费；</w:t>
      </w:r>
    </w:p>
    <w:p w14:paraId="7BE5B8EF">
      <w:pPr>
        <w:pStyle w:val="94"/>
        <w:numPr>
          <w:ilvl w:val="0"/>
          <w:numId w:val="217"/>
        </w:numPr>
        <w:ind w:left="0" w:firstLine="480"/>
        <w:rPr>
          <w:rFonts w:cs="Arial"/>
          <w:bCs/>
          <w:color w:val="auto"/>
          <w:sz w:val="24"/>
        </w:rPr>
      </w:pPr>
      <w:r>
        <w:rPr>
          <w:rFonts w:cs="Arial"/>
          <w:bCs/>
          <w:color w:val="auto"/>
          <w:sz w:val="24"/>
        </w:rPr>
        <w:t>支持多张处方联合缴费</w:t>
      </w:r>
      <w:r>
        <w:rPr>
          <w:rFonts w:hint="eastAsia" w:cs="Arial"/>
          <w:bCs/>
          <w:color w:val="auto"/>
          <w:sz w:val="24"/>
        </w:rPr>
        <w:t>。</w:t>
      </w:r>
    </w:p>
    <w:p w14:paraId="6FF6A3F9">
      <w:pPr>
        <w:pStyle w:val="94"/>
        <w:numPr>
          <w:ilvl w:val="0"/>
          <w:numId w:val="217"/>
        </w:numPr>
        <w:ind w:left="0" w:firstLine="480"/>
        <w:rPr>
          <w:rFonts w:cs="Arial"/>
          <w:bCs/>
          <w:color w:val="auto"/>
          <w:sz w:val="24"/>
        </w:rPr>
      </w:pPr>
      <w:r>
        <w:rPr>
          <w:rFonts w:cs="Arial"/>
          <w:bCs/>
          <w:color w:val="auto"/>
          <w:sz w:val="24"/>
        </w:rPr>
        <w:t>支持收费后自动打印发票</w:t>
      </w:r>
      <w:r>
        <w:rPr>
          <w:rFonts w:hint="eastAsia" w:cs="Arial"/>
          <w:bCs/>
          <w:color w:val="auto"/>
          <w:sz w:val="24"/>
        </w:rPr>
        <w:t>。</w:t>
      </w:r>
    </w:p>
    <w:p w14:paraId="194DCA93">
      <w:pPr>
        <w:pStyle w:val="94"/>
        <w:numPr>
          <w:ilvl w:val="0"/>
          <w:numId w:val="217"/>
        </w:numPr>
        <w:ind w:left="0" w:firstLine="480"/>
        <w:rPr>
          <w:rFonts w:cs="Arial"/>
          <w:bCs/>
          <w:color w:val="auto"/>
          <w:sz w:val="24"/>
        </w:rPr>
      </w:pPr>
      <w:r>
        <w:rPr>
          <w:rFonts w:cs="Arial"/>
          <w:bCs/>
          <w:color w:val="auto"/>
          <w:sz w:val="24"/>
        </w:rPr>
        <w:t>支持多种结算方式（自费、公费、医保</w:t>
      </w:r>
      <w:r>
        <w:rPr>
          <w:rFonts w:hint="eastAsia" w:cs="Arial"/>
          <w:bCs/>
          <w:color w:val="auto"/>
          <w:sz w:val="24"/>
        </w:rPr>
        <w:t>、商保</w:t>
      </w:r>
      <w:r>
        <w:rPr>
          <w:rFonts w:cs="Arial"/>
          <w:bCs/>
          <w:color w:val="auto"/>
          <w:sz w:val="24"/>
        </w:rPr>
        <w:t>等）、支持自动找零</w:t>
      </w:r>
      <w:r>
        <w:rPr>
          <w:rFonts w:hint="eastAsia" w:cs="Arial"/>
          <w:bCs/>
          <w:color w:val="auto"/>
          <w:sz w:val="24"/>
        </w:rPr>
        <w:t>、移动端支付、刷脸支付、</w:t>
      </w:r>
      <w:r>
        <w:rPr>
          <w:rFonts w:cs="Arial"/>
          <w:bCs/>
          <w:color w:val="auto"/>
          <w:sz w:val="24"/>
        </w:rPr>
        <w:t>银联接口等</w:t>
      </w:r>
      <w:r>
        <w:rPr>
          <w:rFonts w:hint="eastAsia" w:cs="Arial"/>
          <w:bCs/>
          <w:color w:val="auto"/>
          <w:sz w:val="24"/>
        </w:rPr>
        <w:t>。</w:t>
      </w:r>
    </w:p>
    <w:p w14:paraId="3F47D216">
      <w:pPr>
        <w:pStyle w:val="94"/>
        <w:numPr>
          <w:ilvl w:val="0"/>
          <w:numId w:val="217"/>
        </w:numPr>
        <w:ind w:left="0" w:firstLine="480"/>
        <w:rPr>
          <w:rFonts w:cs="Arial"/>
          <w:bCs/>
          <w:color w:val="auto"/>
          <w:sz w:val="24"/>
        </w:rPr>
      </w:pPr>
      <w:r>
        <w:rPr>
          <w:rFonts w:hint="eastAsia" w:cs="Arial"/>
          <w:bCs/>
          <w:color w:val="auto"/>
          <w:sz w:val="24"/>
        </w:rPr>
        <w:t>支持皮试结果呈阳性的药品医嘱单据禁止收费。</w:t>
      </w:r>
    </w:p>
    <w:p w14:paraId="6C4F3FB8">
      <w:pPr>
        <w:pStyle w:val="94"/>
        <w:numPr>
          <w:ilvl w:val="0"/>
          <w:numId w:val="217"/>
        </w:numPr>
        <w:ind w:left="0" w:firstLine="480"/>
        <w:rPr>
          <w:rFonts w:cs="Arial"/>
          <w:bCs/>
          <w:color w:val="auto"/>
          <w:sz w:val="24"/>
        </w:rPr>
      </w:pPr>
      <w:r>
        <w:rPr>
          <w:rFonts w:hint="eastAsia" w:cs="Arial"/>
          <w:bCs/>
          <w:color w:val="auto"/>
          <w:sz w:val="24"/>
        </w:rPr>
        <w:t>支持</w:t>
      </w:r>
      <w:r>
        <w:rPr>
          <w:rFonts w:cs="Arial"/>
          <w:bCs/>
          <w:color w:val="auto"/>
          <w:sz w:val="24"/>
        </w:rPr>
        <w:t>提供灵活的费用折扣</w:t>
      </w:r>
      <w:r>
        <w:rPr>
          <w:rFonts w:hint="eastAsia" w:cs="Arial"/>
          <w:bCs/>
          <w:color w:val="auto"/>
          <w:sz w:val="24"/>
        </w:rPr>
        <w:t>减免</w:t>
      </w:r>
      <w:r>
        <w:rPr>
          <w:rFonts w:cs="Arial"/>
          <w:bCs/>
          <w:color w:val="auto"/>
          <w:sz w:val="24"/>
        </w:rPr>
        <w:t>措施</w:t>
      </w:r>
      <w:r>
        <w:rPr>
          <w:rFonts w:hint="eastAsia" w:cs="Arial"/>
          <w:bCs/>
          <w:color w:val="auto"/>
          <w:sz w:val="24"/>
        </w:rPr>
        <w:t>。</w:t>
      </w:r>
    </w:p>
    <w:p w14:paraId="31245C46">
      <w:pPr>
        <w:pStyle w:val="94"/>
        <w:numPr>
          <w:ilvl w:val="0"/>
          <w:numId w:val="217"/>
        </w:numPr>
        <w:ind w:left="0" w:firstLine="480"/>
        <w:rPr>
          <w:rFonts w:cs="Arial"/>
          <w:bCs/>
          <w:color w:val="auto"/>
          <w:sz w:val="24"/>
        </w:rPr>
      </w:pPr>
      <w:r>
        <w:rPr>
          <w:rFonts w:hint="eastAsia" w:cs="Arial"/>
          <w:bCs/>
          <w:color w:val="auto"/>
          <w:sz w:val="24"/>
        </w:rPr>
        <w:t>支持患者医保账户信息查询。</w:t>
      </w:r>
    </w:p>
    <w:p w14:paraId="16A8DAC4">
      <w:pPr>
        <w:pStyle w:val="94"/>
        <w:numPr>
          <w:ilvl w:val="0"/>
          <w:numId w:val="217"/>
        </w:numPr>
        <w:ind w:left="0" w:firstLine="480"/>
        <w:rPr>
          <w:rFonts w:cs="Arial"/>
          <w:bCs/>
          <w:color w:val="auto"/>
          <w:sz w:val="24"/>
        </w:rPr>
      </w:pPr>
      <w:r>
        <w:rPr>
          <w:rFonts w:hint="eastAsia" w:cs="Arial"/>
          <w:bCs/>
          <w:color w:val="auto"/>
          <w:sz w:val="24"/>
        </w:rPr>
        <w:t>支持医保单边账处理。</w:t>
      </w:r>
    </w:p>
    <w:p w14:paraId="325EF12F">
      <w:pPr>
        <w:pStyle w:val="94"/>
        <w:numPr>
          <w:ilvl w:val="0"/>
          <w:numId w:val="217"/>
        </w:numPr>
        <w:ind w:left="0" w:firstLine="480"/>
        <w:rPr>
          <w:rFonts w:cs="Arial"/>
          <w:bCs/>
          <w:color w:val="auto"/>
          <w:sz w:val="24"/>
        </w:rPr>
      </w:pPr>
      <w:r>
        <w:rPr>
          <w:rFonts w:hint="eastAsia" w:cs="Arial"/>
          <w:bCs/>
          <w:color w:val="auto"/>
          <w:sz w:val="24"/>
        </w:rPr>
        <w:t>支持还药收费。</w:t>
      </w:r>
    </w:p>
    <w:p w14:paraId="6177448B">
      <w:pPr>
        <w:pStyle w:val="94"/>
        <w:numPr>
          <w:ilvl w:val="0"/>
          <w:numId w:val="217"/>
        </w:numPr>
        <w:ind w:left="0" w:firstLine="480"/>
        <w:rPr>
          <w:rFonts w:cs="Arial"/>
          <w:bCs/>
          <w:color w:val="auto"/>
          <w:sz w:val="24"/>
        </w:rPr>
      </w:pPr>
      <w:r>
        <w:rPr>
          <w:rFonts w:hint="eastAsia" w:cs="Arial"/>
          <w:bCs/>
          <w:color w:val="auto"/>
          <w:sz w:val="24"/>
        </w:rPr>
        <w:t>支持发票重打。</w:t>
      </w:r>
    </w:p>
    <w:p w14:paraId="4EE14982">
      <w:pPr>
        <w:pStyle w:val="94"/>
        <w:numPr>
          <w:ilvl w:val="0"/>
          <w:numId w:val="217"/>
        </w:numPr>
        <w:ind w:left="0" w:firstLine="480"/>
        <w:rPr>
          <w:rFonts w:cs="Arial"/>
          <w:bCs/>
          <w:color w:val="auto"/>
          <w:sz w:val="24"/>
        </w:rPr>
      </w:pPr>
      <w:r>
        <w:rPr>
          <w:rFonts w:hint="eastAsia" w:cs="Arial"/>
          <w:bCs/>
          <w:color w:val="auto"/>
          <w:sz w:val="24"/>
        </w:rPr>
        <w:t>支持纸质发票及电子发票两种方式，支持电子发票发送到指定邮箱。</w:t>
      </w:r>
    </w:p>
    <w:p w14:paraId="1F2E66FA">
      <w:pPr>
        <w:pStyle w:val="94"/>
        <w:numPr>
          <w:ilvl w:val="0"/>
          <w:numId w:val="217"/>
        </w:numPr>
        <w:ind w:left="0" w:firstLine="480"/>
        <w:rPr>
          <w:rFonts w:cs="Arial"/>
          <w:bCs/>
          <w:color w:val="auto"/>
          <w:sz w:val="24"/>
        </w:rPr>
      </w:pPr>
      <w:r>
        <w:rPr>
          <w:rFonts w:hint="eastAsia" w:cs="Arial"/>
          <w:bCs/>
          <w:color w:val="auto"/>
          <w:sz w:val="24"/>
        </w:rPr>
        <w:t>浮动收费：对不同的病人类型，可用不同浮动价格收费，但对科室核算、库存药品及材料平衡不受影响；收益浮动部分另外统计报会计冲账。</w:t>
      </w:r>
    </w:p>
    <w:p w14:paraId="6898EAF8">
      <w:pPr>
        <w:pStyle w:val="94"/>
        <w:numPr>
          <w:ilvl w:val="0"/>
          <w:numId w:val="217"/>
        </w:numPr>
        <w:ind w:left="0" w:firstLine="480"/>
        <w:rPr>
          <w:rFonts w:cs="Arial"/>
          <w:bCs/>
          <w:color w:val="auto"/>
          <w:sz w:val="24"/>
        </w:rPr>
      </w:pPr>
      <w:r>
        <w:rPr>
          <w:rFonts w:hint="eastAsia" w:cs="Arial"/>
          <w:bCs/>
          <w:color w:val="auto"/>
          <w:sz w:val="24"/>
        </w:rPr>
        <w:t>支持收费对外显示屏功能，并可选语音提示功能。</w:t>
      </w:r>
    </w:p>
    <w:p w14:paraId="04C7E81F">
      <w:pPr>
        <w:pStyle w:val="94"/>
        <w:numPr>
          <w:ilvl w:val="0"/>
          <w:numId w:val="217"/>
        </w:numPr>
        <w:ind w:left="0" w:firstLine="480"/>
        <w:rPr>
          <w:rFonts w:cs="Arial"/>
          <w:bCs/>
          <w:color w:val="auto"/>
          <w:sz w:val="24"/>
        </w:rPr>
      </w:pPr>
      <w:r>
        <w:rPr>
          <w:rFonts w:hint="eastAsia" w:cs="Arial"/>
          <w:bCs/>
          <w:color w:val="auto"/>
          <w:sz w:val="24"/>
        </w:rPr>
        <w:t>支持同时收多个院区费用。</w:t>
      </w:r>
    </w:p>
    <w:p w14:paraId="4E8D83BA">
      <w:pPr>
        <w:pStyle w:val="94"/>
        <w:numPr>
          <w:ilvl w:val="0"/>
          <w:numId w:val="217"/>
        </w:numPr>
        <w:ind w:left="0" w:firstLine="480"/>
        <w:rPr>
          <w:rFonts w:cs="Arial"/>
          <w:bCs/>
          <w:color w:val="auto"/>
          <w:sz w:val="24"/>
        </w:rPr>
      </w:pPr>
      <w:r>
        <w:rPr>
          <w:rFonts w:hint="eastAsia" w:cs="Arial"/>
          <w:bCs/>
          <w:color w:val="auto"/>
          <w:sz w:val="24"/>
        </w:rPr>
        <w:t>支持门诊收费发票领用、核销、库存管理等功能。</w:t>
      </w:r>
    </w:p>
    <w:p w14:paraId="50B92C73">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门诊退费</w:t>
      </w:r>
      <w:bookmarkEnd w:id="401"/>
    </w:p>
    <w:p w14:paraId="0C05450C">
      <w:pPr>
        <w:pStyle w:val="94"/>
        <w:numPr>
          <w:ilvl w:val="0"/>
          <w:numId w:val="218"/>
        </w:numPr>
        <w:ind w:left="0" w:firstLine="480"/>
        <w:rPr>
          <w:rFonts w:cs="Arial"/>
          <w:bCs/>
          <w:color w:val="auto"/>
          <w:sz w:val="24"/>
        </w:rPr>
      </w:pPr>
      <w:bookmarkStart w:id="402" w:name="_Toc106373324"/>
      <w:r>
        <w:rPr>
          <w:rFonts w:hint="eastAsia" w:cs="Arial"/>
          <w:bCs/>
          <w:color w:val="auto"/>
          <w:sz w:val="24"/>
        </w:rPr>
        <w:t>支持多次退费信息依次退费。</w:t>
      </w:r>
    </w:p>
    <w:p w14:paraId="4F138EAC">
      <w:pPr>
        <w:pStyle w:val="94"/>
        <w:numPr>
          <w:ilvl w:val="0"/>
          <w:numId w:val="218"/>
        </w:numPr>
        <w:ind w:left="0" w:firstLine="480"/>
        <w:rPr>
          <w:rFonts w:cs="Arial"/>
          <w:bCs/>
          <w:color w:val="auto"/>
          <w:sz w:val="24"/>
        </w:rPr>
      </w:pPr>
      <w:r>
        <w:rPr>
          <w:rFonts w:cs="Arial"/>
          <w:bCs/>
          <w:color w:val="auto"/>
          <w:sz w:val="24"/>
        </w:rPr>
        <w:t>支持原发票自动作废</w:t>
      </w:r>
      <w:r>
        <w:rPr>
          <w:rFonts w:hint="eastAsia" w:cs="Arial"/>
          <w:bCs/>
          <w:color w:val="auto"/>
          <w:sz w:val="24"/>
        </w:rPr>
        <w:t>，</w:t>
      </w:r>
      <w:r>
        <w:rPr>
          <w:rFonts w:cs="Arial"/>
          <w:bCs/>
          <w:color w:val="auto"/>
          <w:sz w:val="24"/>
        </w:rPr>
        <w:t>自动打印新发票</w:t>
      </w:r>
      <w:r>
        <w:rPr>
          <w:rFonts w:hint="eastAsia" w:cs="Arial"/>
          <w:bCs/>
          <w:color w:val="auto"/>
          <w:sz w:val="24"/>
        </w:rPr>
        <w:t>。</w:t>
      </w:r>
    </w:p>
    <w:p w14:paraId="17D4B092">
      <w:pPr>
        <w:pStyle w:val="94"/>
        <w:numPr>
          <w:ilvl w:val="0"/>
          <w:numId w:val="218"/>
        </w:numPr>
        <w:ind w:left="0" w:firstLine="480"/>
        <w:rPr>
          <w:rFonts w:cs="Arial"/>
          <w:bCs/>
          <w:color w:val="auto"/>
          <w:sz w:val="24"/>
        </w:rPr>
      </w:pPr>
      <w:r>
        <w:rPr>
          <w:rFonts w:cs="Arial"/>
          <w:bCs/>
          <w:color w:val="auto"/>
          <w:sz w:val="24"/>
        </w:rPr>
        <w:t>支持部分退费</w:t>
      </w:r>
      <w:r>
        <w:rPr>
          <w:rFonts w:hint="eastAsia" w:cs="Arial"/>
          <w:bCs/>
          <w:color w:val="auto"/>
          <w:sz w:val="24"/>
        </w:rPr>
        <w:t>。</w:t>
      </w:r>
    </w:p>
    <w:p w14:paraId="164FA760">
      <w:pPr>
        <w:pStyle w:val="94"/>
        <w:numPr>
          <w:ilvl w:val="0"/>
          <w:numId w:val="218"/>
        </w:numPr>
        <w:ind w:left="0" w:firstLine="480"/>
        <w:rPr>
          <w:rFonts w:cs="Arial"/>
          <w:bCs/>
          <w:color w:val="auto"/>
          <w:sz w:val="24"/>
        </w:rPr>
      </w:pPr>
      <w:r>
        <w:rPr>
          <w:rFonts w:hint="eastAsia" w:cs="Arial"/>
          <w:bCs/>
          <w:color w:val="auto"/>
          <w:sz w:val="24"/>
        </w:rPr>
        <w:t>支持费用原路退回。</w:t>
      </w:r>
    </w:p>
    <w:p w14:paraId="15EA8946">
      <w:pPr>
        <w:pStyle w:val="94"/>
        <w:numPr>
          <w:ilvl w:val="0"/>
          <w:numId w:val="218"/>
        </w:numPr>
        <w:ind w:left="0" w:firstLine="480"/>
        <w:rPr>
          <w:rFonts w:cs="Arial"/>
          <w:bCs/>
          <w:color w:val="auto"/>
          <w:sz w:val="24"/>
        </w:rPr>
      </w:pPr>
      <w:r>
        <w:rPr>
          <w:rFonts w:hint="eastAsia" w:cs="Arial"/>
          <w:bCs/>
          <w:color w:val="auto"/>
          <w:sz w:val="24"/>
        </w:rPr>
        <w:t>支持退费控制，除药品外，检查治疗只能在已收费数据的基础上退，且已做过的检查不能再退费。</w:t>
      </w:r>
    </w:p>
    <w:p w14:paraId="4BB350AE">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门诊补费</w:t>
      </w:r>
      <w:bookmarkEnd w:id="402"/>
    </w:p>
    <w:p w14:paraId="4AF0D8E6">
      <w:pPr>
        <w:ind w:firstLine="480"/>
        <w:rPr>
          <w:rFonts w:cs="仿宋"/>
          <w:bCs/>
          <w:color w:val="auto"/>
        </w:rPr>
      </w:pPr>
      <w:r>
        <w:rPr>
          <w:rFonts w:hint="eastAsia" w:cs="仿宋"/>
          <w:bCs/>
          <w:color w:val="auto"/>
        </w:rPr>
        <w:t>支持收费处补录费用信息，</w:t>
      </w:r>
    </w:p>
    <w:p w14:paraId="74089715">
      <w:pPr>
        <w:ind w:firstLine="480"/>
        <w:rPr>
          <w:rFonts w:cs="仿宋"/>
          <w:bCs/>
          <w:color w:val="auto"/>
        </w:rPr>
      </w:pPr>
      <w:r>
        <w:rPr>
          <w:rFonts w:hint="eastAsia" w:cs="仿宋"/>
          <w:bCs/>
          <w:color w:val="auto"/>
        </w:rPr>
        <w:t>支持补费单据打印。</w:t>
      </w:r>
    </w:p>
    <w:p w14:paraId="767E7FFE">
      <w:pPr>
        <w:pStyle w:val="341"/>
        <w:spacing w:beforeLines="0"/>
        <w:ind w:firstLine="482"/>
        <w:rPr>
          <w:rFonts w:hint="eastAsia" w:ascii="宋体" w:hAnsi="宋体" w:cs="仿宋"/>
          <w:b/>
          <w:bCs/>
          <w:color w:val="auto"/>
          <w:sz w:val="24"/>
          <w:szCs w:val="24"/>
        </w:rPr>
      </w:pPr>
      <w:bookmarkStart w:id="403" w:name="_Toc106373325"/>
      <w:r>
        <w:rPr>
          <w:rFonts w:hint="eastAsia" w:ascii="宋体" w:hAnsi="宋体" w:cs="仿宋"/>
          <w:b/>
          <w:bCs/>
          <w:color w:val="auto"/>
          <w:sz w:val="24"/>
          <w:szCs w:val="24"/>
        </w:rPr>
        <w:t>日结日报</w:t>
      </w:r>
      <w:bookmarkEnd w:id="403"/>
    </w:p>
    <w:p w14:paraId="2B92421E">
      <w:pPr>
        <w:pStyle w:val="94"/>
        <w:numPr>
          <w:ilvl w:val="0"/>
          <w:numId w:val="219"/>
        </w:numPr>
        <w:ind w:left="0" w:firstLine="480"/>
        <w:rPr>
          <w:rFonts w:cs="Arial"/>
          <w:bCs/>
          <w:color w:val="auto"/>
          <w:sz w:val="24"/>
        </w:rPr>
      </w:pPr>
      <w:bookmarkStart w:id="404" w:name="_Toc106373326"/>
      <w:r>
        <w:rPr>
          <w:rFonts w:cs="Arial"/>
          <w:bCs/>
          <w:color w:val="auto"/>
          <w:sz w:val="24"/>
        </w:rPr>
        <w:t>支持</w:t>
      </w:r>
      <w:r>
        <w:rPr>
          <w:rFonts w:hint="eastAsia" w:cs="Arial"/>
          <w:bCs/>
          <w:color w:val="auto"/>
          <w:sz w:val="24"/>
        </w:rPr>
        <w:t>按</w:t>
      </w:r>
      <w:r>
        <w:rPr>
          <w:rFonts w:cs="Arial"/>
          <w:bCs/>
          <w:color w:val="auto"/>
          <w:sz w:val="24"/>
        </w:rPr>
        <w:t>收款员日结</w:t>
      </w:r>
      <w:r>
        <w:rPr>
          <w:rFonts w:hint="eastAsia" w:cs="Arial"/>
          <w:bCs/>
          <w:color w:val="auto"/>
          <w:sz w:val="24"/>
        </w:rPr>
        <w:t>。</w:t>
      </w:r>
    </w:p>
    <w:p w14:paraId="453C12CF">
      <w:pPr>
        <w:pStyle w:val="94"/>
        <w:numPr>
          <w:ilvl w:val="0"/>
          <w:numId w:val="219"/>
        </w:numPr>
        <w:ind w:left="0" w:firstLine="480"/>
        <w:rPr>
          <w:rFonts w:cs="Arial"/>
          <w:bCs/>
          <w:color w:val="auto"/>
          <w:sz w:val="24"/>
        </w:rPr>
      </w:pPr>
      <w:r>
        <w:rPr>
          <w:rFonts w:cs="Arial"/>
          <w:bCs/>
          <w:color w:val="auto"/>
          <w:sz w:val="24"/>
        </w:rPr>
        <w:t>支持</w:t>
      </w:r>
      <w:r>
        <w:rPr>
          <w:rFonts w:hint="eastAsia" w:cs="Arial"/>
          <w:bCs/>
          <w:color w:val="auto"/>
          <w:sz w:val="24"/>
        </w:rPr>
        <w:t>交款时间到任意时点、交款核销。</w:t>
      </w:r>
    </w:p>
    <w:p w14:paraId="21CBD40C">
      <w:pPr>
        <w:pStyle w:val="94"/>
        <w:numPr>
          <w:ilvl w:val="0"/>
          <w:numId w:val="219"/>
        </w:numPr>
        <w:ind w:left="0" w:firstLine="480"/>
        <w:rPr>
          <w:rFonts w:cs="Arial"/>
          <w:bCs/>
          <w:color w:val="auto"/>
          <w:sz w:val="24"/>
        </w:rPr>
      </w:pPr>
      <w:r>
        <w:rPr>
          <w:rFonts w:cs="Arial"/>
          <w:bCs/>
          <w:color w:val="auto"/>
          <w:sz w:val="24"/>
        </w:rPr>
        <w:t>支持查看结算项目明细</w:t>
      </w:r>
      <w:r>
        <w:rPr>
          <w:rFonts w:hint="eastAsia" w:cs="Arial"/>
          <w:bCs/>
          <w:color w:val="auto"/>
          <w:sz w:val="24"/>
        </w:rPr>
        <w:t>、</w:t>
      </w:r>
      <w:r>
        <w:rPr>
          <w:rFonts w:cs="Arial"/>
          <w:bCs/>
          <w:color w:val="auto"/>
          <w:sz w:val="24"/>
        </w:rPr>
        <w:t>借贷双方金额汇总</w:t>
      </w:r>
      <w:r>
        <w:rPr>
          <w:rFonts w:hint="eastAsia" w:cs="Arial"/>
          <w:bCs/>
          <w:color w:val="auto"/>
          <w:sz w:val="24"/>
        </w:rPr>
        <w:t>。</w:t>
      </w:r>
    </w:p>
    <w:p w14:paraId="0B18039C">
      <w:pPr>
        <w:pStyle w:val="94"/>
        <w:numPr>
          <w:ilvl w:val="0"/>
          <w:numId w:val="219"/>
        </w:numPr>
        <w:ind w:left="0" w:firstLine="480"/>
        <w:rPr>
          <w:rFonts w:cs="Arial"/>
          <w:bCs/>
          <w:color w:val="auto"/>
          <w:sz w:val="24"/>
        </w:rPr>
      </w:pPr>
      <w:r>
        <w:rPr>
          <w:rFonts w:cs="Arial"/>
          <w:bCs/>
          <w:color w:val="auto"/>
          <w:sz w:val="24"/>
        </w:rPr>
        <w:t>支持明细对账</w:t>
      </w:r>
      <w:r>
        <w:rPr>
          <w:rFonts w:hint="eastAsia" w:cs="Arial"/>
          <w:bCs/>
          <w:color w:val="auto"/>
          <w:sz w:val="24"/>
        </w:rPr>
        <w:t>。</w:t>
      </w:r>
    </w:p>
    <w:p w14:paraId="219C4BEC">
      <w:pPr>
        <w:pStyle w:val="94"/>
        <w:numPr>
          <w:ilvl w:val="0"/>
          <w:numId w:val="219"/>
        </w:numPr>
        <w:ind w:left="0" w:firstLine="480"/>
        <w:rPr>
          <w:rFonts w:cs="Arial"/>
          <w:bCs/>
          <w:color w:val="auto"/>
          <w:sz w:val="24"/>
        </w:rPr>
      </w:pPr>
      <w:r>
        <w:rPr>
          <w:rFonts w:cs="Arial"/>
          <w:bCs/>
          <w:color w:val="auto"/>
          <w:sz w:val="24"/>
        </w:rPr>
        <w:t>支持日结开始日期依据上次日结结束日期自动生成</w:t>
      </w:r>
      <w:r>
        <w:rPr>
          <w:rFonts w:hint="eastAsia" w:cs="Arial"/>
          <w:bCs/>
          <w:color w:val="auto"/>
          <w:sz w:val="24"/>
        </w:rPr>
        <w:t>。</w:t>
      </w:r>
    </w:p>
    <w:p w14:paraId="50CE6E53">
      <w:pPr>
        <w:pStyle w:val="94"/>
        <w:numPr>
          <w:ilvl w:val="0"/>
          <w:numId w:val="219"/>
        </w:numPr>
        <w:ind w:left="0" w:firstLine="480"/>
        <w:rPr>
          <w:rFonts w:cs="Arial"/>
          <w:bCs/>
          <w:color w:val="auto"/>
          <w:sz w:val="24"/>
        </w:rPr>
      </w:pPr>
      <w:r>
        <w:rPr>
          <w:rFonts w:cs="Arial"/>
          <w:bCs/>
          <w:color w:val="auto"/>
          <w:sz w:val="24"/>
        </w:rPr>
        <w:t>支持自动产生日报号</w:t>
      </w:r>
      <w:r>
        <w:rPr>
          <w:rFonts w:hint="eastAsia" w:cs="Arial"/>
          <w:bCs/>
          <w:color w:val="auto"/>
          <w:sz w:val="24"/>
        </w:rPr>
        <w:t>。</w:t>
      </w:r>
    </w:p>
    <w:p w14:paraId="31870263">
      <w:pPr>
        <w:pStyle w:val="94"/>
        <w:numPr>
          <w:ilvl w:val="0"/>
          <w:numId w:val="219"/>
        </w:numPr>
        <w:ind w:left="0" w:firstLine="480"/>
        <w:rPr>
          <w:rFonts w:cs="Arial"/>
          <w:bCs/>
          <w:color w:val="auto"/>
          <w:sz w:val="24"/>
        </w:rPr>
      </w:pPr>
      <w:r>
        <w:rPr>
          <w:rFonts w:cs="Arial"/>
          <w:bCs/>
          <w:color w:val="auto"/>
          <w:sz w:val="24"/>
        </w:rPr>
        <w:t>支持按缴款员</w:t>
      </w:r>
      <w:r>
        <w:rPr>
          <w:rFonts w:hint="eastAsia" w:cs="Arial"/>
          <w:bCs/>
          <w:color w:val="auto"/>
          <w:sz w:val="24"/>
        </w:rPr>
        <w:t>、</w:t>
      </w:r>
      <w:r>
        <w:rPr>
          <w:rFonts w:cs="Arial"/>
          <w:bCs/>
          <w:color w:val="auto"/>
          <w:sz w:val="24"/>
        </w:rPr>
        <w:t>日报号查询日报信息</w:t>
      </w:r>
      <w:r>
        <w:rPr>
          <w:rFonts w:hint="eastAsia" w:cs="Arial"/>
          <w:bCs/>
          <w:color w:val="auto"/>
          <w:sz w:val="24"/>
        </w:rPr>
        <w:t>。</w:t>
      </w:r>
    </w:p>
    <w:p w14:paraId="6E731171">
      <w:pPr>
        <w:pStyle w:val="94"/>
        <w:numPr>
          <w:ilvl w:val="0"/>
          <w:numId w:val="219"/>
        </w:numPr>
        <w:ind w:left="0" w:firstLine="480"/>
        <w:rPr>
          <w:rFonts w:cs="Arial"/>
          <w:bCs/>
          <w:color w:val="auto"/>
          <w:sz w:val="24"/>
        </w:rPr>
      </w:pPr>
      <w:r>
        <w:rPr>
          <w:rFonts w:hint="eastAsia" w:cs="Arial"/>
          <w:bCs/>
          <w:color w:val="auto"/>
          <w:sz w:val="24"/>
        </w:rPr>
        <w:t>支持完成日收费科目汇总，科目明细汇总，科室核算统计汇总。</w:t>
      </w:r>
    </w:p>
    <w:p w14:paraId="55F0ED45">
      <w:pPr>
        <w:pStyle w:val="94"/>
        <w:numPr>
          <w:ilvl w:val="0"/>
          <w:numId w:val="219"/>
        </w:numPr>
        <w:ind w:left="0" w:firstLine="480"/>
        <w:rPr>
          <w:rFonts w:cs="Arial"/>
          <w:bCs/>
          <w:color w:val="auto"/>
          <w:sz w:val="24"/>
        </w:rPr>
      </w:pPr>
      <w:r>
        <w:rPr>
          <w:rFonts w:hint="eastAsia" w:cs="Arial"/>
          <w:bCs/>
          <w:color w:val="auto"/>
          <w:sz w:val="24"/>
        </w:rPr>
        <w:t>支持完成全院月收费科目汇总，科室核算统计汇总。</w:t>
      </w:r>
    </w:p>
    <w:p w14:paraId="6D130F63">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门诊预交</w:t>
      </w:r>
      <w:bookmarkEnd w:id="404"/>
    </w:p>
    <w:p w14:paraId="64FF6846">
      <w:pPr>
        <w:pStyle w:val="94"/>
        <w:numPr>
          <w:ilvl w:val="0"/>
          <w:numId w:val="220"/>
        </w:numPr>
        <w:ind w:left="0" w:firstLine="480"/>
        <w:rPr>
          <w:rFonts w:cs="Arial"/>
          <w:bCs/>
          <w:color w:val="auto"/>
          <w:sz w:val="24"/>
        </w:rPr>
      </w:pPr>
      <w:bookmarkStart w:id="405" w:name="_Toc106373328"/>
      <w:r>
        <w:rPr>
          <w:rFonts w:cs="Arial"/>
          <w:bCs/>
          <w:color w:val="auto"/>
          <w:sz w:val="24"/>
        </w:rPr>
        <w:t>支持多种</w:t>
      </w:r>
      <w:r>
        <w:rPr>
          <w:rFonts w:hint="eastAsia" w:cs="Arial"/>
          <w:bCs/>
          <w:color w:val="auto"/>
          <w:sz w:val="24"/>
        </w:rPr>
        <w:t>预付方</w:t>
      </w:r>
      <w:r>
        <w:rPr>
          <w:rFonts w:cs="Arial"/>
          <w:bCs/>
          <w:color w:val="auto"/>
          <w:sz w:val="24"/>
        </w:rPr>
        <w:t>式</w:t>
      </w:r>
      <w:r>
        <w:rPr>
          <w:rFonts w:hint="eastAsia" w:cs="Arial"/>
          <w:bCs/>
          <w:color w:val="auto"/>
          <w:sz w:val="24"/>
        </w:rPr>
        <w:t>：支持现金支付、移动端支付、刷脸支付、</w:t>
      </w:r>
      <w:r>
        <w:rPr>
          <w:rFonts w:cs="Arial"/>
          <w:bCs/>
          <w:color w:val="auto"/>
          <w:sz w:val="24"/>
        </w:rPr>
        <w:t>银</w:t>
      </w:r>
      <w:r>
        <w:rPr>
          <w:rFonts w:hint="eastAsia" w:cs="Arial"/>
          <w:bCs/>
          <w:color w:val="auto"/>
          <w:sz w:val="24"/>
        </w:rPr>
        <w:t>行卡支付</w:t>
      </w:r>
      <w:r>
        <w:rPr>
          <w:rFonts w:cs="Arial"/>
          <w:bCs/>
          <w:color w:val="auto"/>
          <w:sz w:val="24"/>
        </w:rPr>
        <w:t>等</w:t>
      </w:r>
      <w:r>
        <w:rPr>
          <w:rFonts w:hint="eastAsia" w:cs="Arial"/>
          <w:bCs/>
          <w:color w:val="auto"/>
          <w:sz w:val="24"/>
        </w:rPr>
        <w:t>。</w:t>
      </w:r>
    </w:p>
    <w:p w14:paraId="732C936C">
      <w:pPr>
        <w:pStyle w:val="94"/>
        <w:numPr>
          <w:ilvl w:val="0"/>
          <w:numId w:val="220"/>
        </w:numPr>
        <w:ind w:left="0" w:firstLine="480"/>
        <w:rPr>
          <w:rFonts w:cs="Arial"/>
          <w:bCs/>
          <w:color w:val="auto"/>
          <w:sz w:val="24"/>
        </w:rPr>
      </w:pPr>
      <w:r>
        <w:rPr>
          <w:rFonts w:hint="eastAsia" w:cs="Arial"/>
          <w:bCs/>
          <w:color w:val="auto"/>
          <w:sz w:val="24"/>
        </w:rPr>
        <w:t>预交费用可同时用于门诊诊疗项目和体检项目。</w:t>
      </w:r>
    </w:p>
    <w:p w14:paraId="03CCC45F">
      <w:pPr>
        <w:pStyle w:val="94"/>
        <w:numPr>
          <w:ilvl w:val="0"/>
          <w:numId w:val="220"/>
        </w:numPr>
        <w:ind w:left="0" w:firstLine="480"/>
        <w:rPr>
          <w:rFonts w:cs="Arial"/>
          <w:bCs/>
          <w:color w:val="auto"/>
          <w:sz w:val="24"/>
        </w:rPr>
      </w:pPr>
      <w:r>
        <w:rPr>
          <w:rFonts w:hint="eastAsia" w:cs="Arial"/>
          <w:bCs/>
          <w:color w:val="auto"/>
          <w:sz w:val="24"/>
        </w:rPr>
        <w:t>系统支持账户内余额原路退回。</w:t>
      </w:r>
    </w:p>
    <w:p w14:paraId="44499010">
      <w:pPr>
        <w:pStyle w:val="94"/>
        <w:numPr>
          <w:ilvl w:val="0"/>
          <w:numId w:val="220"/>
        </w:numPr>
        <w:ind w:left="0" w:firstLine="480"/>
        <w:rPr>
          <w:rFonts w:cs="Arial"/>
          <w:bCs/>
          <w:color w:val="auto"/>
          <w:sz w:val="24"/>
        </w:rPr>
      </w:pPr>
      <w:r>
        <w:rPr>
          <w:rFonts w:hint="eastAsia" w:cs="Arial"/>
          <w:bCs/>
          <w:color w:val="auto"/>
          <w:sz w:val="24"/>
        </w:rPr>
        <w:t>提供患者门诊预交金消费明细查询。</w:t>
      </w:r>
    </w:p>
    <w:p w14:paraId="0274FC0C">
      <w:pPr>
        <w:pStyle w:val="94"/>
        <w:numPr>
          <w:ilvl w:val="0"/>
          <w:numId w:val="220"/>
        </w:numPr>
        <w:ind w:left="0" w:firstLine="480"/>
        <w:rPr>
          <w:rFonts w:cs="Arial"/>
          <w:bCs/>
          <w:color w:val="auto"/>
          <w:sz w:val="24"/>
        </w:rPr>
      </w:pPr>
      <w:r>
        <w:rPr>
          <w:rFonts w:hint="eastAsia" w:cs="Arial"/>
          <w:bCs/>
          <w:color w:val="auto"/>
          <w:sz w:val="24"/>
        </w:rPr>
        <w:t>支持多条件查询门诊预交金的收款明细。</w:t>
      </w:r>
    </w:p>
    <w:p w14:paraId="2C18177D">
      <w:pPr>
        <w:pStyle w:val="94"/>
        <w:numPr>
          <w:ilvl w:val="0"/>
          <w:numId w:val="220"/>
        </w:numPr>
        <w:ind w:left="0" w:firstLine="480"/>
        <w:rPr>
          <w:rFonts w:cs="Arial"/>
          <w:bCs/>
          <w:color w:val="auto"/>
          <w:sz w:val="24"/>
        </w:rPr>
      </w:pPr>
      <w:r>
        <w:rPr>
          <w:rFonts w:hint="eastAsia" w:cs="Arial"/>
          <w:bCs/>
          <w:color w:val="auto"/>
          <w:sz w:val="24"/>
        </w:rPr>
        <w:t>支持电子发票打印功能。</w:t>
      </w:r>
    </w:p>
    <w:p w14:paraId="029F1BCB">
      <w:pPr>
        <w:pStyle w:val="341"/>
        <w:spacing w:beforeLines="0"/>
        <w:ind w:firstLine="482"/>
        <w:rPr>
          <w:rFonts w:hint="eastAsia" w:ascii="宋体" w:hAnsi="宋体" w:cs="仿宋"/>
          <w:b/>
          <w:bCs/>
          <w:color w:val="auto"/>
          <w:sz w:val="24"/>
          <w:szCs w:val="24"/>
        </w:rPr>
      </w:pPr>
      <w:r>
        <w:rPr>
          <w:rFonts w:hint="eastAsia" w:ascii="宋体" w:hAnsi="宋体" w:cs="仿宋"/>
          <w:b/>
          <w:bCs/>
          <w:color w:val="auto"/>
          <w:sz w:val="24"/>
          <w:szCs w:val="24"/>
        </w:rPr>
        <w:t>打印功能</w:t>
      </w:r>
      <w:bookmarkEnd w:id="405"/>
    </w:p>
    <w:p w14:paraId="71932493">
      <w:pPr>
        <w:pStyle w:val="94"/>
        <w:numPr>
          <w:ilvl w:val="0"/>
          <w:numId w:val="221"/>
        </w:numPr>
        <w:ind w:left="0" w:firstLine="480"/>
        <w:rPr>
          <w:rFonts w:cs="Arial"/>
          <w:bCs/>
          <w:color w:val="auto"/>
          <w:sz w:val="24"/>
        </w:rPr>
      </w:pPr>
      <w:r>
        <w:rPr>
          <w:rFonts w:hint="eastAsia" w:cs="Arial"/>
          <w:bCs/>
          <w:color w:val="auto"/>
          <w:sz w:val="24"/>
        </w:rPr>
        <w:t>打印日汇总表：按收费贷方科目汇总和合计，以便收费员结账。</w:t>
      </w:r>
    </w:p>
    <w:p w14:paraId="7A50ADC4">
      <w:pPr>
        <w:pStyle w:val="94"/>
        <w:numPr>
          <w:ilvl w:val="0"/>
          <w:numId w:val="221"/>
        </w:numPr>
        <w:ind w:left="0" w:firstLine="480"/>
        <w:rPr>
          <w:rFonts w:cs="Arial"/>
          <w:bCs/>
          <w:color w:val="auto"/>
          <w:sz w:val="24"/>
        </w:rPr>
      </w:pPr>
      <w:r>
        <w:rPr>
          <w:rFonts w:hint="eastAsia" w:cs="Arial"/>
          <w:bCs/>
          <w:color w:val="auto"/>
          <w:sz w:val="24"/>
        </w:rPr>
        <w:t>打印日收费明细表：按收费借方和贷方科目打印，以便会计进行日记账。</w:t>
      </w:r>
    </w:p>
    <w:p w14:paraId="3B663D1D">
      <w:pPr>
        <w:pStyle w:val="94"/>
        <w:numPr>
          <w:ilvl w:val="0"/>
          <w:numId w:val="221"/>
        </w:numPr>
        <w:ind w:left="0" w:firstLine="480"/>
        <w:rPr>
          <w:rFonts w:cs="Arial"/>
          <w:bCs/>
          <w:color w:val="auto"/>
          <w:sz w:val="24"/>
        </w:rPr>
      </w:pPr>
      <w:r>
        <w:rPr>
          <w:rFonts w:hint="eastAsia" w:cs="Arial"/>
          <w:bCs/>
          <w:color w:val="auto"/>
          <w:sz w:val="24"/>
        </w:rPr>
        <w:t>打印日收费存根：按收费凭证内容打印，以便会计存档。</w:t>
      </w:r>
    </w:p>
    <w:p w14:paraId="29EE8642">
      <w:pPr>
        <w:pStyle w:val="94"/>
        <w:numPr>
          <w:ilvl w:val="0"/>
          <w:numId w:val="221"/>
        </w:numPr>
        <w:ind w:left="0" w:firstLine="480"/>
        <w:rPr>
          <w:rFonts w:cs="Arial"/>
          <w:bCs/>
          <w:color w:val="auto"/>
          <w:sz w:val="24"/>
        </w:rPr>
      </w:pPr>
      <w:r>
        <w:rPr>
          <w:rFonts w:hint="eastAsia" w:cs="Arial"/>
          <w:bCs/>
          <w:color w:val="auto"/>
          <w:sz w:val="24"/>
        </w:rPr>
        <w:t>打印日科室核算表：包括一级科室和检查治疗科室工作量统计。</w:t>
      </w:r>
    </w:p>
    <w:p w14:paraId="033CDF70">
      <w:pPr>
        <w:pStyle w:val="94"/>
        <w:numPr>
          <w:ilvl w:val="0"/>
          <w:numId w:val="221"/>
        </w:numPr>
        <w:ind w:left="0" w:firstLine="480"/>
        <w:rPr>
          <w:rFonts w:cs="Arial"/>
          <w:bCs/>
          <w:color w:val="auto"/>
          <w:sz w:val="24"/>
        </w:rPr>
      </w:pPr>
      <w:r>
        <w:rPr>
          <w:rFonts w:hint="eastAsia" w:cs="Arial"/>
          <w:bCs/>
          <w:color w:val="auto"/>
          <w:sz w:val="24"/>
        </w:rPr>
        <w:t>打印全院月收入汇总表：包括医疗门诊收入和药品门诊收入统计汇总。</w:t>
      </w:r>
    </w:p>
    <w:p w14:paraId="362E4079">
      <w:pPr>
        <w:pStyle w:val="94"/>
        <w:numPr>
          <w:ilvl w:val="0"/>
          <w:numId w:val="221"/>
        </w:numPr>
        <w:ind w:left="0" w:firstLine="480"/>
        <w:rPr>
          <w:rFonts w:cs="Arial"/>
          <w:bCs/>
          <w:color w:val="auto"/>
          <w:sz w:val="24"/>
        </w:rPr>
      </w:pPr>
      <w:r>
        <w:rPr>
          <w:rFonts w:hint="eastAsia" w:cs="Arial"/>
          <w:bCs/>
          <w:color w:val="auto"/>
          <w:sz w:val="24"/>
        </w:rPr>
        <w:t>打印全院月科室核算表：包括一级科室和检查治疗科室工作量统计汇总。</w:t>
      </w:r>
    </w:p>
    <w:p w14:paraId="786AA390">
      <w:pPr>
        <w:pStyle w:val="94"/>
        <w:numPr>
          <w:ilvl w:val="0"/>
          <w:numId w:val="221"/>
        </w:numPr>
        <w:ind w:left="0" w:firstLine="480"/>
        <w:rPr>
          <w:rFonts w:cs="Arial"/>
          <w:bCs/>
          <w:color w:val="auto"/>
          <w:sz w:val="24"/>
        </w:rPr>
      </w:pPr>
      <w:r>
        <w:rPr>
          <w:rFonts w:hint="eastAsia" w:cs="Arial"/>
          <w:bCs/>
          <w:color w:val="auto"/>
          <w:sz w:val="24"/>
        </w:rPr>
        <w:t>打印合同医疗单位月费用统计汇总表：按治疗费用和药品费用科目进行统计汇。</w:t>
      </w:r>
    </w:p>
    <w:p w14:paraId="655D574C">
      <w:pPr>
        <w:pStyle w:val="94"/>
        <w:numPr>
          <w:ilvl w:val="0"/>
          <w:numId w:val="221"/>
        </w:numPr>
        <w:ind w:left="0" w:firstLine="480"/>
        <w:rPr>
          <w:rFonts w:cs="Arial"/>
          <w:bCs/>
          <w:color w:val="auto"/>
          <w:sz w:val="24"/>
        </w:rPr>
      </w:pPr>
      <w:r>
        <w:rPr>
          <w:rFonts w:hint="eastAsia" w:cs="Arial"/>
          <w:bCs/>
          <w:color w:val="auto"/>
          <w:sz w:val="24"/>
        </w:rPr>
        <w:t>打印全院门诊月、季、年收费核算分析报表。</w:t>
      </w:r>
    </w:p>
    <w:p w14:paraId="28FFB9F0">
      <w:pPr>
        <w:pStyle w:val="14"/>
        <w:bidi w:val="0"/>
        <w:rPr>
          <w:color w:val="auto"/>
        </w:rPr>
      </w:pPr>
      <w:r>
        <w:rPr>
          <w:rFonts w:hint="eastAsia"/>
          <w:color w:val="auto"/>
        </w:rPr>
        <w:tab/>
      </w:r>
      <w:r>
        <w:rPr>
          <w:rFonts w:hint="eastAsia"/>
          <w:color w:val="auto"/>
        </w:rPr>
        <w:t>住院出入转结算系统</w:t>
      </w:r>
    </w:p>
    <w:p w14:paraId="603DF0DC">
      <w:pPr>
        <w:bidi w:val="0"/>
        <w:rPr>
          <w:color w:val="auto"/>
        </w:rPr>
      </w:pPr>
      <w:r>
        <w:rPr>
          <w:color w:val="auto"/>
        </w:rPr>
        <w:t>实现床位动态管理、担保登记及中途结算，支持产科多胎登记与欠费预警，提升住院流程效率与费用透明度。</w:t>
      </w:r>
    </w:p>
    <w:p w14:paraId="0B481FBD">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7C87F2E0">
      <w:pPr>
        <w:pStyle w:val="94"/>
        <w:numPr>
          <w:ilvl w:val="0"/>
          <w:numId w:val="222"/>
        </w:numPr>
        <w:ind w:left="0" w:firstLine="480"/>
        <w:rPr>
          <w:rFonts w:cs="Arial"/>
          <w:bCs/>
          <w:color w:val="auto"/>
          <w:sz w:val="24"/>
        </w:rPr>
      </w:pPr>
      <w:r>
        <w:rPr>
          <w:rFonts w:hint="eastAsia" w:cs="Arial"/>
          <w:bCs/>
          <w:color w:val="auto"/>
          <w:sz w:val="24"/>
        </w:rPr>
        <w:t>支持门诊病人、医保病人、门诊留观病人、其它医院转诊病人的入院登记。</w:t>
      </w:r>
    </w:p>
    <w:p w14:paraId="2B7BE888">
      <w:pPr>
        <w:pStyle w:val="94"/>
        <w:numPr>
          <w:ilvl w:val="0"/>
          <w:numId w:val="222"/>
        </w:numPr>
        <w:ind w:left="0" w:firstLine="480"/>
        <w:rPr>
          <w:rFonts w:cs="Arial"/>
          <w:bCs/>
          <w:color w:val="auto"/>
          <w:sz w:val="24"/>
        </w:rPr>
      </w:pPr>
      <w:r>
        <w:rPr>
          <w:rFonts w:hint="eastAsia" w:cs="Arial"/>
          <w:bCs/>
          <w:color w:val="auto"/>
          <w:sz w:val="24"/>
        </w:rPr>
        <w:t>通过电子入院证自动获取患者入院基本信息（包括病人姓名、性别、来源标志、联系人、联系方式等），提供病房床位查询，快速办理病人入院手续。</w:t>
      </w:r>
    </w:p>
    <w:p w14:paraId="6236EE89">
      <w:pPr>
        <w:pStyle w:val="94"/>
        <w:numPr>
          <w:ilvl w:val="0"/>
          <w:numId w:val="222"/>
        </w:numPr>
        <w:ind w:left="0" w:firstLine="480"/>
        <w:rPr>
          <w:rFonts w:cs="Arial"/>
          <w:bCs/>
          <w:color w:val="auto"/>
          <w:sz w:val="24"/>
        </w:rPr>
      </w:pPr>
      <w:r>
        <w:rPr>
          <w:rFonts w:cs="Arial"/>
          <w:bCs/>
          <w:color w:val="auto"/>
          <w:sz w:val="24"/>
        </w:rPr>
        <w:t>支持通过参数控制未出院病人二次入院。</w:t>
      </w:r>
    </w:p>
    <w:p w14:paraId="76D8A150">
      <w:pPr>
        <w:pStyle w:val="94"/>
        <w:numPr>
          <w:ilvl w:val="0"/>
          <w:numId w:val="222"/>
        </w:numPr>
        <w:ind w:left="0" w:firstLine="480"/>
        <w:rPr>
          <w:rFonts w:cs="Arial"/>
          <w:bCs/>
          <w:color w:val="auto"/>
          <w:sz w:val="24"/>
        </w:rPr>
      </w:pPr>
      <w:r>
        <w:rPr>
          <w:rFonts w:cs="Arial"/>
          <w:bCs/>
          <w:color w:val="auto"/>
          <w:sz w:val="24"/>
        </w:rPr>
        <w:t>提供入出院管理、预约登记、出入院统计、床位管理、预交金管理（交纳预交金管理，打印预交金收据凭证；支持收费人员日结帐）等功能</w:t>
      </w:r>
    </w:p>
    <w:p w14:paraId="008AF9F7">
      <w:pPr>
        <w:pStyle w:val="94"/>
        <w:numPr>
          <w:ilvl w:val="0"/>
          <w:numId w:val="222"/>
        </w:numPr>
        <w:ind w:left="0" w:firstLine="480"/>
        <w:rPr>
          <w:rFonts w:cs="Arial"/>
          <w:bCs/>
          <w:color w:val="auto"/>
          <w:sz w:val="24"/>
        </w:rPr>
      </w:pPr>
      <w:r>
        <w:rPr>
          <w:rFonts w:cs="Arial"/>
          <w:bCs/>
          <w:color w:val="auto"/>
          <w:sz w:val="24"/>
        </w:rPr>
        <w:t>支持对病人在院期间转科、换床、护理等级、床位等级等变动情况的记录，提供查询。</w:t>
      </w:r>
    </w:p>
    <w:p w14:paraId="7EDC90A1">
      <w:pPr>
        <w:pStyle w:val="94"/>
        <w:numPr>
          <w:ilvl w:val="0"/>
          <w:numId w:val="222"/>
        </w:numPr>
        <w:ind w:left="0" w:firstLine="480"/>
        <w:rPr>
          <w:rFonts w:cs="Arial"/>
          <w:bCs/>
          <w:color w:val="auto"/>
          <w:sz w:val="24"/>
        </w:rPr>
      </w:pPr>
      <w:r>
        <w:rPr>
          <w:rFonts w:cs="Arial"/>
          <w:bCs/>
          <w:color w:val="auto"/>
          <w:sz w:val="24"/>
        </w:rPr>
        <w:t>支持将</w:t>
      </w:r>
      <w:r>
        <w:rPr>
          <w:rFonts w:hint="eastAsia" w:cs="Arial"/>
          <w:bCs/>
          <w:color w:val="auto"/>
          <w:sz w:val="24"/>
        </w:rPr>
        <w:t>门诊</w:t>
      </w:r>
      <w:r>
        <w:rPr>
          <w:rFonts w:cs="Arial"/>
          <w:bCs/>
          <w:color w:val="auto"/>
          <w:sz w:val="24"/>
        </w:rPr>
        <w:t>留观病人转为入院病人</w:t>
      </w:r>
      <w:r>
        <w:rPr>
          <w:rFonts w:hint="eastAsia" w:cs="Arial"/>
          <w:bCs/>
          <w:color w:val="auto"/>
          <w:sz w:val="24"/>
        </w:rPr>
        <w:t>。</w:t>
      </w:r>
    </w:p>
    <w:p w14:paraId="3C166F9D">
      <w:pPr>
        <w:pStyle w:val="94"/>
        <w:numPr>
          <w:ilvl w:val="0"/>
          <w:numId w:val="222"/>
        </w:numPr>
        <w:ind w:left="0" w:firstLine="480"/>
        <w:rPr>
          <w:rFonts w:cs="Arial"/>
          <w:bCs/>
          <w:color w:val="auto"/>
          <w:sz w:val="24"/>
        </w:rPr>
      </w:pPr>
      <w:r>
        <w:rPr>
          <w:rFonts w:cs="Arial"/>
          <w:bCs/>
          <w:color w:val="auto"/>
          <w:sz w:val="24"/>
        </w:rPr>
        <w:t>支持自定义住院号编号方式，并支持复诊病人多次住院使用同一住院号，以及直接提取病人历史住院记录。</w:t>
      </w:r>
    </w:p>
    <w:p w14:paraId="4FBA3D85">
      <w:pPr>
        <w:pStyle w:val="94"/>
        <w:numPr>
          <w:ilvl w:val="0"/>
          <w:numId w:val="222"/>
        </w:numPr>
        <w:ind w:left="0" w:firstLine="480"/>
        <w:rPr>
          <w:rFonts w:cs="Arial"/>
          <w:bCs/>
          <w:color w:val="auto"/>
          <w:sz w:val="24"/>
        </w:rPr>
      </w:pPr>
      <w:r>
        <w:rPr>
          <w:rFonts w:cs="Arial"/>
          <w:bCs/>
          <w:color w:val="auto"/>
          <w:sz w:val="24"/>
        </w:rPr>
        <w:t>提供与</w:t>
      </w:r>
      <w:r>
        <w:rPr>
          <w:rFonts w:hint="eastAsia" w:cs="Arial"/>
          <w:bCs/>
          <w:color w:val="auto"/>
          <w:sz w:val="24"/>
        </w:rPr>
        <w:t>职工</w:t>
      </w:r>
      <w:r>
        <w:rPr>
          <w:rFonts w:cs="Arial"/>
          <w:bCs/>
          <w:color w:val="auto"/>
          <w:sz w:val="24"/>
        </w:rPr>
        <w:t>医保、</w:t>
      </w:r>
      <w:r>
        <w:rPr>
          <w:rFonts w:hint="eastAsia" w:cs="Arial"/>
          <w:bCs/>
          <w:color w:val="auto"/>
          <w:sz w:val="24"/>
        </w:rPr>
        <w:t>居民医保</w:t>
      </w:r>
      <w:r>
        <w:rPr>
          <w:rFonts w:cs="Arial"/>
          <w:bCs/>
          <w:color w:val="auto"/>
          <w:sz w:val="24"/>
        </w:rPr>
        <w:t>等系统接口，支持对不同类型病人的自定义颜色显示</w:t>
      </w:r>
      <w:r>
        <w:rPr>
          <w:rFonts w:hint="eastAsia" w:cs="Arial"/>
          <w:bCs/>
          <w:color w:val="auto"/>
          <w:sz w:val="24"/>
        </w:rPr>
        <w:t>。</w:t>
      </w:r>
    </w:p>
    <w:p w14:paraId="7C39022A">
      <w:pPr>
        <w:pStyle w:val="94"/>
        <w:numPr>
          <w:ilvl w:val="0"/>
          <w:numId w:val="222"/>
        </w:numPr>
        <w:ind w:left="0" w:firstLine="480"/>
        <w:rPr>
          <w:rFonts w:cs="Arial"/>
          <w:bCs/>
          <w:color w:val="auto"/>
          <w:sz w:val="24"/>
        </w:rPr>
      </w:pPr>
      <w:r>
        <w:rPr>
          <w:rFonts w:cs="Arial"/>
          <w:bCs/>
          <w:color w:val="auto"/>
          <w:sz w:val="24"/>
        </w:rPr>
        <w:t>支持读取患者医保信息，如：低保、五保等重点信息。</w:t>
      </w:r>
    </w:p>
    <w:p w14:paraId="3337A780">
      <w:pPr>
        <w:pStyle w:val="94"/>
        <w:numPr>
          <w:ilvl w:val="0"/>
          <w:numId w:val="222"/>
        </w:numPr>
        <w:ind w:left="0" w:firstLine="480"/>
        <w:rPr>
          <w:rFonts w:cs="Arial"/>
          <w:bCs/>
          <w:color w:val="auto"/>
          <w:sz w:val="24"/>
        </w:rPr>
      </w:pPr>
      <w:r>
        <w:rPr>
          <w:rFonts w:hint="eastAsia" w:cs="Arial"/>
          <w:bCs/>
          <w:color w:val="auto"/>
          <w:sz w:val="24"/>
        </w:rPr>
        <w:t>支持对欠费病人再次入院时，提示警告信息，或限制病人结清欠费再办理入院。</w:t>
      </w:r>
    </w:p>
    <w:p w14:paraId="3F43C7E4">
      <w:pPr>
        <w:pStyle w:val="94"/>
        <w:numPr>
          <w:ilvl w:val="0"/>
          <w:numId w:val="222"/>
        </w:numPr>
        <w:ind w:left="0" w:firstLine="480"/>
        <w:rPr>
          <w:rFonts w:cs="Arial"/>
          <w:bCs/>
          <w:color w:val="auto"/>
          <w:sz w:val="24"/>
        </w:rPr>
      </w:pPr>
      <w:r>
        <w:rPr>
          <w:rFonts w:cs="Arial"/>
          <w:bCs/>
          <w:color w:val="auto"/>
          <w:sz w:val="24"/>
        </w:rPr>
        <w:t>实现病区床位的统一管理，使用形象的床位标识体现床位的使用状态、病人的性别特性以及病人的转科特征。</w:t>
      </w:r>
    </w:p>
    <w:p w14:paraId="43EBA392">
      <w:pPr>
        <w:pStyle w:val="94"/>
        <w:numPr>
          <w:ilvl w:val="0"/>
          <w:numId w:val="222"/>
        </w:numPr>
        <w:ind w:left="0" w:firstLine="480"/>
        <w:rPr>
          <w:rFonts w:cs="Arial"/>
          <w:bCs/>
          <w:color w:val="auto"/>
          <w:sz w:val="24"/>
        </w:rPr>
      </w:pPr>
      <w:r>
        <w:rPr>
          <w:rFonts w:cs="Arial"/>
          <w:bCs/>
          <w:color w:val="auto"/>
          <w:sz w:val="24"/>
        </w:rPr>
        <w:t>支持产科新生儿登记（含多胎登记）</w:t>
      </w:r>
    </w:p>
    <w:p w14:paraId="7DC4D041">
      <w:pPr>
        <w:pStyle w:val="94"/>
        <w:numPr>
          <w:ilvl w:val="0"/>
          <w:numId w:val="222"/>
        </w:numPr>
        <w:ind w:left="0" w:firstLine="480"/>
        <w:rPr>
          <w:rFonts w:cs="Arial"/>
          <w:bCs/>
          <w:color w:val="auto"/>
          <w:sz w:val="24"/>
        </w:rPr>
      </w:pPr>
      <w:r>
        <w:rPr>
          <w:rFonts w:cs="Arial"/>
          <w:bCs/>
          <w:color w:val="auto"/>
          <w:sz w:val="24"/>
        </w:rPr>
        <w:t>支持病人</w:t>
      </w:r>
      <w:r>
        <w:rPr>
          <w:rFonts w:hint="eastAsia" w:cs="Arial"/>
          <w:bCs/>
          <w:color w:val="auto"/>
          <w:sz w:val="24"/>
        </w:rPr>
        <w:t>预约结算</w:t>
      </w:r>
      <w:r>
        <w:rPr>
          <w:rFonts w:cs="Arial"/>
          <w:bCs/>
          <w:color w:val="auto"/>
          <w:sz w:val="24"/>
        </w:rPr>
        <w:t>管理，禁止出院病人继续计费，规范费用管理。</w:t>
      </w:r>
    </w:p>
    <w:p w14:paraId="6060402C">
      <w:pPr>
        <w:pStyle w:val="94"/>
        <w:numPr>
          <w:ilvl w:val="0"/>
          <w:numId w:val="222"/>
        </w:numPr>
        <w:ind w:left="0" w:firstLine="480"/>
        <w:rPr>
          <w:rFonts w:cs="Arial"/>
          <w:bCs/>
          <w:color w:val="auto"/>
          <w:sz w:val="24"/>
        </w:rPr>
      </w:pPr>
      <w:r>
        <w:rPr>
          <w:rFonts w:cs="Arial"/>
          <w:bCs/>
          <w:color w:val="auto"/>
          <w:sz w:val="24"/>
        </w:rPr>
        <w:t>支持一个病区服务于多个临床科室、或一个临床科室床位分布于多个病区的管理模式</w:t>
      </w:r>
    </w:p>
    <w:p w14:paraId="3E9D0E3B">
      <w:pPr>
        <w:pStyle w:val="94"/>
        <w:numPr>
          <w:ilvl w:val="0"/>
          <w:numId w:val="222"/>
        </w:numPr>
        <w:ind w:left="0" w:firstLine="480"/>
        <w:rPr>
          <w:rFonts w:cs="Arial"/>
          <w:bCs/>
          <w:color w:val="auto"/>
          <w:sz w:val="24"/>
        </w:rPr>
      </w:pPr>
      <w:r>
        <w:rPr>
          <w:rFonts w:cs="Arial"/>
          <w:bCs/>
          <w:color w:val="auto"/>
          <w:sz w:val="24"/>
        </w:rPr>
        <w:t>住院科室日报表动态反映任意时刻的病房状态和病人流动情况。</w:t>
      </w:r>
    </w:p>
    <w:p w14:paraId="74D61853">
      <w:pPr>
        <w:pStyle w:val="94"/>
        <w:numPr>
          <w:ilvl w:val="0"/>
          <w:numId w:val="222"/>
        </w:numPr>
        <w:ind w:left="0" w:firstLine="480"/>
        <w:rPr>
          <w:rFonts w:cs="Arial"/>
          <w:bCs/>
          <w:color w:val="auto"/>
          <w:sz w:val="24"/>
        </w:rPr>
      </w:pPr>
      <w:r>
        <w:rPr>
          <w:rFonts w:cs="Arial"/>
          <w:bCs/>
          <w:color w:val="auto"/>
          <w:sz w:val="24"/>
        </w:rPr>
        <w:t>支持对出院的方式可配置，对于不同的出院原因可以统计；</w:t>
      </w:r>
    </w:p>
    <w:p w14:paraId="72A6A963">
      <w:pPr>
        <w:pStyle w:val="94"/>
        <w:numPr>
          <w:ilvl w:val="0"/>
          <w:numId w:val="222"/>
        </w:numPr>
        <w:ind w:left="0" w:firstLine="480"/>
        <w:rPr>
          <w:rFonts w:cs="Arial"/>
          <w:bCs/>
          <w:color w:val="auto"/>
          <w:sz w:val="24"/>
        </w:rPr>
      </w:pPr>
      <w:r>
        <w:rPr>
          <w:rFonts w:cs="Arial"/>
          <w:bCs/>
          <w:color w:val="auto"/>
          <w:sz w:val="24"/>
        </w:rPr>
        <w:t>提供出院召回的功能。</w:t>
      </w:r>
    </w:p>
    <w:p w14:paraId="6C7B85E6">
      <w:pPr>
        <w:pStyle w:val="94"/>
        <w:numPr>
          <w:ilvl w:val="0"/>
          <w:numId w:val="222"/>
        </w:numPr>
        <w:ind w:left="0" w:firstLine="480"/>
        <w:rPr>
          <w:rFonts w:cs="Arial"/>
          <w:bCs/>
          <w:color w:val="auto"/>
          <w:sz w:val="24"/>
        </w:rPr>
      </w:pPr>
      <w:r>
        <w:rPr>
          <w:rFonts w:cs="Arial"/>
          <w:bCs/>
          <w:color w:val="auto"/>
          <w:sz w:val="24"/>
        </w:rPr>
        <w:t>支持未产生费用患者退院处理。</w:t>
      </w:r>
    </w:p>
    <w:p w14:paraId="5CC19104">
      <w:pPr>
        <w:pStyle w:val="94"/>
        <w:numPr>
          <w:ilvl w:val="0"/>
          <w:numId w:val="222"/>
        </w:numPr>
        <w:ind w:left="0" w:firstLine="480"/>
        <w:rPr>
          <w:rFonts w:cs="Arial"/>
          <w:bCs/>
          <w:color w:val="auto"/>
          <w:sz w:val="24"/>
        </w:rPr>
      </w:pPr>
      <w:r>
        <w:rPr>
          <w:rFonts w:cs="Arial"/>
          <w:bCs/>
          <w:color w:val="auto"/>
          <w:sz w:val="24"/>
        </w:rPr>
        <w:t>提供出院病人信息的查询、账单汇总、账单打印、补交费用、出院手续的办理、支持双向转诊等。</w:t>
      </w:r>
    </w:p>
    <w:p w14:paraId="6209F0A5">
      <w:pPr>
        <w:pStyle w:val="14"/>
        <w:bidi w:val="0"/>
        <w:rPr>
          <w:color w:val="auto"/>
        </w:rPr>
      </w:pPr>
      <w:r>
        <w:rPr>
          <w:rFonts w:hint="eastAsia"/>
          <w:color w:val="auto"/>
        </w:rPr>
        <w:tab/>
      </w:r>
      <w:r>
        <w:rPr>
          <w:rFonts w:hint="eastAsia"/>
          <w:color w:val="auto"/>
        </w:rPr>
        <w:t>住院收费结算系统</w:t>
      </w:r>
    </w:p>
    <w:p w14:paraId="2A275641">
      <w:pPr>
        <w:bidi w:val="0"/>
        <w:rPr>
          <w:color w:val="auto"/>
        </w:rPr>
      </w:pPr>
      <w:r>
        <w:rPr>
          <w:color w:val="auto"/>
        </w:rPr>
        <w:t>整合预收担保、分段结算与出院召回功能，支持多渠道退补费及电子票据，强化在院患者费用管理与医保对接。</w:t>
      </w:r>
    </w:p>
    <w:p w14:paraId="1D9861D4">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17A096B4">
      <w:pPr>
        <w:bidi w:val="0"/>
        <w:rPr>
          <w:b/>
          <w:bCs/>
          <w:color w:val="auto"/>
        </w:rPr>
      </w:pPr>
      <w:bookmarkStart w:id="406" w:name="_Toc153618506"/>
      <w:r>
        <w:rPr>
          <w:rFonts w:hint="eastAsia"/>
          <w:b/>
          <w:bCs/>
          <w:color w:val="auto"/>
        </w:rPr>
        <w:t>预收与担保</w:t>
      </w:r>
      <w:bookmarkEnd w:id="406"/>
    </w:p>
    <w:p w14:paraId="68015773">
      <w:pPr>
        <w:ind w:firstLine="480"/>
        <w:rPr>
          <w:color w:val="auto"/>
          <w:lang w:val="zh-CN"/>
        </w:rPr>
      </w:pPr>
      <w:r>
        <w:rPr>
          <w:color w:val="auto"/>
          <w:lang w:val="zh-CN"/>
        </w:rPr>
        <w:t>（一）预收款</w:t>
      </w:r>
    </w:p>
    <w:p w14:paraId="43A25AC9">
      <w:pPr>
        <w:pStyle w:val="94"/>
        <w:numPr>
          <w:ilvl w:val="0"/>
          <w:numId w:val="223"/>
        </w:numPr>
        <w:ind w:left="0" w:firstLine="480"/>
        <w:rPr>
          <w:rFonts w:cs="Arial"/>
          <w:bCs/>
          <w:color w:val="auto"/>
          <w:sz w:val="24"/>
        </w:rPr>
      </w:pPr>
      <w:r>
        <w:rPr>
          <w:rFonts w:cs="Arial"/>
          <w:bCs/>
          <w:color w:val="auto"/>
          <w:sz w:val="24"/>
        </w:rPr>
        <w:t>支持多种</w:t>
      </w:r>
      <w:r>
        <w:rPr>
          <w:rFonts w:hint="eastAsia" w:cs="Arial"/>
          <w:bCs/>
          <w:color w:val="auto"/>
          <w:sz w:val="24"/>
        </w:rPr>
        <w:t>预付方</w:t>
      </w:r>
      <w:r>
        <w:rPr>
          <w:rFonts w:cs="Arial"/>
          <w:bCs/>
          <w:color w:val="auto"/>
          <w:sz w:val="24"/>
        </w:rPr>
        <w:t>式</w:t>
      </w:r>
      <w:r>
        <w:rPr>
          <w:rFonts w:hint="eastAsia" w:cs="Arial"/>
          <w:bCs/>
          <w:color w:val="auto"/>
          <w:sz w:val="24"/>
        </w:rPr>
        <w:t>：支持现金支付、移动端支付、刷脸支付、</w:t>
      </w:r>
      <w:r>
        <w:rPr>
          <w:rFonts w:cs="Arial"/>
          <w:bCs/>
          <w:color w:val="auto"/>
          <w:sz w:val="24"/>
        </w:rPr>
        <w:t>银</w:t>
      </w:r>
      <w:r>
        <w:rPr>
          <w:rFonts w:hint="eastAsia" w:cs="Arial"/>
          <w:bCs/>
          <w:color w:val="auto"/>
          <w:sz w:val="24"/>
        </w:rPr>
        <w:t>行卡支付</w:t>
      </w:r>
      <w:r>
        <w:rPr>
          <w:rFonts w:cs="Arial"/>
          <w:bCs/>
          <w:color w:val="auto"/>
          <w:sz w:val="24"/>
        </w:rPr>
        <w:t>等</w:t>
      </w:r>
      <w:r>
        <w:rPr>
          <w:rFonts w:hint="eastAsia" w:cs="Arial"/>
          <w:bCs/>
          <w:color w:val="auto"/>
          <w:sz w:val="24"/>
        </w:rPr>
        <w:t>。</w:t>
      </w:r>
    </w:p>
    <w:p w14:paraId="62EDDFCB">
      <w:pPr>
        <w:pStyle w:val="94"/>
        <w:numPr>
          <w:ilvl w:val="0"/>
          <w:numId w:val="223"/>
        </w:numPr>
        <w:ind w:left="0" w:firstLine="480"/>
        <w:rPr>
          <w:rFonts w:cs="Arial"/>
          <w:bCs/>
          <w:color w:val="auto"/>
          <w:sz w:val="24"/>
        </w:rPr>
      </w:pPr>
      <w:r>
        <w:rPr>
          <w:rFonts w:hint="eastAsia" w:cs="Arial"/>
          <w:bCs/>
          <w:color w:val="auto"/>
          <w:sz w:val="24"/>
        </w:rPr>
        <w:t>系统支持账户内余额原路退回。</w:t>
      </w:r>
    </w:p>
    <w:p w14:paraId="3C2AD25D">
      <w:pPr>
        <w:pStyle w:val="94"/>
        <w:numPr>
          <w:ilvl w:val="0"/>
          <w:numId w:val="223"/>
        </w:numPr>
        <w:ind w:left="0" w:firstLine="480"/>
        <w:rPr>
          <w:rFonts w:cs="Arial"/>
          <w:bCs/>
          <w:color w:val="auto"/>
          <w:sz w:val="24"/>
        </w:rPr>
      </w:pPr>
      <w:r>
        <w:rPr>
          <w:rFonts w:cs="Arial"/>
          <w:bCs/>
          <w:color w:val="auto"/>
          <w:sz w:val="24"/>
        </w:rPr>
        <w:t>支持根据颜色区分收款信息和退款信息。</w:t>
      </w:r>
    </w:p>
    <w:p w14:paraId="1DA7A1B3">
      <w:pPr>
        <w:pStyle w:val="94"/>
        <w:numPr>
          <w:ilvl w:val="0"/>
          <w:numId w:val="223"/>
        </w:numPr>
        <w:ind w:left="0" w:firstLine="480"/>
        <w:rPr>
          <w:rFonts w:cs="Arial"/>
          <w:bCs/>
          <w:color w:val="auto"/>
          <w:sz w:val="24"/>
        </w:rPr>
      </w:pPr>
      <w:r>
        <w:rPr>
          <w:rFonts w:hint="eastAsia" w:cs="Arial"/>
          <w:bCs/>
          <w:color w:val="auto"/>
          <w:sz w:val="24"/>
        </w:rPr>
        <w:t>支持预交金的交纳、退款、日结、收据凭证打印及其他相关统计报表打印；</w:t>
      </w:r>
    </w:p>
    <w:p w14:paraId="56620587">
      <w:pPr>
        <w:pStyle w:val="94"/>
        <w:numPr>
          <w:ilvl w:val="0"/>
          <w:numId w:val="223"/>
        </w:numPr>
        <w:ind w:left="0" w:firstLine="480"/>
        <w:rPr>
          <w:rFonts w:cs="Arial"/>
          <w:bCs/>
          <w:color w:val="auto"/>
          <w:sz w:val="24"/>
        </w:rPr>
      </w:pPr>
      <w:r>
        <w:rPr>
          <w:rFonts w:cs="Arial"/>
          <w:bCs/>
          <w:color w:val="auto"/>
          <w:sz w:val="24"/>
        </w:rPr>
        <w:t>支持预交金收据重打。</w:t>
      </w:r>
    </w:p>
    <w:p w14:paraId="50DBEE6A">
      <w:pPr>
        <w:pStyle w:val="94"/>
        <w:numPr>
          <w:ilvl w:val="0"/>
          <w:numId w:val="223"/>
        </w:numPr>
        <w:ind w:left="0" w:firstLine="480"/>
        <w:rPr>
          <w:rFonts w:cs="Arial"/>
          <w:bCs/>
          <w:color w:val="auto"/>
          <w:sz w:val="24"/>
        </w:rPr>
      </w:pPr>
      <w:r>
        <w:rPr>
          <w:rFonts w:hint="eastAsia" w:cs="Arial"/>
          <w:bCs/>
          <w:color w:val="auto"/>
          <w:sz w:val="24"/>
        </w:rPr>
        <w:t>支持住院病人预交金使用最低限额警告或医院要求的提示方式。</w:t>
      </w:r>
    </w:p>
    <w:p w14:paraId="3E7752E4">
      <w:pPr>
        <w:pStyle w:val="94"/>
        <w:numPr>
          <w:ilvl w:val="0"/>
          <w:numId w:val="223"/>
        </w:numPr>
        <w:ind w:left="0" w:firstLine="480"/>
        <w:rPr>
          <w:rFonts w:cs="Arial"/>
          <w:bCs/>
          <w:color w:val="auto"/>
          <w:sz w:val="24"/>
        </w:rPr>
      </w:pPr>
      <w:r>
        <w:rPr>
          <w:rFonts w:hint="eastAsia" w:cs="Arial"/>
          <w:bCs/>
          <w:color w:val="auto"/>
          <w:sz w:val="24"/>
        </w:rPr>
        <w:t>支持按不同方式查询、统计预交金并进行打印。</w:t>
      </w:r>
    </w:p>
    <w:p w14:paraId="5C4246B0">
      <w:pPr>
        <w:pStyle w:val="94"/>
        <w:numPr>
          <w:ilvl w:val="0"/>
          <w:numId w:val="223"/>
        </w:numPr>
        <w:ind w:left="0" w:firstLine="480"/>
        <w:rPr>
          <w:rFonts w:cs="Arial"/>
          <w:bCs/>
          <w:color w:val="auto"/>
          <w:sz w:val="24"/>
        </w:rPr>
      </w:pPr>
      <w:r>
        <w:rPr>
          <w:rFonts w:hint="eastAsia" w:cs="Arial"/>
          <w:bCs/>
          <w:color w:val="auto"/>
          <w:sz w:val="24"/>
        </w:rPr>
        <w:t>提供患者住院预交金消费明细查询。</w:t>
      </w:r>
    </w:p>
    <w:p w14:paraId="7AB8B78E">
      <w:pPr>
        <w:ind w:firstLine="480"/>
        <w:rPr>
          <w:color w:val="auto"/>
          <w:lang w:val="zh-CN"/>
        </w:rPr>
      </w:pPr>
      <w:r>
        <w:rPr>
          <w:color w:val="auto"/>
          <w:lang w:val="zh-CN"/>
        </w:rPr>
        <w:t>（二）费用担保</w:t>
      </w:r>
    </w:p>
    <w:p w14:paraId="13776409">
      <w:pPr>
        <w:pStyle w:val="94"/>
        <w:numPr>
          <w:ilvl w:val="0"/>
          <w:numId w:val="224"/>
        </w:numPr>
        <w:ind w:left="0" w:firstLine="480"/>
        <w:rPr>
          <w:rFonts w:cs="Arial"/>
          <w:bCs/>
          <w:color w:val="auto"/>
          <w:sz w:val="24"/>
        </w:rPr>
      </w:pPr>
      <w:r>
        <w:rPr>
          <w:rFonts w:hint="eastAsia" w:cs="Arial"/>
          <w:bCs/>
          <w:color w:val="auto"/>
          <w:sz w:val="24"/>
        </w:rPr>
        <w:t>对特殊患者提供住院费用担保登记，保障被担保病人在担保金额内的正常医疗救治。</w:t>
      </w:r>
    </w:p>
    <w:p w14:paraId="528D84E2">
      <w:pPr>
        <w:pStyle w:val="94"/>
        <w:numPr>
          <w:ilvl w:val="0"/>
          <w:numId w:val="224"/>
        </w:numPr>
        <w:ind w:left="0" w:firstLine="480"/>
        <w:rPr>
          <w:rFonts w:cs="Arial"/>
          <w:bCs/>
          <w:color w:val="auto"/>
          <w:sz w:val="24"/>
        </w:rPr>
      </w:pPr>
      <w:r>
        <w:rPr>
          <w:rFonts w:hint="eastAsia" w:cs="Arial"/>
          <w:bCs/>
          <w:color w:val="auto"/>
          <w:sz w:val="24"/>
        </w:rPr>
        <w:t>当特殊患者补齐住院费用后，可撤消担保。</w:t>
      </w:r>
    </w:p>
    <w:p w14:paraId="7072BB2B">
      <w:pPr>
        <w:pStyle w:val="94"/>
        <w:numPr>
          <w:ilvl w:val="0"/>
          <w:numId w:val="224"/>
        </w:numPr>
        <w:ind w:left="0" w:firstLine="480"/>
        <w:rPr>
          <w:rFonts w:cs="Arial"/>
          <w:bCs/>
          <w:color w:val="auto"/>
          <w:sz w:val="24"/>
        </w:rPr>
      </w:pPr>
      <w:r>
        <w:rPr>
          <w:rFonts w:hint="eastAsia" w:cs="Arial"/>
          <w:bCs/>
          <w:color w:val="auto"/>
          <w:sz w:val="24"/>
        </w:rPr>
        <w:t>支持医护人员对欠费病人透支记帐额度设置。</w:t>
      </w:r>
    </w:p>
    <w:p w14:paraId="46B026D4">
      <w:pPr>
        <w:bidi w:val="0"/>
        <w:rPr>
          <w:rFonts w:hint="eastAsia"/>
          <w:b/>
          <w:bCs/>
          <w:color w:val="auto"/>
        </w:rPr>
      </w:pPr>
      <w:bookmarkStart w:id="407" w:name="_Toc153618507"/>
      <w:r>
        <w:rPr>
          <w:rFonts w:hint="eastAsia"/>
          <w:b/>
          <w:bCs/>
          <w:color w:val="auto"/>
        </w:rPr>
        <w:t>费用管理</w:t>
      </w:r>
      <w:bookmarkEnd w:id="407"/>
    </w:p>
    <w:p w14:paraId="2D414E3D">
      <w:pPr>
        <w:ind w:firstLine="480"/>
        <w:rPr>
          <w:color w:val="auto"/>
          <w:lang w:val="zh-CN"/>
        </w:rPr>
      </w:pPr>
      <w:r>
        <w:rPr>
          <w:color w:val="auto"/>
          <w:lang w:val="zh-CN"/>
        </w:rPr>
        <w:t>（一）在院患者费用处理</w:t>
      </w:r>
    </w:p>
    <w:p w14:paraId="187D6FB5">
      <w:pPr>
        <w:pStyle w:val="94"/>
        <w:numPr>
          <w:ilvl w:val="0"/>
          <w:numId w:val="225"/>
        </w:numPr>
        <w:ind w:left="0" w:firstLine="480"/>
        <w:rPr>
          <w:rFonts w:cs="Arial"/>
          <w:bCs/>
          <w:color w:val="auto"/>
          <w:sz w:val="24"/>
        </w:rPr>
      </w:pPr>
      <w:r>
        <w:rPr>
          <w:rFonts w:cs="Arial"/>
          <w:bCs/>
          <w:color w:val="auto"/>
          <w:sz w:val="24"/>
        </w:rPr>
        <w:t>支持单个补记或批量补记患者床位费信息。</w:t>
      </w:r>
    </w:p>
    <w:p w14:paraId="37EC59B8">
      <w:pPr>
        <w:pStyle w:val="94"/>
        <w:numPr>
          <w:ilvl w:val="0"/>
          <w:numId w:val="225"/>
        </w:numPr>
        <w:ind w:left="0" w:firstLine="480"/>
        <w:rPr>
          <w:rFonts w:cs="Arial"/>
          <w:bCs/>
          <w:color w:val="auto"/>
          <w:sz w:val="24"/>
        </w:rPr>
      </w:pPr>
      <w:r>
        <w:rPr>
          <w:rFonts w:cs="Arial"/>
          <w:bCs/>
          <w:color w:val="auto"/>
          <w:sz w:val="24"/>
        </w:rPr>
        <w:t>支持单个效正或批量效正患者费用总额。</w:t>
      </w:r>
    </w:p>
    <w:p w14:paraId="0009EBF1">
      <w:pPr>
        <w:ind w:firstLine="480"/>
        <w:rPr>
          <w:color w:val="auto"/>
          <w:lang w:val="zh-CN"/>
        </w:rPr>
      </w:pPr>
      <w:r>
        <w:rPr>
          <w:color w:val="auto"/>
          <w:lang w:val="zh-CN"/>
        </w:rPr>
        <w:t>（二）住院记账</w:t>
      </w:r>
    </w:p>
    <w:p w14:paraId="53DFDD44">
      <w:pPr>
        <w:pStyle w:val="94"/>
        <w:numPr>
          <w:ilvl w:val="0"/>
          <w:numId w:val="226"/>
        </w:numPr>
        <w:ind w:left="0" w:firstLine="480"/>
        <w:rPr>
          <w:rFonts w:cs="Arial"/>
          <w:bCs/>
          <w:color w:val="auto"/>
          <w:sz w:val="24"/>
        </w:rPr>
      </w:pPr>
      <w:r>
        <w:rPr>
          <w:rFonts w:cs="Arial"/>
          <w:bCs/>
          <w:color w:val="auto"/>
          <w:sz w:val="24"/>
        </w:rPr>
        <w:t>支持单个患者住院费用记账。</w:t>
      </w:r>
    </w:p>
    <w:p w14:paraId="1969A265">
      <w:pPr>
        <w:pStyle w:val="94"/>
        <w:numPr>
          <w:ilvl w:val="0"/>
          <w:numId w:val="226"/>
        </w:numPr>
        <w:ind w:left="0" w:firstLine="480"/>
        <w:rPr>
          <w:rFonts w:cs="Arial"/>
          <w:bCs/>
          <w:color w:val="auto"/>
          <w:sz w:val="24"/>
        </w:rPr>
      </w:pPr>
      <w:r>
        <w:rPr>
          <w:rFonts w:cs="Arial"/>
          <w:bCs/>
          <w:color w:val="auto"/>
          <w:sz w:val="24"/>
        </w:rPr>
        <w:t>支持记账时预约或者撤销预约患者住院结算。</w:t>
      </w:r>
    </w:p>
    <w:p w14:paraId="25B5E38B">
      <w:pPr>
        <w:pStyle w:val="94"/>
        <w:numPr>
          <w:ilvl w:val="0"/>
          <w:numId w:val="226"/>
        </w:numPr>
        <w:ind w:left="0" w:firstLine="480"/>
        <w:rPr>
          <w:rFonts w:cs="Arial"/>
          <w:bCs/>
          <w:color w:val="auto"/>
          <w:sz w:val="24"/>
        </w:rPr>
      </w:pPr>
      <w:r>
        <w:rPr>
          <w:rFonts w:hint="eastAsia" w:cs="Arial"/>
          <w:bCs/>
          <w:color w:val="auto"/>
          <w:sz w:val="24"/>
        </w:rPr>
        <w:t>支持提取执行科室可记账医嘱范围，根据医嘱范围选择记账项目。</w:t>
      </w:r>
    </w:p>
    <w:p w14:paraId="0C6BBF7C">
      <w:pPr>
        <w:ind w:firstLine="480"/>
        <w:rPr>
          <w:color w:val="auto"/>
          <w:lang w:val="zh-CN"/>
        </w:rPr>
      </w:pPr>
      <w:r>
        <w:rPr>
          <w:color w:val="auto"/>
          <w:lang w:val="zh-CN"/>
        </w:rPr>
        <w:t>（三）住院退费</w:t>
      </w:r>
    </w:p>
    <w:p w14:paraId="538F133B">
      <w:pPr>
        <w:pStyle w:val="94"/>
        <w:numPr>
          <w:ilvl w:val="0"/>
          <w:numId w:val="227"/>
        </w:numPr>
        <w:ind w:left="0" w:firstLine="480"/>
        <w:rPr>
          <w:rFonts w:cs="Arial"/>
          <w:bCs/>
          <w:color w:val="auto"/>
          <w:sz w:val="24"/>
        </w:rPr>
      </w:pPr>
      <w:r>
        <w:rPr>
          <w:rFonts w:cs="Arial"/>
          <w:bCs/>
          <w:color w:val="auto"/>
          <w:sz w:val="24"/>
        </w:rPr>
        <w:t>支持患者住院费用批量退费。</w:t>
      </w:r>
    </w:p>
    <w:p w14:paraId="6821EA16">
      <w:pPr>
        <w:pStyle w:val="94"/>
        <w:numPr>
          <w:ilvl w:val="0"/>
          <w:numId w:val="227"/>
        </w:numPr>
        <w:ind w:left="0" w:firstLine="480"/>
        <w:rPr>
          <w:rFonts w:cs="Arial"/>
          <w:bCs/>
          <w:color w:val="auto"/>
          <w:sz w:val="24"/>
        </w:rPr>
      </w:pPr>
      <w:r>
        <w:rPr>
          <w:rFonts w:hint="eastAsia" w:cs="Arial"/>
          <w:bCs/>
          <w:color w:val="auto"/>
          <w:sz w:val="24"/>
        </w:rPr>
        <w:t>支持按项目名称分类查看。</w:t>
      </w:r>
    </w:p>
    <w:p w14:paraId="0BC7A094">
      <w:pPr>
        <w:pStyle w:val="94"/>
        <w:numPr>
          <w:ilvl w:val="0"/>
          <w:numId w:val="227"/>
        </w:numPr>
        <w:ind w:left="0" w:firstLine="480"/>
        <w:rPr>
          <w:rFonts w:cs="Arial"/>
          <w:bCs/>
          <w:color w:val="auto"/>
          <w:sz w:val="24"/>
        </w:rPr>
      </w:pPr>
      <w:r>
        <w:rPr>
          <w:rFonts w:cs="Arial"/>
          <w:bCs/>
          <w:color w:val="auto"/>
          <w:sz w:val="24"/>
        </w:rPr>
        <w:t>支持按开单时间、记账时间、执行时间等进行排序筛选。</w:t>
      </w:r>
    </w:p>
    <w:p w14:paraId="6403E1D0">
      <w:pPr>
        <w:ind w:firstLine="480"/>
        <w:rPr>
          <w:color w:val="auto"/>
          <w:lang w:val="zh-CN"/>
        </w:rPr>
      </w:pPr>
      <w:r>
        <w:rPr>
          <w:color w:val="auto"/>
          <w:lang w:val="zh-CN"/>
        </w:rPr>
        <w:t>（四）个人透支限额设置</w:t>
      </w:r>
    </w:p>
    <w:p w14:paraId="1516C0FE">
      <w:pPr>
        <w:ind w:firstLine="480"/>
        <w:rPr>
          <w:color w:val="auto"/>
          <w:lang w:val="zh-CN"/>
        </w:rPr>
      </w:pPr>
      <w:r>
        <w:rPr>
          <w:rFonts w:hint="eastAsia"/>
          <w:color w:val="auto"/>
          <w:lang w:val="zh-CN"/>
        </w:rPr>
        <w:t>支持当患者欠费时，护士允许记账额度，额度可根据护士工号进行定义，也可以根据科室、患者结算类型进行定义额度。</w:t>
      </w:r>
    </w:p>
    <w:p w14:paraId="0FA9EDDD">
      <w:pPr>
        <w:bidi w:val="0"/>
        <w:rPr>
          <w:rFonts w:hint="eastAsia"/>
          <w:b/>
          <w:bCs/>
          <w:color w:val="auto"/>
        </w:rPr>
      </w:pPr>
      <w:bookmarkStart w:id="408" w:name="_Toc153618508"/>
      <w:r>
        <w:rPr>
          <w:rFonts w:hint="eastAsia"/>
          <w:b/>
          <w:bCs/>
          <w:color w:val="auto"/>
        </w:rPr>
        <w:t>出院结算</w:t>
      </w:r>
      <w:bookmarkEnd w:id="408"/>
    </w:p>
    <w:p w14:paraId="2BB30CB9">
      <w:pPr>
        <w:pStyle w:val="94"/>
        <w:numPr>
          <w:ilvl w:val="0"/>
          <w:numId w:val="228"/>
        </w:numPr>
        <w:ind w:left="0" w:firstLine="480"/>
        <w:rPr>
          <w:rFonts w:cs="Arial"/>
          <w:bCs/>
          <w:color w:val="auto"/>
          <w:sz w:val="24"/>
        </w:rPr>
      </w:pPr>
      <w:r>
        <w:rPr>
          <w:rFonts w:cs="Arial"/>
          <w:bCs/>
          <w:color w:val="auto"/>
          <w:sz w:val="24"/>
        </w:rPr>
        <w:t>支持多种</w:t>
      </w:r>
      <w:r>
        <w:rPr>
          <w:rFonts w:hint="eastAsia" w:cs="Arial"/>
          <w:bCs/>
          <w:color w:val="auto"/>
          <w:sz w:val="24"/>
        </w:rPr>
        <w:t>结算方</w:t>
      </w:r>
      <w:r>
        <w:rPr>
          <w:rFonts w:cs="Arial"/>
          <w:bCs/>
          <w:color w:val="auto"/>
          <w:sz w:val="24"/>
        </w:rPr>
        <w:t>式</w:t>
      </w:r>
      <w:r>
        <w:rPr>
          <w:rFonts w:hint="eastAsia" w:cs="Arial"/>
          <w:bCs/>
          <w:color w:val="auto"/>
          <w:sz w:val="24"/>
        </w:rPr>
        <w:t>：支持现金结算、移动端扫码结算、刷脸结算、</w:t>
      </w:r>
      <w:r>
        <w:rPr>
          <w:rFonts w:cs="Arial"/>
          <w:bCs/>
          <w:color w:val="auto"/>
          <w:sz w:val="24"/>
        </w:rPr>
        <w:t>银</w:t>
      </w:r>
      <w:r>
        <w:rPr>
          <w:rFonts w:hint="eastAsia" w:cs="Arial"/>
          <w:bCs/>
          <w:color w:val="auto"/>
          <w:sz w:val="24"/>
        </w:rPr>
        <w:t>行卡结算</w:t>
      </w:r>
      <w:r>
        <w:rPr>
          <w:rFonts w:cs="Arial"/>
          <w:bCs/>
          <w:color w:val="auto"/>
          <w:sz w:val="24"/>
        </w:rPr>
        <w:t>等</w:t>
      </w:r>
      <w:r>
        <w:rPr>
          <w:rFonts w:hint="eastAsia" w:cs="Arial"/>
          <w:bCs/>
          <w:color w:val="auto"/>
          <w:sz w:val="24"/>
        </w:rPr>
        <w:t>。</w:t>
      </w:r>
    </w:p>
    <w:p w14:paraId="07C8761D">
      <w:pPr>
        <w:pStyle w:val="94"/>
        <w:numPr>
          <w:ilvl w:val="0"/>
          <w:numId w:val="228"/>
        </w:numPr>
        <w:ind w:left="0" w:firstLine="480"/>
        <w:rPr>
          <w:rFonts w:cs="Arial"/>
          <w:bCs/>
          <w:color w:val="auto"/>
          <w:sz w:val="24"/>
        </w:rPr>
      </w:pPr>
      <w:r>
        <w:rPr>
          <w:rFonts w:hint="eastAsia" w:cs="Arial"/>
          <w:bCs/>
          <w:color w:val="auto"/>
          <w:sz w:val="24"/>
        </w:rPr>
        <w:t>支持产科婴儿费用与母亲费用账单分离结算。</w:t>
      </w:r>
    </w:p>
    <w:p w14:paraId="14B134E9">
      <w:pPr>
        <w:pStyle w:val="94"/>
        <w:numPr>
          <w:ilvl w:val="0"/>
          <w:numId w:val="228"/>
        </w:numPr>
        <w:ind w:left="0" w:firstLine="480"/>
        <w:rPr>
          <w:rFonts w:cs="Arial"/>
          <w:bCs/>
          <w:color w:val="auto"/>
          <w:sz w:val="24"/>
        </w:rPr>
      </w:pPr>
      <w:r>
        <w:rPr>
          <w:rFonts w:hint="eastAsia" w:cs="Arial"/>
          <w:bCs/>
          <w:color w:val="auto"/>
          <w:sz w:val="24"/>
        </w:rPr>
        <w:t>支持病人住院期间结算（支持任意时段结算功能；支持住院病人中途结算功能）、出院总结算。</w:t>
      </w:r>
    </w:p>
    <w:p w14:paraId="6CCB2A2D">
      <w:pPr>
        <w:pStyle w:val="94"/>
        <w:numPr>
          <w:ilvl w:val="0"/>
          <w:numId w:val="228"/>
        </w:numPr>
        <w:ind w:left="0" w:firstLine="480"/>
        <w:rPr>
          <w:rFonts w:cs="Arial"/>
          <w:bCs/>
          <w:color w:val="auto"/>
          <w:sz w:val="24"/>
        </w:rPr>
      </w:pPr>
      <w:r>
        <w:rPr>
          <w:rFonts w:hint="eastAsia" w:cs="Arial"/>
          <w:bCs/>
          <w:color w:val="auto"/>
          <w:sz w:val="24"/>
        </w:rPr>
        <w:t>提供结算召回功能，对中途结算、出院结算和欠费结算的患者进行取消结算。</w:t>
      </w:r>
    </w:p>
    <w:p w14:paraId="6CFBC45B">
      <w:pPr>
        <w:pStyle w:val="94"/>
        <w:numPr>
          <w:ilvl w:val="0"/>
          <w:numId w:val="228"/>
        </w:numPr>
        <w:ind w:left="0" w:firstLine="480"/>
        <w:rPr>
          <w:rFonts w:cs="Arial"/>
          <w:bCs/>
          <w:color w:val="auto"/>
          <w:sz w:val="24"/>
        </w:rPr>
      </w:pPr>
      <w:r>
        <w:rPr>
          <w:rFonts w:hint="eastAsia" w:cs="Arial"/>
          <w:bCs/>
          <w:color w:val="auto"/>
          <w:sz w:val="24"/>
        </w:rPr>
        <w:t>支持出院结算召回后的收费、欠费和退费管理。</w:t>
      </w:r>
    </w:p>
    <w:p w14:paraId="13C0DBEE">
      <w:pPr>
        <w:pStyle w:val="94"/>
        <w:numPr>
          <w:ilvl w:val="0"/>
          <w:numId w:val="228"/>
        </w:numPr>
        <w:ind w:left="0" w:firstLine="480"/>
        <w:rPr>
          <w:rFonts w:cs="Arial"/>
          <w:bCs/>
          <w:color w:val="auto"/>
          <w:sz w:val="24"/>
        </w:rPr>
      </w:pPr>
      <w:r>
        <w:rPr>
          <w:rFonts w:hint="eastAsia" w:cs="Arial"/>
          <w:bCs/>
          <w:color w:val="auto"/>
          <w:sz w:val="24"/>
        </w:rPr>
        <w:t>支持住院病人预交金使用最低限额警告。</w:t>
      </w:r>
    </w:p>
    <w:p w14:paraId="1D9DF0FF">
      <w:pPr>
        <w:pStyle w:val="94"/>
        <w:numPr>
          <w:ilvl w:val="0"/>
          <w:numId w:val="228"/>
        </w:numPr>
        <w:ind w:left="0" w:firstLine="480"/>
        <w:rPr>
          <w:rFonts w:cs="Arial"/>
          <w:bCs/>
          <w:color w:val="auto"/>
          <w:sz w:val="24"/>
        </w:rPr>
      </w:pPr>
      <w:r>
        <w:rPr>
          <w:rFonts w:hint="eastAsia" w:cs="Arial"/>
          <w:bCs/>
          <w:color w:val="auto"/>
          <w:sz w:val="24"/>
        </w:rPr>
        <w:t>提供灵活的病人费用查询功能，支持分段费用查询及病人自助查询；符合财务管理的相关要求。</w:t>
      </w:r>
    </w:p>
    <w:p w14:paraId="5D06EADD">
      <w:pPr>
        <w:pStyle w:val="94"/>
        <w:numPr>
          <w:ilvl w:val="0"/>
          <w:numId w:val="228"/>
        </w:numPr>
        <w:ind w:left="0" w:firstLine="480"/>
        <w:rPr>
          <w:rFonts w:cs="Arial"/>
          <w:bCs/>
          <w:color w:val="auto"/>
          <w:sz w:val="24"/>
        </w:rPr>
      </w:pPr>
      <w:r>
        <w:rPr>
          <w:rFonts w:hint="eastAsia" w:cs="Arial"/>
          <w:bCs/>
          <w:color w:val="auto"/>
          <w:sz w:val="24"/>
        </w:rPr>
        <w:t>支持门诊费用转入住院费用一并结算。</w:t>
      </w:r>
    </w:p>
    <w:p w14:paraId="310CD0A6">
      <w:pPr>
        <w:pStyle w:val="94"/>
        <w:numPr>
          <w:ilvl w:val="0"/>
          <w:numId w:val="228"/>
        </w:numPr>
        <w:ind w:left="0" w:firstLine="480"/>
        <w:rPr>
          <w:rFonts w:cs="Arial"/>
          <w:bCs/>
          <w:color w:val="auto"/>
          <w:sz w:val="24"/>
        </w:rPr>
      </w:pPr>
      <w:r>
        <w:rPr>
          <w:rFonts w:hint="eastAsia" w:cs="Arial"/>
          <w:bCs/>
          <w:color w:val="auto"/>
          <w:sz w:val="24"/>
        </w:rPr>
        <w:t>支持按多种显示方式随时查询病人在住院过程中的费用详细情况，打印住院费用详细清单，一日费用清单。</w:t>
      </w:r>
    </w:p>
    <w:p w14:paraId="7D1DD1CC">
      <w:pPr>
        <w:pStyle w:val="94"/>
        <w:numPr>
          <w:ilvl w:val="0"/>
          <w:numId w:val="228"/>
        </w:numPr>
        <w:ind w:left="0" w:firstLine="480"/>
        <w:rPr>
          <w:rFonts w:cs="Arial"/>
          <w:bCs/>
          <w:color w:val="auto"/>
          <w:sz w:val="24"/>
        </w:rPr>
      </w:pPr>
      <w:r>
        <w:rPr>
          <w:rFonts w:hint="eastAsia" w:cs="Arial"/>
          <w:bCs/>
          <w:color w:val="auto"/>
          <w:sz w:val="24"/>
        </w:rPr>
        <w:t>支持医保病人费用的预结算功能；</w:t>
      </w:r>
    </w:p>
    <w:p w14:paraId="316A54FD">
      <w:pPr>
        <w:pStyle w:val="94"/>
        <w:numPr>
          <w:ilvl w:val="0"/>
          <w:numId w:val="228"/>
        </w:numPr>
        <w:ind w:left="0" w:firstLine="480"/>
        <w:rPr>
          <w:rFonts w:cs="Arial"/>
          <w:bCs/>
          <w:color w:val="auto"/>
          <w:sz w:val="24"/>
        </w:rPr>
      </w:pPr>
      <w:r>
        <w:rPr>
          <w:rFonts w:hint="eastAsia" w:cs="Arial"/>
          <w:bCs/>
          <w:color w:val="auto"/>
          <w:sz w:val="24"/>
        </w:rPr>
        <w:t>提供票据领用、注销、作废、补打、重打等管理功能。</w:t>
      </w:r>
    </w:p>
    <w:p w14:paraId="682E9935">
      <w:pPr>
        <w:pStyle w:val="94"/>
        <w:numPr>
          <w:ilvl w:val="0"/>
          <w:numId w:val="228"/>
        </w:numPr>
        <w:ind w:left="0" w:firstLine="480"/>
        <w:rPr>
          <w:rFonts w:cs="Arial"/>
          <w:bCs/>
          <w:color w:val="auto"/>
          <w:sz w:val="24"/>
        </w:rPr>
      </w:pPr>
      <w:r>
        <w:rPr>
          <w:rFonts w:cs="Arial"/>
          <w:bCs/>
          <w:color w:val="auto"/>
          <w:sz w:val="24"/>
        </w:rPr>
        <w:t>提供欠费病</w:t>
      </w:r>
      <w:r>
        <w:rPr>
          <w:rFonts w:hint="eastAsia" w:cs="Arial"/>
          <w:bCs/>
          <w:color w:val="auto"/>
          <w:sz w:val="24"/>
        </w:rPr>
        <w:t>人</w:t>
      </w:r>
      <w:r>
        <w:rPr>
          <w:rFonts w:cs="Arial"/>
          <w:bCs/>
          <w:color w:val="auto"/>
          <w:sz w:val="24"/>
        </w:rPr>
        <w:t>处理功能，如：欠费预警、欠费担保、欠费结算、欠费补缴。</w:t>
      </w:r>
    </w:p>
    <w:p w14:paraId="5D322A73">
      <w:pPr>
        <w:pStyle w:val="94"/>
        <w:numPr>
          <w:ilvl w:val="0"/>
          <w:numId w:val="228"/>
        </w:numPr>
        <w:ind w:left="0" w:firstLine="480"/>
        <w:rPr>
          <w:rFonts w:cs="Arial"/>
          <w:bCs/>
          <w:color w:val="auto"/>
          <w:sz w:val="24"/>
        </w:rPr>
      </w:pPr>
      <w:r>
        <w:rPr>
          <w:rFonts w:hint="eastAsia" w:cs="Arial"/>
          <w:bCs/>
          <w:color w:val="auto"/>
          <w:sz w:val="24"/>
        </w:rPr>
        <w:t>支持电子发票打印功能。</w:t>
      </w:r>
    </w:p>
    <w:p w14:paraId="7EDE0026">
      <w:pPr>
        <w:bidi w:val="0"/>
        <w:rPr>
          <w:rFonts w:hint="eastAsia"/>
          <w:b/>
          <w:bCs/>
          <w:color w:val="auto"/>
        </w:rPr>
      </w:pPr>
      <w:bookmarkStart w:id="409" w:name="_Toc153618509"/>
      <w:r>
        <w:rPr>
          <w:rFonts w:hint="eastAsia"/>
          <w:b/>
          <w:bCs/>
          <w:color w:val="auto"/>
        </w:rPr>
        <w:t>日结日报</w:t>
      </w:r>
      <w:bookmarkEnd w:id="409"/>
    </w:p>
    <w:p w14:paraId="193FB037">
      <w:pPr>
        <w:pStyle w:val="94"/>
        <w:numPr>
          <w:ilvl w:val="0"/>
          <w:numId w:val="229"/>
        </w:numPr>
        <w:ind w:left="0" w:firstLine="480"/>
        <w:rPr>
          <w:rFonts w:cs="Arial"/>
          <w:bCs/>
          <w:color w:val="auto"/>
          <w:sz w:val="24"/>
        </w:rPr>
      </w:pPr>
      <w:r>
        <w:rPr>
          <w:rFonts w:hint="eastAsia" w:cs="Arial"/>
          <w:bCs/>
          <w:color w:val="auto"/>
          <w:sz w:val="24"/>
        </w:rPr>
        <w:t>收费员当日所有的预交款、结帐费用支持按照不同的收费渠道进行分类统计展示，形成缴款报表，便于核对查看。</w:t>
      </w:r>
    </w:p>
    <w:p w14:paraId="2267C336">
      <w:pPr>
        <w:pStyle w:val="94"/>
        <w:numPr>
          <w:ilvl w:val="0"/>
          <w:numId w:val="229"/>
        </w:numPr>
        <w:ind w:left="0" w:firstLine="480"/>
        <w:rPr>
          <w:rFonts w:cs="Arial"/>
          <w:bCs/>
          <w:color w:val="auto"/>
          <w:sz w:val="24"/>
        </w:rPr>
      </w:pPr>
      <w:r>
        <w:rPr>
          <w:rFonts w:hint="eastAsia" w:cs="Arial"/>
          <w:bCs/>
          <w:color w:val="auto"/>
          <w:sz w:val="24"/>
        </w:rPr>
        <w:t>支持收费员查看收费明细，进行对账。</w:t>
      </w:r>
    </w:p>
    <w:p w14:paraId="28DC2474">
      <w:pPr>
        <w:pStyle w:val="94"/>
        <w:numPr>
          <w:ilvl w:val="0"/>
          <w:numId w:val="229"/>
        </w:numPr>
        <w:ind w:left="0" w:firstLine="480"/>
        <w:rPr>
          <w:rFonts w:cs="Arial"/>
          <w:bCs/>
          <w:color w:val="auto"/>
          <w:sz w:val="24"/>
        </w:rPr>
      </w:pPr>
      <w:r>
        <w:rPr>
          <w:rFonts w:hint="eastAsia" w:cs="Arial"/>
          <w:bCs/>
          <w:color w:val="auto"/>
          <w:sz w:val="24"/>
        </w:rPr>
        <w:t>收费员扎帐后，自动生成缴款单，进入交帐审批流程（收费员、班组、财务），形成交帐的规范化流程管理。</w:t>
      </w:r>
    </w:p>
    <w:p w14:paraId="3B368923">
      <w:pPr>
        <w:pStyle w:val="94"/>
        <w:numPr>
          <w:ilvl w:val="0"/>
          <w:numId w:val="229"/>
        </w:numPr>
        <w:ind w:left="0" w:firstLine="480"/>
        <w:rPr>
          <w:rFonts w:cs="Arial"/>
          <w:bCs/>
          <w:color w:val="auto"/>
          <w:sz w:val="24"/>
        </w:rPr>
      </w:pPr>
      <w:r>
        <w:rPr>
          <w:rFonts w:hint="eastAsia" w:cs="Arial"/>
          <w:bCs/>
          <w:color w:val="auto"/>
          <w:sz w:val="24"/>
        </w:rPr>
        <w:t>支持按人或费用类别汇总，打印核销报表</w:t>
      </w:r>
    </w:p>
    <w:p w14:paraId="11C88E19">
      <w:pPr>
        <w:pStyle w:val="94"/>
        <w:numPr>
          <w:ilvl w:val="0"/>
          <w:numId w:val="229"/>
        </w:numPr>
        <w:ind w:left="0" w:firstLine="480"/>
        <w:rPr>
          <w:rFonts w:cs="Arial"/>
          <w:bCs/>
          <w:color w:val="auto"/>
          <w:sz w:val="24"/>
        </w:rPr>
      </w:pPr>
      <w:r>
        <w:rPr>
          <w:rFonts w:hint="eastAsia" w:cs="Arial"/>
          <w:bCs/>
          <w:color w:val="auto"/>
          <w:sz w:val="24"/>
        </w:rPr>
        <w:t>支持查询收费员已收费未缴款费用清单。</w:t>
      </w:r>
    </w:p>
    <w:p w14:paraId="26BE15BC">
      <w:pPr>
        <w:pStyle w:val="94"/>
        <w:numPr>
          <w:ilvl w:val="0"/>
          <w:numId w:val="229"/>
        </w:numPr>
        <w:ind w:left="0" w:firstLine="480"/>
        <w:rPr>
          <w:rFonts w:cs="Arial"/>
          <w:bCs/>
          <w:color w:val="auto"/>
          <w:sz w:val="24"/>
        </w:rPr>
      </w:pPr>
      <w:r>
        <w:rPr>
          <w:rFonts w:hint="eastAsia" w:cs="Arial"/>
          <w:bCs/>
          <w:color w:val="auto"/>
          <w:sz w:val="24"/>
        </w:rPr>
        <w:t>支持日报打印格式自定义。</w:t>
      </w:r>
    </w:p>
    <w:p w14:paraId="30954F89">
      <w:pPr>
        <w:bidi w:val="0"/>
        <w:rPr>
          <w:rFonts w:hint="eastAsia"/>
          <w:b/>
          <w:bCs/>
          <w:color w:val="auto"/>
        </w:rPr>
      </w:pPr>
      <w:bookmarkStart w:id="410" w:name="_Toc153618510"/>
      <w:r>
        <w:rPr>
          <w:rFonts w:hint="eastAsia"/>
          <w:b/>
          <w:bCs/>
          <w:color w:val="auto"/>
        </w:rPr>
        <w:t>综合报表</w:t>
      </w:r>
      <w:bookmarkEnd w:id="410"/>
    </w:p>
    <w:p w14:paraId="09305C04">
      <w:pPr>
        <w:pStyle w:val="94"/>
        <w:numPr>
          <w:ilvl w:val="0"/>
          <w:numId w:val="230"/>
        </w:numPr>
        <w:ind w:left="0" w:firstLine="480"/>
        <w:rPr>
          <w:rFonts w:cs="Arial"/>
          <w:bCs/>
          <w:color w:val="auto"/>
          <w:sz w:val="24"/>
        </w:rPr>
      </w:pPr>
      <w:r>
        <w:rPr>
          <w:rFonts w:cs="Arial"/>
          <w:bCs/>
          <w:color w:val="auto"/>
          <w:sz w:val="24"/>
        </w:rPr>
        <w:t>提供各类报表</w:t>
      </w:r>
      <w:r>
        <w:rPr>
          <w:rFonts w:hint="eastAsia" w:cs="Arial"/>
          <w:bCs/>
          <w:color w:val="auto"/>
          <w:sz w:val="24"/>
        </w:rPr>
        <w:t>，</w:t>
      </w:r>
      <w:r>
        <w:rPr>
          <w:rFonts w:cs="Arial"/>
          <w:bCs/>
          <w:color w:val="auto"/>
          <w:sz w:val="24"/>
        </w:rPr>
        <w:t>包涵个人综合查询</w:t>
      </w:r>
      <w:r>
        <w:rPr>
          <w:rFonts w:hint="eastAsia" w:cs="Arial"/>
          <w:bCs/>
          <w:color w:val="auto"/>
          <w:sz w:val="24"/>
        </w:rPr>
        <w:t>、一日费用清单、在院病人汇总、出院病人汇总、住院花名册等。</w:t>
      </w:r>
    </w:p>
    <w:p w14:paraId="5DD5D07E">
      <w:pPr>
        <w:pStyle w:val="94"/>
        <w:numPr>
          <w:ilvl w:val="0"/>
          <w:numId w:val="230"/>
        </w:numPr>
        <w:ind w:left="0" w:firstLine="480"/>
        <w:rPr>
          <w:rFonts w:cs="Arial"/>
          <w:bCs/>
          <w:color w:val="auto"/>
          <w:sz w:val="24"/>
        </w:rPr>
      </w:pPr>
      <w:r>
        <w:rPr>
          <w:rFonts w:cs="Arial"/>
          <w:bCs/>
          <w:color w:val="auto"/>
          <w:sz w:val="24"/>
        </w:rPr>
        <w:t>可根据时间范围、结算类型、科室、病区等条件进行分类查询。</w:t>
      </w:r>
    </w:p>
    <w:p w14:paraId="28C113BC">
      <w:pPr>
        <w:pStyle w:val="94"/>
        <w:numPr>
          <w:ilvl w:val="0"/>
          <w:numId w:val="230"/>
        </w:numPr>
        <w:ind w:left="0" w:firstLine="480"/>
        <w:rPr>
          <w:rFonts w:cs="Arial"/>
          <w:bCs/>
          <w:color w:val="auto"/>
          <w:sz w:val="24"/>
        </w:rPr>
      </w:pPr>
      <w:r>
        <w:rPr>
          <w:rFonts w:cs="Arial"/>
          <w:bCs/>
          <w:color w:val="auto"/>
          <w:sz w:val="24"/>
        </w:rPr>
        <w:t>支持汇总查询及各类分项明细查询。</w:t>
      </w:r>
    </w:p>
    <w:p w14:paraId="214D1E76">
      <w:pPr>
        <w:pStyle w:val="94"/>
        <w:numPr>
          <w:ilvl w:val="0"/>
          <w:numId w:val="230"/>
        </w:numPr>
        <w:ind w:left="0" w:firstLine="480"/>
        <w:rPr>
          <w:rFonts w:cs="Arial"/>
          <w:bCs/>
          <w:color w:val="auto"/>
          <w:sz w:val="24"/>
        </w:rPr>
      </w:pPr>
      <w:r>
        <w:rPr>
          <w:rFonts w:hint="eastAsia" w:cs="Arial"/>
          <w:bCs/>
          <w:color w:val="auto"/>
          <w:sz w:val="24"/>
        </w:rPr>
        <w:t>查询结果支持导出和打印，可自定义打印报表。</w:t>
      </w:r>
    </w:p>
    <w:p w14:paraId="64FFF427">
      <w:pPr>
        <w:pStyle w:val="14"/>
        <w:bidi w:val="0"/>
        <w:rPr>
          <w:color w:val="auto"/>
        </w:rPr>
      </w:pPr>
      <w:r>
        <w:rPr>
          <w:rFonts w:hint="eastAsia"/>
          <w:color w:val="auto"/>
        </w:rPr>
        <w:tab/>
      </w:r>
      <w:r>
        <w:rPr>
          <w:rFonts w:hint="eastAsia"/>
          <w:color w:val="auto"/>
        </w:rPr>
        <w:t>结算往来管理系统</w:t>
      </w:r>
    </w:p>
    <w:p w14:paraId="15481644">
      <w:pPr>
        <w:bidi w:val="0"/>
        <w:rPr>
          <w:color w:val="auto"/>
        </w:rPr>
      </w:pPr>
      <w:r>
        <w:rPr>
          <w:rFonts w:hint="default"/>
          <w:color w:val="auto"/>
        </w:rPr>
        <w:t>提供医技科室费用补记与批量确认功能，支持多条件查询对账，优化科室间财务协作流程。</w:t>
      </w:r>
    </w:p>
    <w:p w14:paraId="3A42006F">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20E81AF">
      <w:pPr>
        <w:pStyle w:val="94"/>
        <w:numPr>
          <w:ilvl w:val="0"/>
          <w:numId w:val="231"/>
        </w:numPr>
        <w:ind w:left="0" w:firstLine="480"/>
        <w:rPr>
          <w:color w:val="auto"/>
          <w:sz w:val="24"/>
        </w:rPr>
      </w:pPr>
      <w:r>
        <w:rPr>
          <w:color w:val="auto"/>
          <w:sz w:val="24"/>
        </w:rPr>
        <w:t>提供执行</w:t>
      </w:r>
      <w:r>
        <w:rPr>
          <w:rFonts w:hint="eastAsia"/>
          <w:color w:val="auto"/>
          <w:sz w:val="24"/>
        </w:rPr>
        <w:t>确认</w:t>
      </w:r>
      <w:r>
        <w:rPr>
          <w:color w:val="auto"/>
          <w:sz w:val="24"/>
        </w:rPr>
        <w:t>、</w:t>
      </w:r>
      <w:r>
        <w:rPr>
          <w:rFonts w:hint="eastAsia"/>
          <w:color w:val="auto"/>
          <w:sz w:val="24"/>
        </w:rPr>
        <w:t>撤销确认</w:t>
      </w:r>
      <w:r>
        <w:rPr>
          <w:color w:val="auto"/>
          <w:sz w:val="24"/>
        </w:rPr>
        <w:t>、查询等基本功能</w:t>
      </w:r>
      <w:r>
        <w:rPr>
          <w:rFonts w:hint="eastAsia"/>
          <w:color w:val="auto"/>
          <w:sz w:val="24"/>
        </w:rPr>
        <w:t>。</w:t>
      </w:r>
    </w:p>
    <w:p w14:paraId="754EFF6F">
      <w:pPr>
        <w:pStyle w:val="94"/>
        <w:numPr>
          <w:ilvl w:val="0"/>
          <w:numId w:val="231"/>
        </w:numPr>
        <w:ind w:left="0" w:firstLine="480"/>
        <w:rPr>
          <w:color w:val="auto"/>
          <w:sz w:val="24"/>
        </w:rPr>
      </w:pPr>
      <w:r>
        <w:rPr>
          <w:color w:val="auto"/>
          <w:sz w:val="24"/>
        </w:rPr>
        <w:t>支持执行操作的批</w:t>
      </w:r>
      <w:r>
        <w:rPr>
          <w:rFonts w:hint="eastAsia"/>
          <w:color w:val="auto"/>
          <w:sz w:val="24"/>
        </w:rPr>
        <w:t>量处</w:t>
      </w:r>
      <w:r>
        <w:rPr>
          <w:color w:val="auto"/>
          <w:sz w:val="24"/>
        </w:rPr>
        <w:t>理</w:t>
      </w:r>
      <w:r>
        <w:rPr>
          <w:rFonts w:hint="eastAsia"/>
          <w:color w:val="auto"/>
          <w:sz w:val="24"/>
        </w:rPr>
        <w:t>。</w:t>
      </w:r>
    </w:p>
    <w:p w14:paraId="62454D53">
      <w:pPr>
        <w:pStyle w:val="94"/>
        <w:numPr>
          <w:ilvl w:val="0"/>
          <w:numId w:val="231"/>
        </w:numPr>
        <w:ind w:left="0" w:firstLine="480"/>
        <w:rPr>
          <w:color w:val="auto"/>
          <w:sz w:val="24"/>
        </w:rPr>
      </w:pPr>
      <w:r>
        <w:rPr>
          <w:color w:val="auto"/>
          <w:sz w:val="24"/>
        </w:rPr>
        <w:t>支持医技科室根据检查需要进行补记费用操作。</w:t>
      </w:r>
      <w:r>
        <w:rPr>
          <w:rFonts w:hint="eastAsia"/>
          <w:color w:val="auto"/>
          <w:sz w:val="24"/>
        </w:rPr>
        <w:t>。</w:t>
      </w:r>
    </w:p>
    <w:p w14:paraId="6F4A5A00">
      <w:pPr>
        <w:pStyle w:val="94"/>
        <w:numPr>
          <w:ilvl w:val="0"/>
          <w:numId w:val="231"/>
        </w:numPr>
        <w:ind w:left="0" w:firstLine="480"/>
        <w:rPr>
          <w:color w:val="auto"/>
          <w:sz w:val="24"/>
        </w:rPr>
      </w:pPr>
      <w:r>
        <w:rPr>
          <w:color w:val="auto"/>
          <w:sz w:val="24"/>
        </w:rPr>
        <w:t>提供显示所有申请病人名单，查验收费信息，提前作好待检准备。</w:t>
      </w:r>
    </w:p>
    <w:p w14:paraId="3F19C798">
      <w:pPr>
        <w:pStyle w:val="94"/>
        <w:numPr>
          <w:ilvl w:val="0"/>
          <w:numId w:val="231"/>
        </w:numPr>
        <w:ind w:left="0" w:firstLine="480"/>
        <w:rPr>
          <w:color w:val="auto"/>
          <w:sz w:val="24"/>
        </w:rPr>
      </w:pPr>
      <w:r>
        <w:rPr>
          <w:rFonts w:hint="eastAsia"/>
          <w:color w:val="auto"/>
          <w:sz w:val="24"/>
        </w:rPr>
        <w:t>支持根据多条件、多口径查询科室医技执行费用明细。</w:t>
      </w:r>
    </w:p>
    <w:p w14:paraId="772016B8">
      <w:pPr>
        <w:pStyle w:val="14"/>
        <w:bidi w:val="0"/>
        <w:rPr>
          <w:color w:val="auto"/>
        </w:rPr>
      </w:pPr>
      <w:r>
        <w:rPr>
          <w:rFonts w:hint="eastAsia"/>
          <w:color w:val="auto"/>
        </w:rPr>
        <w:tab/>
      </w:r>
      <w:r>
        <w:rPr>
          <w:rFonts w:hint="eastAsia"/>
          <w:color w:val="auto"/>
        </w:rPr>
        <w:t>医保结算管理系统</w:t>
      </w:r>
    </w:p>
    <w:p w14:paraId="18518857">
      <w:pPr>
        <w:bidi w:val="0"/>
        <w:rPr>
          <w:color w:val="auto"/>
        </w:rPr>
      </w:pPr>
      <w:r>
        <w:rPr>
          <w:color w:val="auto"/>
        </w:rPr>
        <w:t>实现电子医保卡全流程应用、智能对账及拨付闭环管理，支持异地结算与待遇类型校正，提升医保服务合规性。</w:t>
      </w:r>
    </w:p>
    <w:p w14:paraId="71E75937">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p>
    <w:p w14:paraId="545442BD">
      <w:pPr>
        <w:bidi w:val="0"/>
        <w:rPr>
          <w:b/>
          <w:bCs/>
          <w:color w:val="auto"/>
        </w:rPr>
      </w:pPr>
      <w:bookmarkStart w:id="411" w:name="_Toc153618512"/>
      <w:r>
        <w:rPr>
          <w:rFonts w:hint="eastAsia"/>
          <w:b/>
          <w:bCs/>
          <w:color w:val="auto"/>
        </w:rPr>
        <w:t>基本设置</w:t>
      </w:r>
      <w:bookmarkEnd w:id="411"/>
    </w:p>
    <w:p w14:paraId="22EECA3F">
      <w:pPr>
        <w:ind w:firstLine="480"/>
        <w:rPr>
          <w:color w:val="auto"/>
          <w:lang w:val="zh-CN"/>
        </w:rPr>
      </w:pPr>
      <w:r>
        <w:rPr>
          <w:rFonts w:hint="eastAsia"/>
          <w:color w:val="auto"/>
          <w:lang w:val="zh-CN"/>
        </w:rPr>
        <w:t>（一）医保对照</w:t>
      </w:r>
    </w:p>
    <w:p w14:paraId="67C27EA4">
      <w:pPr>
        <w:pStyle w:val="94"/>
        <w:numPr>
          <w:ilvl w:val="0"/>
          <w:numId w:val="232"/>
        </w:numPr>
        <w:ind w:left="0" w:firstLine="480"/>
        <w:rPr>
          <w:rFonts w:cs="Arial"/>
          <w:bCs/>
          <w:color w:val="auto"/>
          <w:sz w:val="24"/>
        </w:rPr>
      </w:pPr>
      <w:r>
        <w:rPr>
          <w:rFonts w:cs="Arial"/>
          <w:bCs/>
          <w:color w:val="auto"/>
          <w:sz w:val="24"/>
        </w:rPr>
        <w:t>能够通过医保对照</w:t>
      </w:r>
      <w:r>
        <w:rPr>
          <w:rFonts w:hint="eastAsia" w:cs="Arial"/>
          <w:bCs/>
          <w:color w:val="auto"/>
          <w:sz w:val="24"/>
        </w:rPr>
        <w:t>，</w:t>
      </w:r>
      <w:r>
        <w:rPr>
          <w:rFonts w:cs="Arial"/>
          <w:bCs/>
          <w:color w:val="auto"/>
          <w:sz w:val="24"/>
        </w:rPr>
        <w:t>将院内项目与医保项目进行对照</w:t>
      </w:r>
      <w:r>
        <w:rPr>
          <w:rFonts w:hint="eastAsia" w:cs="Arial"/>
          <w:bCs/>
          <w:color w:val="auto"/>
          <w:sz w:val="24"/>
        </w:rPr>
        <w:t>，</w:t>
      </w:r>
      <w:r>
        <w:rPr>
          <w:rFonts w:cs="Arial"/>
          <w:bCs/>
          <w:color w:val="auto"/>
          <w:sz w:val="24"/>
        </w:rPr>
        <w:t>用于医保结算上传</w:t>
      </w:r>
      <w:r>
        <w:rPr>
          <w:rFonts w:hint="eastAsia" w:cs="Arial"/>
          <w:bCs/>
          <w:color w:val="auto"/>
          <w:sz w:val="24"/>
        </w:rPr>
        <w:t>。</w:t>
      </w:r>
    </w:p>
    <w:p w14:paraId="010891C6">
      <w:pPr>
        <w:pStyle w:val="94"/>
        <w:numPr>
          <w:ilvl w:val="0"/>
          <w:numId w:val="232"/>
        </w:numPr>
        <w:ind w:left="0" w:firstLine="480"/>
        <w:rPr>
          <w:rFonts w:cs="Arial"/>
          <w:bCs/>
          <w:color w:val="auto"/>
          <w:sz w:val="24"/>
        </w:rPr>
      </w:pPr>
      <w:r>
        <w:rPr>
          <w:rFonts w:cs="Arial"/>
          <w:bCs/>
          <w:color w:val="auto"/>
          <w:sz w:val="24"/>
        </w:rPr>
        <w:t>能够通过医保接口自动下载药品</w:t>
      </w:r>
      <w:r>
        <w:rPr>
          <w:rFonts w:hint="eastAsia" w:cs="Arial"/>
          <w:bCs/>
          <w:color w:val="auto"/>
          <w:sz w:val="24"/>
        </w:rPr>
        <w:t>、</w:t>
      </w:r>
      <w:r>
        <w:rPr>
          <w:rFonts w:cs="Arial"/>
          <w:bCs/>
          <w:color w:val="auto"/>
          <w:sz w:val="24"/>
        </w:rPr>
        <w:t>诊疗</w:t>
      </w:r>
      <w:r>
        <w:rPr>
          <w:rFonts w:hint="eastAsia" w:cs="Arial"/>
          <w:bCs/>
          <w:color w:val="auto"/>
          <w:sz w:val="24"/>
        </w:rPr>
        <w:t>、</w:t>
      </w:r>
      <w:r>
        <w:rPr>
          <w:rFonts w:cs="Arial"/>
          <w:bCs/>
          <w:color w:val="auto"/>
          <w:sz w:val="24"/>
        </w:rPr>
        <w:t>疾病目录</w:t>
      </w:r>
      <w:r>
        <w:rPr>
          <w:rFonts w:hint="eastAsia" w:cs="Arial"/>
          <w:bCs/>
          <w:color w:val="auto"/>
          <w:sz w:val="24"/>
        </w:rPr>
        <w:t>，</w:t>
      </w:r>
      <w:r>
        <w:rPr>
          <w:rFonts w:cs="Arial"/>
          <w:bCs/>
          <w:color w:val="auto"/>
          <w:sz w:val="24"/>
        </w:rPr>
        <w:t>并进行目录更新</w:t>
      </w:r>
      <w:r>
        <w:rPr>
          <w:rFonts w:hint="eastAsia" w:cs="Arial"/>
          <w:bCs/>
          <w:color w:val="auto"/>
          <w:sz w:val="24"/>
        </w:rPr>
        <w:t>。</w:t>
      </w:r>
    </w:p>
    <w:p w14:paraId="1981AA81">
      <w:pPr>
        <w:pStyle w:val="94"/>
        <w:numPr>
          <w:ilvl w:val="0"/>
          <w:numId w:val="232"/>
        </w:numPr>
        <w:ind w:left="0" w:firstLine="480"/>
        <w:rPr>
          <w:rFonts w:cs="Arial"/>
          <w:bCs/>
          <w:color w:val="auto"/>
          <w:sz w:val="24"/>
        </w:rPr>
      </w:pPr>
      <w:r>
        <w:rPr>
          <w:rFonts w:cs="Arial"/>
          <w:bCs/>
          <w:color w:val="auto"/>
          <w:sz w:val="24"/>
        </w:rPr>
        <w:t>支持复制对照信息至当前医院</w:t>
      </w:r>
      <w:r>
        <w:rPr>
          <w:rFonts w:hint="eastAsia" w:cs="Arial"/>
          <w:bCs/>
          <w:color w:val="auto"/>
          <w:sz w:val="24"/>
        </w:rPr>
        <w:t>。</w:t>
      </w:r>
    </w:p>
    <w:p w14:paraId="6D85137C">
      <w:pPr>
        <w:ind w:firstLine="480"/>
        <w:rPr>
          <w:color w:val="auto"/>
          <w:lang w:val="zh-CN"/>
        </w:rPr>
      </w:pPr>
      <w:r>
        <w:rPr>
          <w:color w:val="auto"/>
          <w:lang w:val="zh-CN"/>
        </w:rPr>
        <w:t>（二</w:t>
      </w:r>
      <w:r>
        <w:rPr>
          <w:rFonts w:hint="eastAsia"/>
          <w:color w:val="auto"/>
          <w:lang w:val="zh-CN"/>
        </w:rPr>
        <w:t>）</w:t>
      </w:r>
      <w:r>
        <w:rPr>
          <w:color w:val="auto"/>
          <w:lang w:val="zh-CN"/>
        </w:rPr>
        <w:t>个人就诊登记信息查询</w:t>
      </w:r>
    </w:p>
    <w:p w14:paraId="44A0DCF9">
      <w:pPr>
        <w:pStyle w:val="94"/>
        <w:numPr>
          <w:ilvl w:val="0"/>
          <w:numId w:val="233"/>
        </w:numPr>
        <w:ind w:left="0" w:firstLine="480"/>
        <w:rPr>
          <w:rFonts w:cs="Arial"/>
          <w:bCs/>
          <w:color w:val="auto"/>
          <w:sz w:val="24"/>
        </w:rPr>
      </w:pPr>
      <w:r>
        <w:rPr>
          <w:rFonts w:hint="eastAsia" w:cs="Arial"/>
          <w:bCs/>
          <w:color w:val="auto"/>
          <w:sz w:val="24"/>
        </w:rPr>
        <w:t>通过医保读卡，获取患者历次医保就诊信息。</w:t>
      </w:r>
    </w:p>
    <w:p w14:paraId="47D32A9A">
      <w:pPr>
        <w:pStyle w:val="94"/>
        <w:numPr>
          <w:ilvl w:val="0"/>
          <w:numId w:val="233"/>
        </w:numPr>
        <w:ind w:left="0" w:firstLine="480"/>
        <w:rPr>
          <w:rFonts w:cs="Arial"/>
          <w:bCs/>
          <w:color w:val="auto"/>
          <w:sz w:val="24"/>
        </w:rPr>
      </w:pPr>
      <w:r>
        <w:rPr>
          <w:rFonts w:cs="Arial"/>
          <w:bCs/>
          <w:color w:val="auto"/>
          <w:sz w:val="24"/>
        </w:rPr>
        <w:t>能够根据医保撤销规则</w:t>
      </w:r>
      <w:r>
        <w:rPr>
          <w:rFonts w:hint="eastAsia" w:cs="Arial"/>
          <w:bCs/>
          <w:color w:val="auto"/>
          <w:sz w:val="24"/>
        </w:rPr>
        <w:t>，</w:t>
      </w:r>
      <w:r>
        <w:rPr>
          <w:rFonts w:cs="Arial"/>
          <w:bCs/>
          <w:color w:val="auto"/>
          <w:sz w:val="24"/>
        </w:rPr>
        <w:t>撤销患者医保登记信息及结算信息</w:t>
      </w:r>
      <w:r>
        <w:rPr>
          <w:rFonts w:hint="eastAsia" w:cs="Arial"/>
          <w:bCs/>
          <w:color w:val="auto"/>
          <w:sz w:val="24"/>
        </w:rPr>
        <w:t>。</w:t>
      </w:r>
    </w:p>
    <w:p w14:paraId="25154778">
      <w:pPr>
        <w:ind w:firstLine="480"/>
        <w:rPr>
          <w:color w:val="auto"/>
          <w:lang w:val="zh-CN"/>
        </w:rPr>
      </w:pPr>
      <w:r>
        <w:rPr>
          <w:rFonts w:hint="eastAsia"/>
          <w:color w:val="auto"/>
          <w:lang w:val="zh-CN"/>
        </w:rPr>
        <w:t>（三）医保明细对账</w:t>
      </w:r>
    </w:p>
    <w:p w14:paraId="3FE31F19">
      <w:pPr>
        <w:ind w:firstLine="480"/>
        <w:rPr>
          <w:color w:val="auto"/>
          <w:lang w:val="zh-CN"/>
        </w:rPr>
      </w:pPr>
      <w:r>
        <w:rPr>
          <w:color w:val="auto"/>
          <w:lang w:val="zh-CN"/>
        </w:rPr>
        <w:t>能够查询医保和HIS各项分类明细账目信息</w:t>
      </w:r>
      <w:r>
        <w:rPr>
          <w:rFonts w:hint="eastAsia"/>
          <w:color w:val="auto"/>
          <w:lang w:val="zh-CN"/>
        </w:rPr>
        <w:t>，并进行对比。</w:t>
      </w:r>
    </w:p>
    <w:p w14:paraId="2A0C1DA7">
      <w:pPr>
        <w:ind w:firstLine="480"/>
        <w:rPr>
          <w:color w:val="auto"/>
          <w:lang w:val="zh-CN"/>
        </w:rPr>
      </w:pPr>
      <w:r>
        <w:rPr>
          <w:rFonts w:hint="eastAsia"/>
          <w:color w:val="auto"/>
          <w:lang w:val="zh-CN"/>
        </w:rPr>
        <w:t>（四）医保结算类型映射</w:t>
      </w:r>
    </w:p>
    <w:p w14:paraId="2CCAF944">
      <w:pPr>
        <w:ind w:firstLine="480"/>
        <w:rPr>
          <w:color w:val="auto"/>
          <w:lang w:val="zh-CN"/>
        </w:rPr>
      </w:pPr>
      <w:r>
        <w:rPr>
          <w:color w:val="auto"/>
          <w:lang w:val="zh-CN"/>
        </w:rPr>
        <w:t>能够将医保待遇类别与院内结算类型进行对照</w:t>
      </w:r>
      <w:r>
        <w:rPr>
          <w:rFonts w:hint="eastAsia"/>
          <w:color w:val="auto"/>
          <w:lang w:val="zh-CN"/>
        </w:rPr>
        <w:t>，</w:t>
      </w:r>
      <w:r>
        <w:rPr>
          <w:color w:val="auto"/>
          <w:lang w:val="zh-CN"/>
        </w:rPr>
        <w:t>用于收费员选错患者结算类型时自动校正</w:t>
      </w:r>
      <w:r>
        <w:rPr>
          <w:rFonts w:hint="eastAsia"/>
          <w:color w:val="auto"/>
          <w:lang w:val="zh-CN"/>
        </w:rPr>
        <w:t>。</w:t>
      </w:r>
    </w:p>
    <w:p w14:paraId="21D815D9">
      <w:pPr>
        <w:ind w:firstLine="480"/>
        <w:rPr>
          <w:color w:val="auto"/>
          <w:lang w:val="zh-CN"/>
        </w:rPr>
      </w:pPr>
      <w:r>
        <w:rPr>
          <w:rFonts w:hint="eastAsia"/>
          <w:color w:val="auto"/>
          <w:lang w:val="zh-CN"/>
        </w:rPr>
        <w:t>（五）其他</w:t>
      </w:r>
    </w:p>
    <w:p w14:paraId="60763CB1">
      <w:pPr>
        <w:pStyle w:val="94"/>
        <w:numPr>
          <w:ilvl w:val="0"/>
          <w:numId w:val="234"/>
        </w:numPr>
        <w:ind w:left="0" w:firstLine="480"/>
        <w:rPr>
          <w:rFonts w:cs="Arial"/>
          <w:bCs/>
          <w:color w:val="auto"/>
          <w:sz w:val="24"/>
        </w:rPr>
      </w:pPr>
      <w:r>
        <w:rPr>
          <w:rFonts w:cs="Arial"/>
          <w:bCs/>
          <w:color w:val="auto"/>
          <w:sz w:val="24"/>
        </w:rPr>
        <w:t>支持通过电子医保卡建档及身份核对</w:t>
      </w:r>
    </w:p>
    <w:p w14:paraId="555F72D7">
      <w:pPr>
        <w:pStyle w:val="94"/>
        <w:numPr>
          <w:ilvl w:val="0"/>
          <w:numId w:val="234"/>
        </w:numPr>
        <w:ind w:left="0" w:firstLine="480"/>
        <w:rPr>
          <w:rFonts w:cs="Arial"/>
          <w:bCs/>
          <w:color w:val="auto"/>
          <w:sz w:val="24"/>
        </w:rPr>
      </w:pPr>
      <w:r>
        <w:rPr>
          <w:rFonts w:cs="Arial"/>
          <w:bCs/>
          <w:color w:val="auto"/>
          <w:sz w:val="24"/>
        </w:rPr>
        <w:t>支持患者就医过程中通过电子医保卡进行人员身份识别，包括线上线下识别，身份识别贯穿门诊挂号、门诊就诊、缴费、检查检验、入院登记、发药、出院结算、病历查阅、发票打印、费用明细查询、报告查询等。</w:t>
      </w:r>
    </w:p>
    <w:p w14:paraId="772B35F2">
      <w:pPr>
        <w:pStyle w:val="94"/>
        <w:numPr>
          <w:ilvl w:val="0"/>
          <w:numId w:val="234"/>
        </w:numPr>
        <w:ind w:left="0" w:firstLine="480"/>
        <w:rPr>
          <w:rFonts w:cs="Arial"/>
          <w:bCs/>
          <w:color w:val="auto"/>
          <w:sz w:val="24"/>
        </w:rPr>
      </w:pPr>
      <w:r>
        <w:rPr>
          <w:rFonts w:cs="Arial"/>
          <w:bCs/>
          <w:color w:val="auto"/>
          <w:sz w:val="24"/>
        </w:rPr>
        <w:t>支持通过电子医保卡直接进行医保脱卡支付。</w:t>
      </w:r>
    </w:p>
    <w:p w14:paraId="1E6099FC">
      <w:pPr>
        <w:pStyle w:val="94"/>
        <w:numPr>
          <w:ilvl w:val="0"/>
          <w:numId w:val="234"/>
        </w:numPr>
        <w:ind w:left="0" w:firstLine="480"/>
        <w:rPr>
          <w:rFonts w:cs="Arial"/>
          <w:bCs/>
          <w:color w:val="auto"/>
          <w:sz w:val="24"/>
        </w:rPr>
      </w:pPr>
      <w:r>
        <w:rPr>
          <w:rFonts w:cs="Arial"/>
          <w:bCs/>
          <w:color w:val="auto"/>
          <w:sz w:val="24"/>
        </w:rPr>
        <w:t>支持通过电子医保卡可查询参保信息及医保个人账户余额等信息。</w:t>
      </w:r>
    </w:p>
    <w:p w14:paraId="2752FF56">
      <w:pPr>
        <w:pStyle w:val="94"/>
        <w:numPr>
          <w:ilvl w:val="0"/>
          <w:numId w:val="234"/>
        </w:numPr>
        <w:ind w:left="0" w:firstLine="480"/>
        <w:rPr>
          <w:rFonts w:cs="Arial"/>
          <w:bCs/>
          <w:color w:val="auto"/>
          <w:sz w:val="24"/>
        </w:rPr>
      </w:pPr>
      <w:r>
        <w:rPr>
          <w:rFonts w:cs="Arial"/>
          <w:bCs/>
          <w:color w:val="auto"/>
          <w:sz w:val="24"/>
        </w:rPr>
        <w:t>支持通过电子医保卡可获取患者主索引</w:t>
      </w:r>
    </w:p>
    <w:p w14:paraId="72D8F3C7">
      <w:pPr>
        <w:pStyle w:val="94"/>
        <w:numPr>
          <w:ilvl w:val="0"/>
          <w:numId w:val="234"/>
        </w:numPr>
        <w:ind w:left="0" w:firstLine="480"/>
        <w:rPr>
          <w:rFonts w:cs="Arial"/>
          <w:bCs/>
          <w:color w:val="auto"/>
          <w:sz w:val="24"/>
        </w:rPr>
      </w:pPr>
      <w:r>
        <w:rPr>
          <w:rFonts w:hint="eastAsia" w:cs="Arial"/>
          <w:bCs/>
          <w:color w:val="auto"/>
          <w:sz w:val="24"/>
        </w:rPr>
        <w:t>支持线上支付统计与对帐</w:t>
      </w:r>
    </w:p>
    <w:p w14:paraId="7900C8D8">
      <w:pPr>
        <w:pStyle w:val="94"/>
        <w:numPr>
          <w:ilvl w:val="0"/>
          <w:numId w:val="234"/>
        </w:numPr>
        <w:ind w:left="0" w:firstLine="480"/>
        <w:rPr>
          <w:rFonts w:cs="Arial"/>
          <w:bCs/>
          <w:color w:val="auto"/>
          <w:sz w:val="24"/>
        </w:rPr>
      </w:pPr>
      <w:r>
        <w:rPr>
          <w:rFonts w:cs="Arial"/>
          <w:bCs/>
          <w:color w:val="auto"/>
          <w:sz w:val="24"/>
        </w:rPr>
        <w:t>支持各类医保结算</w:t>
      </w:r>
      <w:r>
        <w:rPr>
          <w:rFonts w:hint="eastAsia" w:cs="Arial"/>
          <w:bCs/>
          <w:color w:val="auto"/>
          <w:sz w:val="24"/>
        </w:rPr>
        <w:t>（含异地医保）。</w:t>
      </w:r>
    </w:p>
    <w:p w14:paraId="63025C39">
      <w:pPr>
        <w:bidi w:val="0"/>
        <w:rPr>
          <w:b/>
          <w:bCs/>
          <w:color w:val="auto"/>
        </w:rPr>
      </w:pPr>
      <w:bookmarkStart w:id="412" w:name="_Toc153618513"/>
      <w:r>
        <w:rPr>
          <w:b/>
          <w:bCs/>
          <w:color w:val="auto"/>
        </w:rPr>
        <w:t>综合查询</w:t>
      </w:r>
      <w:bookmarkEnd w:id="412"/>
    </w:p>
    <w:p w14:paraId="56F5FAA6">
      <w:pPr>
        <w:pStyle w:val="94"/>
        <w:numPr>
          <w:ilvl w:val="0"/>
          <w:numId w:val="235"/>
        </w:numPr>
        <w:ind w:left="0" w:firstLine="480"/>
        <w:rPr>
          <w:rFonts w:cs="Arial"/>
          <w:bCs/>
          <w:color w:val="auto"/>
          <w:sz w:val="24"/>
        </w:rPr>
      </w:pPr>
      <w:r>
        <w:rPr>
          <w:rFonts w:cs="Arial"/>
          <w:bCs/>
          <w:color w:val="auto"/>
          <w:sz w:val="24"/>
        </w:rPr>
        <w:t>根据门诊</w:t>
      </w:r>
      <w:r>
        <w:rPr>
          <w:rFonts w:hint="eastAsia" w:cs="Arial"/>
          <w:bCs/>
          <w:color w:val="auto"/>
          <w:sz w:val="24"/>
        </w:rPr>
        <w:t>、</w:t>
      </w:r>
      <w:r>
        <w:rPr>
          <w:rFonts w:cs="Arial"/>
          <w:bCs/>
          <w:color w:val="auto"/>
          <w:sz w:val="24"/>
        </w:rPr>
        <w:t>住院医保就诊结算情况</w:t>
      </w:r>
      <w:r>
        <w:rPr>
          <w:rFonts w:hint="eastAsia" w:cs="Arial"/>
          <w:bCs/>
          <w:color w:val="auto"/>
          <w:sz w:val="24"/>
        </w:rPr>
        <w:t>，</w:t>
      </w:r>
      <w:r>
        <w:rPr>
          <w:rFonts w:cs="Arial"/>
          <w:bCs/>
          <w:color w:val="auto"/>
          <w:sz w:val="24"/>
        </w:rPr>
        <w:t>提取门诊</w:t>
      </w:r>
      <w:r>
        <w:rPr>
          <w:rFonts w:hint="eastAsia" w:cs="Arial"/>
          <w:bCs/>
          <w:color w:val="auto"/>
          <w:sz w:val="24"/>
        </w:rPr>
        <w:t>、</w:t>
      </w:r>
      <w:r>
        <w:rPr>
          <w:rFonts w:cs="Arial"/>
          <w:bCs/>
          <w:color w:val="auto"/>
          <w:sz w:val="24"/>
        </w:rPr>
        <w:t>住院医保患者就诊结算信息</w:t>
      </w:r>
      <w:r>
        <w:rPr>
          <w:rFonts w:hint="eastAsia" w:cs="Arial"/>
          <w:bCs/>
          <w:color w:val="auto"/>
          <w:sz w:val="24"/>
        </w:rPr>
        <w:t>。</w:t>
      </w:r>
    </w:p>
    <w:p w14:paraId="3A8ACF10">
      <w:pPr>
        <w:pStyle w:val="94"/>
        <w:numPr>
          <w:ilvl w:val="0"/>
          <w:numId w:val="235"/>
        </w:numPr>
        <w:ind w:left="0" w:firstLine="480"/>
        <w:rPr>
          <w:rFonts w:cs="Arial"/>
          <w:bCs/>
          <w:color w:val="auto"/>
          <w:sz w:val="24"/>
        </w:rPr>
      </w:pPr>
      <w:r>
        <w:rPr>
          <w:rFonts w:hint="eastAsia" w:cs="Arial"/>
          <w:bCs/>
          <w:color w:val="auto"/>
          <w:sz w:val="24"/>
        </w:rPr>
        <w:t>支持患者医保就诊信息导出。</w:t>
      </w:r>
    </w:p>
    <w:p w14:paraId="513841DF">
      <w:pPr>
        <w:pStyle w:val="94"/>
        <w:numPr>
          <w:ilvl w:val="0"/>
          <w:numId w:val="235"/>
        </w:numPr>
        <w:ind w:left="0" w:firstLine="480"/>
        <w:rPr>
          <w:rFonts w:cs="Arial"/>
          <w:bCs/>
          <w:color w:val="auto"/>
          <w:sz w:val="24"/>
        </w:rPr>
      </w:pPr>
      <w:r>
        <w:rPr>
          <w:rFonts w:hint="eastAsia" w:cs="Arial"/>
          <w:bCs/>
          <w:color w:val="auto"/>
          <w:sz w:val="24"/>
        </w:rPr>
        <w:t>支持住院病人打印医保结算单。</w:t>
      </w:r>
    </w:p>
    <w:p w14:paraId="6E5F8740">
      <w:pPr>
        <w:pStyle w:val="94"/>
        <w:numPr>
          <w:ilvl w:val="0"/>
          <w:numId w:val="235"/>
        </w:numPr>
        <w:ind w:left="0" w:firstLine="480"/>
        <w:rPr>
          <w:rFonts w:cs="Arial"/>
          <w:bCs/>
          <w:color w:val="auto"/>
          <w:sz w:val="24"/>
        </w:rPr>
      </w:pPr>
      <w:r>
        <w:rPr>
          <w:rFonts w:cs="Arial"/>
          <w:bCs/>
          <w:color w:val="auto"/>
          <w:sz w:val="24"/>
        </w:rPr>
        <w:t>支持住院病人打印医疗救助结算单</w:t>
      </w:r>
      <w:r>
        <w:rPr>
          <w:rFonts w:hint="eastAsia" w:cs="Arial"/>
          <w:bCs/>
          <w:color w:val="auto"/>
          <w:sz w:val="24"/>
        </w:rPr>
        <w:t>。</w:t>
      </w:r>
    </w:p>
    <w:p w14:paraId="53B6FD05">
      <w:pPr>
        <w:bidi w:val="0"/>
        <w:rPr>
          <w:rFonts w:ascii="宋体" w:hAnsi="宋体" w:eastAsia="宋体" w:cs="Times New Roman"/>
          <w:b/>
          <w:bCs/>
          <w:color w:val="auto"/>
        </w:rPr>
      </w:pPr>
      <w:bookmarkStart w:id="413" w:name="_Toc153618514"/>
      <w:r>
        <w:rPr>
          <w:rFonts w:ascii="宋体" w:hAnsi="宋体" w:eastAsia="宋体" w:cs="Times New Roman"/>
          <w:b/>
          <w:bCs/>
          <w:color w:val="auto"/>
        </w:rPr>
        <w:t>拨付管理</w:t>
      </w:r>
      <w:bookmarkEnd w:id="413"/>
    </w:p>
    <w:p w14:paraId="5B606521">
      <w:pPr>
        <w:pStyle w:val="94"/>
        <w:numPr>
          <w:ilvl w:val="0"/>
          <w:numId w:val="236"/>
        </w:numPr>
        <w:ind w:left="0" w:firstLine="480"/>
        <w:rPr>
          <w:rFonts w:cs="Arial"/>
          <w:bCs/>
          <w:color w:val="auto"/>
          <w:sz w:val="24"/>
        </w:rPr>
      </w:pPr>
      <w:r>
        <w:rPr>
          <w:rFonts w:hint="eastAsia" w:cs="Arial"/>
          <w:bCs/>
          <w:color w:val="auto"/>
          <w:sz w:val="24"/>
        </w:rPr>
        <w:t>提供医保拨付管理，支持按照拨付单位类型建立对应医保类型的结算申请拨付表。医保拨付管理支持申请、审核、批复流程管理。</w:t>
      </w:r>
    </w:p>
    <w:p w14:paraId="7BCC096E">
      <w:pPr>
        <w:pStyle w:val="94"/>
        <w:numPr>
          <w:ilvl w:val="0"/>
          <w:numId w:val="236"/>
        </w:numPr>
        <w:ind w:left="0" w:firstLine="480"/>
        <w:rPr>
          <w:rFonts w:cs="Arial"/>
          <w:bCs/>
          <w:color w:val="auto"/>
          <w:sz w:val="24"/>
        </w:rPr>
      </w:pPr>
      <w:r>
        <w:rPr>
          <w:rFonts w:hint="eastAsia" w:cs="Arial"/>
          <w:bCs/>
          <w:color w:val="auto"/>
          <w:sz w:val="24"/>
        </w:rPr>
        <w:t>支持根据医保类别以及拨付单位不同，定义不同的拨付模板，方便拨付数据统计。</w:t>
      </w:r>
    </w:p>
    <w:p w14:paraId="2E8CE8B2">
      <w:pPr>
        <w:pStyle w:val="94"/>
        <w:numPr>
          <w:ilvl w:val="0"/>
          <w:numId w:val="236"/>
        </w:numPr>
        <w:ind w:left="0" w:firstLine="480"/>
        <w:rPr>
          <w:rFonts w:cs="Arial"/>
          <w:bCs/>
          <w:color w:val="auto"/>
          <w:sz w:val="24"/>
        </w:rPr>
      </w:pPr>
      <w:r>
        <w:rPr>
          <w:rFonts w:cs="Arial"/>
          <w:bCs/>
          <w:color w:val="auto"/>
          <w:sz w:val="24"/>
        </w:rPr>
        <w:t>根据定义的拨付模板</w:t>
      </w:r>
      <w:r>
        <w:rPr>
          <w:rFonts w:hint="eastAsia" w:cs="Arial"/>
          <w:bCs/>
          <w:color w:val="auto"/>
          <w:sz w:val="24"/>
        </w:rPr>
        <w:t>，</w:t>
      </w:r>
      <w:r>
        <w:rPr>
          <w:rFonts w:cs="Arial"/>
          <w:bCs/>
          <w:color w:val="auto"/>
          <w:sz w:val="24"/>
        </w:rPr>
        <w:t>进行拨付申请</w:t>
      </w:r>
      <w:r>
        <w:rPr>
          <w:rFonts w:hint="eastAsia" w:cs="Arial"/>
          <w:bCs/>
          <w:color w:val="auto"/>
          <w:sz w:val="24"/>
        </w:rPr>
        <w:t>，</w:t>
      </w:r>
      <w:r>
        <w:rPr>
          <w:rFonts w:cs="Arial"/>
          <w:bCs/>
          <w:color w:val="auto"/>
          <w:sz w:val="24"/>
        </w:rPr>
        <w:t>拨付环节有详细的时间轴记录</w:t>
      </w:r>
      <w:r>
        <w:rPr>
          <w:rFonts w:hint="eastAsia" w:cs="Arial"/>
          <w:bCs/>
          <w:color w:val="auto"/>
          <w:sz w:val="24"/>
        </w:rPr>
        <w:t>，</w:t>
      </w:r>
      <w:r>
        <w:rPr>
          <w:rFonts w:cs="Arial"/>
          <w:bCs/>
          <w:color w:val="auto"/>
          <w:sz w:val="24"/>
        </w:rPr>
        <w:t>可看到拨付的患者明细及各项费用汇总信息</w:t>
      </w:r>
      <w:r>
        <w:rPr>
          <w:rFonts w:hint="eastAsia" w:cs="Arial"/>
          <w:bCs/>
          <w:color w:val="auto"/>
          <w:sz w:val="24"/>
        </w:rPr>
        <w:t>。</w:t>
      </w:r>
    </w:p>
    <w:p w14:paraId="6F3CCD7F">
      <w:pPr>
        <w:pStyle w:val="94"/>
        <w:numPr>
          <w:ilvl w:val="0"/>
          <w:numId w:val="236"/>
        </w:numPr>
        <w:ind w:left="0" w:firstLine="480"/>
        <w:rPr>
          <w:rFonts w:cs="Arial"/>
          <w:bCs/>
          <w:color w:val="auto"/>
          <w:sz w:val="24"/>
        </w:rPr>
      </w:pPr>
      <w:r>
        <w:rPr>
          <w:rFonts w:cs="Arial"/>
          <w:bCs/>
          <w:color w:val="auto"/>
          <w:sz w:val="24"/>
        </w:rPr>
        <w:t>支持拨付闭环管理</w:t>
      </w:r>
      <w:r>
        <w:rPr>
          <w:rFonts w:hint="eastAsia" w:cs="Arial"/>
          <w:bCs/>
          <w:color w:val="auto"/>
          <w:sz w:val="24"/>
        </w:rPr>
        <w:t>，</w:t>
      </w:r>
      <w:r>
        <w:rPr>
          <w:rFonts w:cs="Arial"/>
          <w:bCs/>
          <w:color w:val="auto"/>
          <w:sz w:val="24"/>
        </w:rPr>
        <w:t>从拨付申请到到账情况</w:t>
      </w:r>
      <w:r>
        <w:rPr>
          <w:rFonts w:hint="eastAsia" w:cs="Arial"/>
          <w:bCs/>
          <w:color w:val="auto"/>
          <w:sz w:val="24"/>
        </w:rPr>
        <w:t>，</w:t>
      </w:r>
      <w:r>
        <w:rPr>
          <w:rFonts w:cs="Arial"/>
          <w:bCs/>
          <w:color w:val="auto"/>
          <w:sz w:val="24"/>
        </w:rPr>
        <w:t>全流程记录</w:t>
      </w:r>
      <w:r>
        <w:rPr>
          <w:rFonts w:hint="eastAsia" w:cs="Arial"/>
          <w:bCs/>
          <w:color w:val="auto"/>
          <w:sz w:val="24"/>
        </w:rPr>
        <w:t>。</w:t>
      </w:r>
    </w:p>
    <w:p w14:paraId="2323F7C2">
      <w:pPr>
        <w:pStyle w:val="13"/>
        <w:bidi w:val="0"/>
        <w:ind w:left="1008" w:leftChars="0" w:hanging="1008" w:firstLineChars="0"/>
        <w:rPr>
          <w:color w:val="auto"/>
        </w:rPr>
      </w:pPr>
      <w:r>
        <w:rPr>
          <w:rFonts w:hint="eastAsia"/>
          <w:color w:val="auto"/>
          <w:lang w:val="en-US" w:eastAsia="zh-CN"/>
        </w:rPr>
        <w:t>运营管理</w:t>
      </w:r>
    </w:p>
    <w:p w14:paraId="058943C0">
      <w:pPr>
        <w:pStyle w:val="14"/>
        <w:bidi w:val="0"/>
        <w:rPr>
          <w:color w:val="auto"/>
        </w:rPr>
      </w:pPr>
      <w:r>
        <w:rPr>
          <w:rFonts w:hint="eastAsia"/>
          <w:color w:val="auto"/>
          <w:lang w:val="en-US" w:eastAsia="zh-CN"/>
        </w:rPr>
        <w:t xml:space="preserve"> </w:t>
      </w:r>
      <w:r>
        <w:rPr>
          <w:rFonts w:hint="eastAsia"/>
          <w:color w:val="auto"/>
        </w:rPr>
        <w:t>基础平台</w:t>
      </w:r>
    </w:p>
    <w:p w14:paraId="4924DA72">
      <w:pPr>
        <w:numPr>
          <w:ilvl w:val="0"/>
          <w:numId w:val="0"/>
        </w:numPr>
        <w:ind w:firstLine="420" w:firstLineChars="0"/>
        <w:rPr>
          <w:color w:val="auto"/>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27907F86">
      <w:pPr>
        <w:pStyle w:val="14"/>
        <w:bidi w:val="0"/>
        <w:rPr>
          <w:color w:val="auto"/>
        </w:rPr>
      </w:pPr>
      <w:r>
        <w:rPr>
          <w:rFonts w:hint="eastAsia"/>
          <w:color w:val="auto"/>
          <w:lang w:val="en-US" w:eastAsia="zh-CN"/>
        </w:rPr>
        <w:t xml:space="preserve"> </w:t>
      </w:r>
      <w:r>
        <w:rPr>
          <w:rFonts w:hint="eastAsia"/>
          <w:color w:val="auto"/>
        </w:rPr>
        <w:t>会计核算</w:t>
      </w:r>
    </w:p>
    <w:p w14:paraId="6DA4645F">
      <w:pPr>
        <w:numPr>
          <w:ilvl w:val="0"/>
          <w:numId w:val="0"/>
        </w:numPr>
        <w:ind w:firstLine="420" w:firstLineChars="0"/>
        <w:rPr>
          <w:rFonts w:hint="eastAsia"/>
          <w:color w:val="auto"/>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15D63453">
      <w:pPr>
        <w:pStyle w:val="14"/>
        <w:bidi w:val="0"/>
        <w:rPr>
          <w:color w:val="auto"/>
        </w:rPr>
      </w:pPr>
      <w:r>
        <w:rPr>
          <w:rFonts w:hint="eastAsia"/>
          <w:color w:val="auto"/>
          <w:lang w:val="en-US" w:eastAsia="zh-CN"/>
        </w:rPr>
        <w:t xml:space="preserve"> </w:t>
      </w:r>
      <w:r>
        <w:rPr>
          <w:rFonts w:hint="eastAsia"/>
          <w:color w:val="auto"/>
        </w:rPr>
        <w:t>报销管理</w:t>
      </w:r>
    </w:p>
    <w:p w14:paraId="2E1BB623">
      <w:pPr>
        <w:numPr>
          <w:ilvl w:val="0"/>
          <w:numId w:val="0"/>
        </w:numPr>
        <w:ind w:firstLine="420" w:firstLineChars="0"/>
        <w:rPr>
          <w:rFonts w:hint="eastAsia" w:eastAsia="宋体"/>
          <w:color w:val="auto"/>
          <w:lang w:eastAsia="zh-CN"/>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068E54E1">
      <w:pPr>
        <w:pStyle w:val="14"/>
        <w:bidi w:val="0"/>
        <w:rPr>
          <w:color w:val="auto"/>
        </w:rPr>
      </w:pPr>
      <w:r>
        <w:rPr>
          <w:rFonts w:hint="eastAsia"/>
          <w:color w:val="auto"/>
          <w:lang w:val="en-US" w:eastAsia="zh-CN"/>
        </w:rPr>
        <w:t xml:space="preserve"> </w:t>
      </w:r>
      <w:r>
        <w:rPr>
          <w:rFonts w:hint="eastAsia"/>
          <w:color w:val="auto"/>
        </w:rPr>
        <w:t>智能记账</w:t>
      </w:r>
    </w:p>
    <w:p w14:paraId="36BEA209">
      <w:pPr>
        <w:numPr>
          <w:ilvl w:val="0"/>
          <w:numId w:val="0"/>
        </w:numPr>
        <w:ind w:firstLine="420" w:firstLineChars="0"/>
        <w:rPr>
          <w:color w:val="auto"/>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7079CDB5">
      <w:pPr>
        <w:pStyle w:val="14"/>
        <w:bidi w:val="0"/>
        <w:rPr>
          <w:color w:val="auto"/>
        </w:rPr>
      </w:pPr>
      <w:r>
        <w:rPr>
          <w:rFonts w:hint="eastAsia"/>
          <w:color w:val="auto"/>
          <w:lang w:val="en-US" w:eastAsia="zh-CN"/>
        </w:rPr>
        <w:t xml:space="preserve"> </w:t>
      </w:r>
      <w:r>
        <w:rPr>
          <w:rFonts w:hint="eastAsia"/>
          <w:color w:val="auto"/>
        </w:rPr>
        <w:t>全面预算</w:t>
      </w:r>
    </w:p>
    <w:p w14:paraId="697D9DA6">
      <w:pPr>
        <w:numPr>
          <w:ilvl w:val="0"/>
          <w:numId w:val="0"/>
        </w:numPr>
        <w:ind w:firstLine="420" w:firstLineChars="0"/>
        <w:rPr>
          <w:rFonts w:hint="eastAsia"/>
          <w:color w:val="auto"/>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0A94EA36">
      <w:pPr>
        <w:pStyle w:val="14"/>
        <w:bidi w:val="0"/>
        <w:rPr>
          <w:color w:val="auto"/>
        </w:rPr>
      </w:pPr>
      <w:r>
        <w:rPr>
          <w:rFonts w:hint="eastAsia"/>
          <w:color w:val="auto"/>
          <w:lang w:val="en-US" w:eastAsia="zh-CN"/>
        </w:rPr>
        <w:t xml:space="preserve"> 全成本核算</w:t>
      </w:r>
    </w:p>
    <w:p w14:paraId="04A4D72B">
      <w:pPr>
        <w:numPr>
          <w:ilvl w:val="0"/>
          <w:numId w:val="0"/>
        </w:numPr>
        <w:ind w:firstLine="420" w:firstLineChars="0"/>
        <w:rPr>
          <w:color w:val="auto"/>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5E5B4915">
      <w:pPr>
        <w:pStyle w:val="14"/>
        <w:bidi w:val="0"/>
        <w:rPr>
          <w:color w:val="auto"/>
        </w:rPr>
      </w:pPr>
      <w:r>
        <w:rPr>
          <w:rFonts w:hint="eastAsia"/>
          <w:color w:val="auto"/>
          <w:lang w:val="en-US" w:eastAsia="zh-CN"/>
        </w:rPr>
        <w:t xml:space="preserve"> 资产设备管理</w:t>
      </w:r>
    </w:p>
    <w:p w14:paraId="7B28F503">
      <w:pPr>
        <w:numPr>
          <w:ilvl w:val="0"/>
          <w:numId w:val="0"/>
        </w:numPr>
        <w:ind w:firstLine="420" w:firstLineChars="0"/>
        <w:rPr>
          <w:rFonts w:hint="eastAsia" w:ascii="Calibri" w:hAnsi="Calibri" w:eastAsia="宋体"/>
          <w:color w:val="auto"/>
          <w:sz w:val="24"/>
          <w:szCs w:val="24"/>
          <w:lang w:eastAsia="zh-CN"/>
        </w:rPr>
      </w:pPr>
      <w:r>
        <w:rPr>
          <w:rFonts w:hint="eastAsia" w:ascii="Calibri" w:hAnsi="Calibri"/>
          <w:color w:val="auto"/>
          <w:sz w:val="24"/>
          <w:szCs w:val="24"/>
          <w:lang w:val="en-US" w:eastAsia="zh-CN"/>
        </w:rPr>
        <w:t>系统</w:t>
      </w:r>
      <w:r>
        <w:rPr>
          <w:rFonts w:hint="eastAsia" w:ascii="Calibri" w:hAnsi="Calibri"/>
          <w:color w:val="auto"/>
          <w:sz w:val="24"/>
          <w:szCs w:val="24"/>
        </w:rPr>
        <w:t>利旧，只需做接口</w:t>
      </w:r>
      <w:r>
        <w:rPr>
          <w:rFonts w:hint="eastAsia" w:ascii="Calibri" w:hAnsi="Calibri"/>
          <w:color w:val="auto"/>
          <w:sz w:val="24"/>
          <w:szCs w:val="24"/>
          <w:lang w:eastAsia="zh-CN"/>
        </w:rPr>
        <w:t>。</w:t>
      </w:r>
    </w:p>
    <w:p w14:paraId="34DC3599">
      <w:pPr>
        <w:pStyle w:val="13"/>
        <w:bidi w:val="0"/>
        <w:ind w:left="1008" w:leftChars="0" w:hanging="1008" w:firstLineChars="0"/>
        <w:rPr>
          <w:color w:val="auto"/>
        </w:rPr>
      </w:pPr>
      <w:r>
        <w:rPr>
          <w:rFonts w:hint="eastAsia"/>
          <w:color w:val="auto"/>
        </w:rPr>
        <w:t>其他</w:t>
      </w:r>
    </w:p>
    <w:p w14:paraId="6AB0E225">
      <w:pPr>
        <w:pStyle w:val="14"/>
        <w:bidi w:val="0"/>
        <w:rPr>
          <w:color w:val="auto"/>
        </w:rPr>
      </w:pPr>
      <w:r>
        <w:rPr>
          <w:rFonts w:hint="eastAsia"/>
          <w:color w:val="auto"/>
        </w:rPr>
        <w:tab/>
      </w:r>
      <w:r>
        <w:rPr>
          <w:rFonts w:hint="eastAsia"/>
          <w:color w:val="auto"/>
        </w:rPr>
        <w:t>三级医院绩效考核上报</w:t>
      </w:r>
    </w:p>
    <w:p w14:paraId="763B4945">
      <w:pPr>
        <w:ind w:firstLine="480"/>
        <w:rPr>
          <w:rFonts w:cs="仿宋"/>
          <w:color w:val="auto"/>
        </w:rPr>
      </w:pPr>
      <w:r>
        <w:rPr>
          <w:rFonts w:hint="eastAsia" w:cs="仿宋"/>
          <w:color w:val="auto"/>
        </w:rPr>
        <w:t>依据《三级医院评审标准（2022年版）》完成下列指标的统计查询管理：资源配置与运行数据指标、医疗服务能力与医院质量安全指标、重点专业质量控制指标、单病种（术种）质量控制指标、重点医疗技术临床应用质量控制指标</w:t>
      </w:r>
    </w:p>
    <w:p w14:paraId="59904C43">
      <w:pPr>
        <w:pStyle w:val="14"/>
        <w:bidi w:val="0"/>
        <w:rPr>
          <w:color w:val="auto"/>
        </w:rPr>
      </w:pPr>
      <w:r>
        <w:rPr>
          <w:rFonts w:hint="eastAsia"/>
          <w:color w:val="auto"/>
        </w:rPr>
        <w:tab/>
      </w:r>
      <w:r>
        <w:rPr>
          <w:rFonts w:hint="eastAsia"/>
          <w:color w:val="auto"/>
        </w:rPr>
        <w:t>三级医院评审指标系统</w:t>
      </w:r>
    </w:p>
    <w:p w14:paraId="18C167FC">
      <w:pPr>
        <w:pStyle w:val="250"/>
        <w:spacing w:line="360" w:lineRule="auto"/>
        <w:ind w:firstLine="480" w:firstLineChars="200"/>
        <w:rPr>
          <w:rFonts w:hint="eastAsia" w:ascii="宋体" w:hAnsi="宋体"/>
          <w:color w:val="auto"/>
          <w:sz w:val="24"/>
        </w:rPr>
      </w:pPr>
      <w:r>
        <w:rPr>
          <w:rFonts w:hint="eastAsia" w:ascii="宋体" w:hAnsi="宋体"/>
          <w:color w:val="auto"/>
          <w:sz w:val="24"/>
        </w:rPr>
        <w:t>依据《三级医院评审标准（2022 年版）》完成下列指标的统计查询管理：</w:t>
      </w:r>
    </w:p>
    <w:p w14:paraId="2D6C5795">
      <w:pPr>
        <w:pStyle w:val="250"/>
        <w:widowControl/>
        <w:numPr>
          <w:ilvl w:val="0"/>
          <w:numId w:val="237"/>
        </w:numPr>
        <w:spacing w:line="360" w:lineRule="auto"/>
        <w:ind w:left="0" w:firstLine="480" w:firstLineChars="200"/>
        <w:rPr>
          <w:rFonts w:hint="eastAsia" w:ascii="宋体" w:hAnsi="宋体"/>
          <w:color w:val="auto"/>
          <w:sz w:val="24"/>
        </w:rPr>
      </w:pPr>
      <w:r>
        <w:rPr>
          <w:rFonts w:hint="eastAsia" w:ascii="宋体" w:hAnsi="宋体"/>
          <w:color w:val="auto"/>
          <w:sz w:val="24"/>
        </w:rPr>
        <w:t>资源配置与运行数据指标</w:t>
      </w:r>
    </w:p>
    <w:p w14:paraId="118048CD">
      <w:pPr>
        <w:pStyle w:val="250"/>
        <w:widowControl/>
        <w:numPr>
          <w:ilvl w:val="0"/>
          <w:numId w:val="237"/>
        </w:numPr>
        <w:spacing w:line="360" w:lineRule="auto"/>
        <w:ind w:left="0" w:firstLine="480" w:firstLineChars="200"/>
        <w:rPr>
          <w:rFonts w:hint="eastAsia" w:ascii="宋体" w:hAnsi="宋体"/>
          <w:color w:val="auto"/>
          <w:sz w:val="24"/>
        </w:rPr>
      </w:pPr>
      <w:r>
        <w:rPr>
          <w:rFonts w:hint="eastAsia" w:ascii="宋体" w:hAnsi="宋体"/>
          <w:color w:val="auto"/>
          <w:sz w:val="24"/>
        </w:rPr>
        <w:t>医疗服务能力与医院质量安全指标</w:t>
      </w:r>
    </w:p>
    <w:p w14:paraId="7D39211D">
      <w:pPr>
        <w:pStyle w:val="250"/>
        <w:widowControl/>
        <w:numPr>
          <w:ilvl w:val="0"/>
          <w:numId w:val="237"/>
        </w:numPr>
        <w:spacing w:line="360" w:lineRule="auto"/>
        <w:ind w:left="0" w:firstLine="480" w:firstLineChars="200"/>
        <w:rPr>
          <w:rFonts w:hint="eastAsia" w:ascii="宋体" w:hAnsi="宋体"/>
          <w:color w:val="auto"/>
          <w:sz w:val="24"/>
        </w:rPr>
      </w:pPr>
      <w:r>
        <w:rPr>
          <w:rFonts w:hint="eastAsia" w:ascii="宋体" w:hAnsi="宋体"/>
          <w:color w:val="auto"/>
          <w:sz w:val="24"/>
        </w:rPr>
        <w:t>重点专业质量控制指标</w:t>
      </w:r>
    </w:p>
    <w:p w14:paraId="222BD48C">
      <w:pPr>
        <w:pStyle w:val="250"/>
        <w:widowControl/>
        <w:numPr>
          <w:ilvl w:val="0"/>
          <w:numId w:val="237"/>
        </w:numPr>
        <w:spacing w:line="360" w:lineRule="auto"/>
        <w:ind w:left="0" w:firstLine="480" w:firstLineChars="200"/>
        <w:rPr>
          <w:rFonts w:hint="eastAsia" w:ascii="宋体" w:hAnsi="宋体"/>
          <w:color w:val="auto"/>
          <w:sz w:val="24"/>
        </w:rPr>
      </w:pPr>
      <w:r>
        <w:rPr>
          <w:rFonts w:hint="eastAsia" w:ascii="宋体" w:hAnsi="宋体"/>
          <w:color w:val="auto"/>
          <w:sz w:val="24"/>
        </w:rPr>
        <w:t>单病种（术种）质量控制指标</w:t>
      </w:r>
    </w:p>
    <w:p w14:paraId="277A3AEB">
      <w:pPr>
        <w:pStyle w:val="250"/>
        <w:widowControl/>
        <w:numPr>
          <w:ilvl w:val="0"/>
          <w:numId w:val="237"/>
        </w:numPr>
        <w:spacing w:line="360" w:lineRule="auto"/>
        <w:ind w:left="0" w:firstLine="480" w:firstLineChars="200"/>
        <w:rPr>
          <w:rFonts w:hint="eastAsia" w:ascii="宋体" w:hAnsi="宋体"/>
          <w:color w:val="auto"/>
          <w:sz w:val="24"/>
        </w:rPr>
      </w:pPr>
      <w:r>
        <w:rPr>
          <w:rFonts w:hint="eastAsia" w:ascii="宋体" w:hAnsi="宋体"/>
          <w:color w:val="auto"/>
          <w:sz w:val="24"/>
        </w:rPr>
        <w:t>重点医疗技术临床应用质量控制指标</w:t>
      </w:r>
    </w:p>
    <w:p w14:paraId="0ABA38A2">
      <w:pPr>
        <w:pStyle w:val="14"/>
        <w:bidi w:val="0"/>
        <w:rPr>
          <w:color w:val="auto"/>
        </w:rPr>
      </w:pPr>
      <w:r>
        <w:rPr>
          <w:rFonts w:hint="eastAsia"/>
          <w:color w:val="auto"/>
        </w:rPr>
        <w:tab/>
      </w:r>
      <w:r>
        <w:rPr>
          <w:rFonts w:hint="eastAsia"/>
          <w:color w:val="auto"/>
        </w:rPr>
        <w:t>电子病历评级指导</w:t>
      </w:r>
    </w:p>
    <w:p w14:paraId="6AD70D1C">
      <w:pPr>
        <w:ind w:firstLine="480"/>
        <w:rPr>
          <w:rFonts w:hint="default" w:eastAsia="宋体" w:cs="仿宋"/>
          <w:color w:val="auto"/>
          <w:lang w:val="en-US" w:eastAsia="zh-CN"/>
        </w:rPr>
      </w:pPr>
      <w:r>
        <w:rPr>
          <w:rFonts w:hint="eastAsia" w:cs="仿宋"/>
          <w:color w:val="auto"/>
        </w:rPr>
        <w:t>提供电子病历评级指导</w:t>
      </w:r>
      <w:r>
        <w:rPr>
          <w:rFonts w:hint="eastAsia" w:cs="仿宋"/>
          <w:color w:val="auto"/>
          <w:lang w:eastAsia="zh-CN"/>
        </w:rPr>
        <w:t>，</w:t>
      </w:r>
      <w:r>
        <w:rPr>
          <w:rFonts w:hint="eastAsia" w:cs="仿宋"/>
          <w:color w:val="auto"/>
          <w:lang w:val="en-US" w:eastAsia="zh-CN"/>
        </w:rPr>
        <w:t>帮助建设单位提供评级文审材料。</w:t>
      </w:r>
    </w:p>
    <w:p w14:paraId="6D1BAA82">
      <w:pPr>
        <w:pStyle w:val="14"/>
        <w:bidi w:val="0"/>
        <w:rPr>
          <w:color w:val="auto"/>
        </w:rPr>
      </w:pPr>
      <w:r>
        <w:rPr>
          <w:rFonts w:hint="eastAsia"/>
          <w:color w:val="auto"/>
        </w:rPr>
        <w:tab/>
      </w:r>
      <w:r>
        <w:rPr>
          <w:rFonts w:hint="eastAsia"/>
          <w:color w:val="auto"/>
        </w:rPr>
        <w:t>协同办公系统OA</w:t>
      </w:r>
    </w:p>
    <w:p w14:paraId="2B19BC21">
      <w:pPr>
        <w:rPr>
          <w:rFonts w:hint="eastAsia"/>
          <w:color w:val="auto"/>
          <w:lang w:val="en-US" w:eastAsia="zh-CN"/>
        </w:rPr>
      </w:pPr>
      <w:r>
        <w:rPr>
          <w:color w:val="auto"/>
        </w:rPr>
        <w:t>提供一个集文档管理、工作流程自动化、项目协作、信息共享等功能于一体的综合办公平台</w:t>
      </w:r>
      <w:r>
        <w:rPr>
          <w:rFonts w:hint="default"/>
          <w:color w:val="auto"/>
        </w:rPr>
        <w:t>。OA系统通过数字化的方式优化传统办公流程，减少纸质文件依赖，加速信息流通速度，从而提高工作效率和决策质量</w:t>
      </w:r>
      <w:r>
        <w:rPr>
          <w:rFonts w:hint="eastAsia"/>
          <w:color w:val="auto"/>
          <w:lang w:val="en-US" w:eastAsia="zh-CN"/>
        </w:rPr>
        <w:t>.</w:t>
      </w:r>
    </w:p>
    <w:p w14:paraId="0145E171">
      <w:pPr>
        <w:keepNext w:val="0"/>
        <w:keepLines w:val="0"/>
        <w:widowControl w:val="0"/>
        <w:suppressLineNumbers w:val="0"/>
        <w:spacing w:before="0" w:beforeAutospacing="0" w:after="0" w:afterAutospacing="0" w:line="360" w:lineRule="auto"/>
        <w:ind w:left="0" w:right="0" w:firstLine="480" w:firstLineChars="200"/>
        <w:jc w:val="both"/>
        <w:rPr>
          <w:color w:val="auto"/>
        </w:rPr>
      </w:pPr>
      <w:r>
        <w:rPr>
          <w:rFonts w:hint="eastAsia" w:ascii="宋体" w:hAnsi="宋体" w:eastAsia="宋体" w:cs="宋体"/>
          <w:color w:val="auto"/>
          <w:kern w:val="2"/>
          <w:sz w:val="24"/>
          <w:szCs w:val="24"/>
          <w:highlight w:val="none"/>
          <w:lang w:val="en-US" w:eastAsia="zh-CN" w:bidi="ar"/>
        </w:rPr>
        <w:t>具体功能包括但不限于以下：</w:t>
      </w:r>
      <w:r>
        <w:rPr>
          <w:rFonts w:hint="default" w:ascii="Arial" w:hAnsi="Arial" w:eastAsia="Arial" w:cs="Arial"/>
          <w:i w:val="0"/>
          <w:iCs w:val="0"/>
          <w:caps w:val="0"/>
          <w:color w:val="auto"/>
          <w:spacing w:val="0"/>
          <w:sz w:val="19"/>
          <w:szCs w:val="19"/>
          <w:shd w:val="clear" w:fill="FFFFFF"/>
        </w:rPr>
        <w:t>‌</w:t>
      </w:r>
    </w:p>
    <w:p w14:paraId="0D24CE23">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个人事务</w:t>
      </w:r>
    </w:p>
    <w:p w14:paraId="7118EC89">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电子邮件、消息管理、手机短信、任务管理、公告通知、新闻、投票、个人考勤、日程安排、工作日志、通讯簿、票夹子、个人文件柜、控制面板</w:t>
      </w:r>
    </w:p>
    <w:p w14:paraId="04A6CE3F">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流程中心</w:t>
      </w:r>
    </w:p>
    <w:p w14:paraId="0FB6900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工作创建、工作查询、工作监控、数据报表、超时统计分析、工作委托、工作销毁、流程日志查询、数据归档、数据报表、工作流设置（设计表单、设计流程、分类设置、参数设置、业务引擎设置、报表设置、管理日志、数据源管理）</w:t>
      </w:r>
    </w:p>
    <w:p w14:paraId="3B80B9F9">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行政办公</w:t>
      </w:r>
    </w:p>
    <w:p w14:paraId="30183E2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公告通知管理、新闻管理、投票管理、工作计划管理、办公用品管理、会议管理（会议日程、会议申请、会议纪要、会议室管理、基础设置、会议统计）、车辆管理（车辆使用申请、使用查询、审批管理、使用管理、维护管理、车辆信息管理、调度人员管理、油耗统计）、固定资产（固定资产设置、固定资产管理、固定资产查询）、图书管理、资源管理、词语过滤管理、信息过滤审核</w:t>
      </w:r>
    </w:p>
    <w:p w14:paraId="7B2AEA2F">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知识管理</w:t>
      </w:r>
    </w:p>
    <w:p w14:paraId="43288A5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公共文件柜（文件柜设置）、网络硬盘（网络硬盘设置）、图片浏览（图片浏览设置）</w:t>
      </w:r>
    </w:p>
    <w:p w14:paraId="4FD32F09">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智能门户</w:t>
      </w:r>
    </w:p>
    <w:p w14:paraId="14852A7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门户管理、门户日志管理、门户内容管理</w:t>
      </w:r>
    </w:p>
    <w:p w14:paraId="3906D2F7">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应用中心</w:t>
      </w:r>
    </w:p>
    <w:p w14:paraId="2FE3C05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设计应用、基础代码、回收站、操作日志、维护工具</w:t>
      </w:r>
    </w:p>
    <w:p w14:paraId="6B01C8C1">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报表中心</w:t>
      </w:r>
    </w:p>
    <w:p w14:paraId="6B3C00A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报表管理、分类管理、数据源管理、回收站</w:t>
      </w:r>
    </w:p>
    <w:p w14:paraId="30476006">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人力资源管理（支持人社系统与院内系统接口、实现数据共享）</w:t>
      </w:r>
    </w:p>
    <w:p w14:paraId="23F9194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人事管理（含人事档案、合同管理、奖惩管理、证照管理、学习经历、工作经历、劳动技能、社会关系、人事调动、离职管理、复职管理、职称评定、员工关怀、人事分析）招聘管理（招聘需求、招聘计划、招聘计划审批、人才库、招聘筛选、招聘录用、人才分析）、培训管理（培训计划、培训计划审批、培训记录）、</w:t>
      </w:r>
    </w:p>
    <w:p w14:paraId="5ABAAFF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考勤管理（考勤审批、考勤记录、考勤统计、值排班管理、查岗质询登记）、</w:t>
      </w:r>
    </w:p>
    <w:p w14:paraId="33095A9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绩效考核（考核项目设定、考核任务管理、被考评人自评、进行考核）、积分管理（积分录入、积分查询、积分项设置）</w:t>
      </w:r>
    </w:p>
    <w:p w14:paraId="74EB2BC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薪酬管理（薪酬项目及保险设置、薪酬基数设置、工资流程管理、财务工资录入、部门工资上报、福利管理）、</w:t>
      </w:r>
    </w:p>
    <w:p w14:paraId="4FC8FF6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在线考试（题库管理、试题管理、试卷管理、主观题阅卷、考试信息管理、参加考试）</w:t>
      </w:r>
    </w:p>
    <w:p w14:paraId="47A0D35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人力资源设置（考勤设置、人力资源管理员、代码设置）、员工自助查询、</w:t>
      </w:r>
    </w:p>
    <w:p w14:paraId="00635F0D">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档案管理</w:t>
      </w:r>
    </w:p>
    <w:p w14:paraId="4195B19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卷库管理、案卷管理、文件管理、案卷借阅、档案统计、档案销毁</w:t>
      </w:r>
    </w:p>
    <w:p w14:paraId="500A7770">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电子公文管理</w:t>
      </w:r>
    </w:p>
    <w:p w14:paraId="50CF2B4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发文管理：发文拟稿、发文核稿、套红盖章、发文列表</w:t>
      </w:r>
    </w:p>
    <w:p w14:paraId="0158F71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收文管理：收文登记、领导批阅、收文分发、收文阅读</w:t>
      </w:r>
    </w:p>
    <w:p w14:paraId="4179D009">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基础设置：参数设置、主题词管理、类型设置、权限设置</w:t>
      </w:r>
    </w:p>
    <w:p w14:paraId="538AF327">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即时通讯系统</w:t>
      </w:r>
    </w:p>
    <w:p w14:paraId="6E65ACF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实现点对点和点对多点的快速信息交流、文件传递等。</w:t>
      </w:r>
    </w:p>
    <w:p w14:paraId="74972D15">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电子签章管理</w:t>
      </w:r>
    </w:p>
    <w:p w14:paraId="542D116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工作流电子表单签章、移动端手机签章、文档在线编辑及电子签章、文件套红管理 </w:t>
      </w:r>
    </w:p>
    <w:p w14:paraId="6186BDF1">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个人事务</w:t>
      </w:r>
    </w:p>
    <w:p w14:paraId="38CD352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建立日程安排，实现适时提醒，提高工作效率 </w:t>
      </w:r>
    </w:p>
    <w:p w14:paraId="5C682C8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通过工作日志和个人日志，记录思想、汇报工作 </w:t>
      </w:r>
    </w:p>
    <w:p w14:paraId="533CE9C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通过个人通讯簿管理个人联系人 </w:t>
      </w:r>
    </w:p>
    <w:p w14:paraId="64F6D7E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通过个人文件柜管理个人私有文档，且可选择性共享给他人 </w:t>
      </w:r>
    </w:p>
    <w:p w14:paraId="03EF182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控制面板满足用户的个性化设置需求，可对系统界面进行部分调整电子邮件： </w:t>
      </w:r>
    </w:p>
    <w:p w14:paraId="4E2DFC4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一体化电子邮箱，支持内外部邮件的同时收发、实时提醒，支持标准POP3协议收取内部邮件 </w:t>
      </w:r>
    </w:p>
    <w:p w14:paraId="5EEB805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无需配置邮箱，新建用户后，该用户即可收发内部邮件简单实用，内部邮件即发即收，没有延迟 </w:t>
      </w:r>
    </w:p>
    <w:p w14:paraId="67A0347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已发送邮件、待发邮件、已删除邮件和自建邮件箱管理 </w:t>
      </w:r>
    </w:p>
    <w:p w14:paraId="7B144CB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独特的数据结构设计，使得群发内部邮件时的存储空间占用极小，发几百封邮件，只占用一份附件空间，极大的节约了服务器资源，提高了发送速度 </w:t>
      </w:r>
    </w:p>
    <w:p w14:paraId="210B22F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实现了邮件反悔功能，收件人未读情况下，发件人有权删除邮件 </w:t>
      </w:r>
    </w:p>
    <w:p w14:paraId="4CE5A47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支持邮件内容定时自动保存 </w:t>
      </w:r>
    </w:p>
    <w:p w14:paraId="3EA7097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支持邮件的抄送与密送 </w:t>
      </w:r>
    </w:p>
    <w:p w14:paraId="3C4AF3C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允许选择邮件的重要程度 </w:t>
      </w:r>
    </w:p>
    <w:p w14:paraId="7D08299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支持自定义邮件箱，并允许设置邮箱整理规则，由系统将邮件自动归类 </w:t>
      </w:r>
    </w:p>
    <w:p w14:paraId="23A583E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支持邮件关键词提取 </w:t>
      </w:r>
    </w:p>
    <w:p w14:paraId="5E4830A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支持邮件签名设置 </w:t>
      </w:r>
    </w:p>
    <w:p w14:paraId="2233CC6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允许管理员设置每个用户邮箱空间 </w:t>
      </w:r>
    </w:p>
    <w:p w14:paraId="40F4BA9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每个用户均可设置多个互联网邮箱，且OA收取外部邮件只需服务器连网，对客户端网络无要求消息管理： </w:t>
      </w:r>
    </w:p>
    <w:p w14:paraId="60EFDC0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微讯支持文字、语音传输 </w:t>
      </w:r>
    </w:p>
    <w:p w14:paraId="7773BAE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微讯支持网页、PC客户端、移动客户端之间的发送和查阅 </w:t>
      </w:r>
    </w:p>
    <w:p w14:paraId="4746C57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实现各个功能模块的实时短信提醒功能 </w:t>
      </w:r>
    </w:p>
    <w:p w14:paraId="2CFB434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支持离线文件管理 </w:t>
      </w:r>
    </w:p>
    <w:p w14:paraId="21E083F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支持即时通讯群组以及临时讨论组管理智协同： </w:t>
      </w:r>
    </w:p>
    <w:p w14:paraId="3ECBDEF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可实现临时性任务建立，任务分解与监控 </w:t>
      </w:r>
    </w:p>
    <w:p w14:paraId="152F248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提供不同任务状态的任务列表 </w:t>
      </w:r>
    </w:p>
    <w:p w14:paraId="1727ACC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支持任务进度的更新 </w:t>
      </w:r>
    </w:p>
    <w:p w14:paraId="71DD4BD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支持任务的回收站功能 </w:t>
      </w:r>
    </w:p>
    <w:p w14:paraId="6CA2A38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支持任务挂起 </w:t>
      </w:r>
    </w:p>
    <w:p w14:paraId="7EB4215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支持任务星标 </w:t>
      </w:r>
    </w:p>
    <w:p w14:paraId="1D68FCE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支持任务的甘特图显示 </w:t>
      </w:r>
    </w:p>
    <w:p w14:paraId="28887B4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支持任务在线讨论 </w:t>
      </w:r>
    </w:p>
    <w:p w14:paraId="66A9ADC9">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支持用户自定义任务类别</w:t>
      </w:r>
    </w:p>
    <w:p w14:paraId="03F1DC66">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工作流</w:t>
      </w:r>
    </w:p>
    <w:p w14:paraId="55022BC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智能表单设计，支持在线设计表单</w:t>
      </w:r>
    </w:p>
    <w:p w14:paraId="21EAB00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支持外部数据源 </w:t>
      </w:r>
    </w:p>
    <w:p w14:paraId="3D7C4C2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支持表单网页手写签章</w:t>
      </w:r>
    </w:p>
    <w:p w14:paraId="5BD8DE7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支持表单版本管理 </w:t>
      </w:r>
    </w:p>
    <w:p w14:paraId="44B11F5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支持表单与流程的分类管理 </w:t>
      </w:r>
    </w:p>
    <w:p w14:paraId="2D33C20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支持表单与流程的导入导出操作 </w:t>
      </w:r>
    </w:p>
    <w:p w14:paraId="4BF850F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支持自由流程与固定流程 </w:t>
      </w:r>
    </w:p>
    <w:p w14:paraId="6753100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设计向导模式，提供设计思路</w:t>
      </w:r>
    </w:p>
    <w:p w14:paraId="401E8F9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图形化流程制作页面 </w:t>
      </w:r>
    </w:p>
    <w:p w14:paraId="683866B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支持流程分支设置，支持通过条件自由控制流程走向 </w:t>
      </w:r>
    </w:p>
    <w:p w14:paraId="0980584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支持流程并发与合并的设置 </w:t>
      </w:r>
    </w:p>
    <w:p w14:paraId="128901C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支持子流程设置包含流程数据校验功能 </w:t>
      </w:r>
    </w:p>
    <w:p w14:paraId="35ED762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支持流程附带公共附件，并允许设置对公共附件的详细权限 </w:t>
      </w:r>
    </w:p>
    <w:p w14:paraId="52BB49A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支持流程权限设置，包括管理权限、监控权限、查询权限、点评权限支持流程查询模板定义 </w:t>
      </w:r>
    </w:p>
    <w:p w14:paraId="0DA6BC7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支持版式文件应用，可实现精确打印与套打 </w:t>
      </w:r>
    </w:p>
    <w:p w14:paraId="5CB250B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支持流程定时发起 </w:t>
      </w:r>
    </w:p>
    <w:p w14:paraId="3ADE031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允许按人员、部门、角色设定经办权限 </w:t>
      </w:r>
    </w:p>
    <w:p w14:paraId="76B1866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允许针对每个步骤设置可写字段 </w:t>
      </w:r>
    </w:p>
    <w:p w14:paraId="7631E17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支持流程自动选人支持流程插件，为工作流与其他模块的数据交互提供平台 </w:t>
      </w:r>
    </w:p>
    <w:p w14:paraId="1FEDCF7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支持会签，会签人可以填写各自的会签意见和上传私有附件 </w:t>
      </w:r>
    </w:p>
    <w:p w14:paraId="26F25B7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可监控流程的办理过程，查看各步骤办理状态和办理时间 </w:t>
      </w:r>
    </w:p>
    <w:p w14:paraId="577B7E9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流转过程可通过内部事务提醒、手机短信，internet邮件提醒办理人 </w:t>
      </w:r>
    </w:p>
    <w:p w14:paraId="48B9C50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提供对流程数据的多种统计方式，excel统计和报表统计 </w:t>
      </w:r>
    </w:p>
    <w:p w14:paraId="284342C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全面的流程数据管理，支持表单与数据同步调整 </w:t>
      </w:r>
    </w:p>
    <w:p w14:paraId="0DE6906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允许将某一工作流程定义为独立的系统菜单</w:t>
      </w:r>
    </w:p>
    <w:p w14:paraId="45F60AC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支持工作流超时提示与催办提醒 </w:t>
      </w:r>
    </w:p>
    <w:p w14:paraId="10737D3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支持超时工作统计分析 </w:t>
      </w:r>
    </w:p>
    <w:p w14:paraId="57AF7A6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支持工作流数据归档与归档流程查询</w:t>
      </w:r>
    </w:p>
    <w:p w14:paraId="292C120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业务引擎实现工作流与系统内置部分模块数据的整合 </w:t>
      </w:r>
    </w:p>
    <w:p w14:paraId="05C86C6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所有对流程的操作都写入日志记录</w:t>
      </w:r>
    </w:p>
    <w:p w14:paraId="4F934EB3">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行政办公</w:t>
      </w:r>
    </w:p>
    <w:p w14:paraId="1D82984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允许管理人员查询员工日程安排并安排工作 </w:t>
      </w:r>
    </w:p>
    <w:p w14:paraId="1121B90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允许管理人员查询员工工作日志并点评与共享 </w:t>
      </w:r>
    </w:p>
    <w:p w14:paraId="2122372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提供工作计划管理、办公用品管理、固定资产、图书管理、资源申请与管理、会议申请与安排、车辆申请与安排、公共通讯簿等行政办公管理模块 </w:t>
      </w:r>
    </w:p>
    <w:p w14:paraId="2E7AF333">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提供组织机构信息查询平台公告通知： </w:t>
      </w:r>
    </w:p>
    <w:p w14:paraId="5F3CF2B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支持设置公告的审批规则 </w:t>
      </w:r>
    </w:p>
    <w:p w14:paraId="192AD01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支持公告置顶 </w:t>
      </w:r>
    </w:p>
    <w:p w14:paraId="3B4C4EA9">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支持多种公告通知格式 </w:t>
      </w:r>
    </w:p>
    <w:p w14:paraId="2C9611C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支持按人员、部门、角色多种方式确定发布范围 </w:t>
      </w:r>
    </w:p>
    <w:p w14:paraId="0DC28C2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允许设置附件的下载打印权限 </w:t>
      </w:r>
    </w:p>
    <w:p w14:paraId="14754A6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允许设置公告有效期 </w:t>
      </w:r>
    </w:p>
    <w:p w14:paraId="079348F7">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支持提取关键字，并通过关键字查看相关公告、新闻、邮件、文件柜相关信息 </w:t>
      </w:r>
    </w:p>
    <w:p w14:paraId="0509D84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支持查看查阅情况 </w:t>
      </w:r>
    </w:p>
    <w:p w14:paraId="74CF895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支持按公告通知类型设置是否需要审批新闻： </w:t>
      </w:r>
    </w:p>
    <w:p w14:paraId="49BE694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支持新闻置顶 </w:t>
      </w:r>
    </w:p>
    <w:p w14:paraId="49F05F2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支持多种新闻发布格式 </w:t>
      </w:r>
    </w:p>
    <w:p w14:paraId="0FF6ADAF">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支持按人员、部门、角色多种方式确定发布范围 </w:t>
      </w:r>
    </w:p>
    <w:p w14:paraId="4593CA1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支持定时发布 </w:t>
      </w:r>
    </w:p>
    <w:p w14:paraId="49D69B9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支持评论，包含实名评论和匿名评论 </w:t>
      </w:r>
    </w:p>
    <w:p w14:paraId="1B6C472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支持提取关键字，并通过关键字查看相关公告、新闻、邮件、文件柜相关信息投票： </w:t>
      </w:r>
    </w:p>
    <w:p w14:paraId="2B95D2A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支持投票置顶 </w:t>
      </w:r>
    </w:p>
    <w:p w14:paraId="010694F9">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支持子投票 </w:t>
      </w:r>
    </w:p>
    <w:p w14:paraId="69893D2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支持有效期设置 </w:t>
      </w:r>
    </w:p>
    <w:p w14:paraId="08297EE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支持匿名投票 </w:t>
      </w:r>
    </w:p>
    <w:p w14:paraId="632A60F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支持投票数据统计与导出</w:t>
      </w:r>
    </w:p>
    <w:p w14:paraId="07E2FD51">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CRM系统</w:t>
      </w:r>
    </w:p>
    <w:p w14:paraId="0BF8BBB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客户信息、客户联系人、客户活动、客户关怀管理 </w:t>
      </w:r>
    </w:p>
    <w:p w14:paraId="208DAC6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销售机会、报价单、订单等产品出库管理 </w:t>
      </w:r>
    </w:p>
    <w:p w14:paraId="462A91E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产品管理与仓库管理 </w:t>
      </w:r>
    </w:p>
    <w:p w14:paraId="56A6C42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客户服务记录管理 </w:t>
      </w:r>
    </w:p>
    <w:p w14:paraId="5311A2D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供应商、供应商联系人、采购订单等产品入库管理 </w:t>
      </w:r>
    </w:p>
    <w:p w14:paraId="08A7052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CRM数据报表分析与统计</w:t>
      </w:r>
    </w:p>
    <w:p w14:paraId="2D7060D7">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项目管理</w:t>
      </w:r>
    </w:p>
    <w:p w14:paraId="7DEA12E3">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实现且不只实现了项目计划管理，还实现了项目知识管理、项目文档共享和项目流程管理 </w:t>
      </w:r>
    </w:p>
    <w:p w14:paraId="1F8BBEC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项目立项支持一级审批和免审批立项 </w:t>
      </w:r>
    </w:p>
    <w:p w14:paraId="57BB907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支持项目任务分解 </w:t>
      </w:r>
    </w:p>
    <w:p w14:paraId="3AD9190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支持项目文档分权限管理 </w:t>
      </w:r>
    </w:p>
    <w:p w14:paraId="6E9F7AB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项目立项支持套用模版 </w:t>
      </w:r>
    </w:p>
    <w:p w14:paraId="52ACBEB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支持自定义项目类型、项目角色类型、项目费用类型 </w:t>
      </w:r>
    </w:p>
    <w:p w14:paraId="431AD0C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实现了项目管理与工作流的结合</w:t>
      </w:r>
    </w:p>
    <w:p w14:paraId="3C03E240">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交流园地</w:t>
      </w:r>
    </w:p>
    <w:p w14:paraId="202D8D5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提供微讯分享、讨论区、论坛、网络会议、聊天室等多种交流渠道微讯分享： </w:t>
      </w:r>
    </w:p>
    <w:p w14:paraId="73520823">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支持信息的删除、转播 </w:t>
      </w:r>
    </w:p>
    <w:p w14:paraId="70B3143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支持主题创建、查看、以及参与讨论 </w:t>
      </w:r>
    </w:p>
    <w:p w14:paraId="7361D01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可以选择关心的用户查看个人分享主页文本网络会议 </w:t>
      </w:r>
    </w:p>
    <w:p w14:paraId="504891B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支持多人在一个文本窗口进行会议 </w:t>
      </w:r>
    </w:p>
    <w:p w14:paraId="4AC287B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支持悄悄话功能，能设置字体颜色，可以查看历史记录专业视频会议 </w:t>
      </w:r>
    </w:p>
    <w:p w14:paraId="72B4ACF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实现视频、语音、文字交流、文档共享、白板共享、视频录制、会议主持等功能 </w:t>
      </w:r>
    </w:p>
    <w:p w14:paraId="3D8AA31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支持各种音视频的媒体文件通过视频窗口播放给会议用户</w:t>
      </w:r>
    </w:p>
    <w:p w14:paraId="66CD64E6">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即时通讯</w:t>
      </w:r>
    </w:p>
    <w:p w14:paraId="286F72B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即时通讯可选组件，提供企业内部QQ功能，可实现用户之间的实时通讯、文件及文件夹传输 </w:t>
      </w:r>
    </w:p>
    <w:p w14:paraId="5E195C8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支持即时通讯群组设置 </w:t>
      </w:r>
    </w:p>
    <w:p w14:paraId="10F5E541">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支持自定义临时讨论组 </w:t>
      </w:r>
    </w:p>
    <w:p w14:paraId="09457B9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支持视频及远程协助 </w:t>
      </w:r>
    </w:p>
    <w:p w14:paraId="28FE7D2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支持查看最近联系人 </w:t>
      </w:r>
    </w:p>
    <w:p w14:paraId="785DEB9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支持名片显示对方请假、外出、出差等状态信息</w:t>
      </w:r>
    </w:p>
    <w:p w14:paraId="4D0641F7">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OA同步助手</w:t>
      </w:r>
    </w:p>
    <w:p w14:paraId="3463650C">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实现日程安排、工作日志和通讯簿的数据同步到客户端存储 </w:t>
      </w:r>
    </w:p>
    <w:p w14:paraId="791DA2EE">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实现离线浏览日程安排、工作日志和通讯簿信息 </w:t>
      </w:r>
    </w:p>
    <w:p w14:paraId="59728692">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支持多用户数据存储，保护用户的隐私和数据安全</w:t>
      </w:r>
    </w:p>
    <w:p w14:paraId="3CB5AC70">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手机短信</w:t>
      </w:r>
    </w:p>
    <w:p w14:paraId="333DD9C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配合通达短信服务器软件，使用专用短信猫设备发送短信 </w:t>
      </w:r>
    </w:p>
    <w:p w14:paraId="62455E88">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支持群发手机短信，后台发送，前台可执行其他操作 </w:t>
      </w:r>
    </w:p>
    <w:p w14:paraId="43D000B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支持手机短信回复到OA系统，可按指定格式转化为内部短信 </w:t>
      </w:r>
    </w:p>
    <w:p w14:paraId="220EF20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与OA主要模块关联，实现邮件、通知、工作流、工资条等模块的手机短信提醒 </w:t>
      </w:r>
    </w:p>
    <w:p w14:paraId="745008B4">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统一管理发送与接收到的短信</w:t>
      </w:r>
    </w:p>
    <w:p w14:paraId="6641EAE5">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移动客户端</w:t>
      </w:r>
    </w:p>
    <w:p w14:paraId="11DE90A5">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移动版客户端(Android/iOS) </w:t>
      </w:r>
    </w:p>
    <w:p w14:paraId="3F9EB63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提供邮件、公告、工作流、微讯等模块功能 </w:t>
      </w:r>
    </w:p>
    <w:p w14:paraId="583BCA46">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支持自定义多种网络环境</w:t>
      </w:r>
    </w:p>
    <w:p w14:paraId="40FCF18B">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支持新建工作，工作流转交、办理、会签及表单查看等功能 </w:t>
      </w:r>
    </w:p>
    <w:p w14:paraId="27E1B6D0">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Android手机版支持消息推送</w:t>
      </w:r>
    </w:p>
    <w:p w14:paraId="0F4AD043">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Android手机版支持写邮件写日志时上传图片、附件功能 </w:t>
      </w:r>
    </w:p>
    <w:p w14:paraId="5A1A9BF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Android手机版支持手机签章</w:t>
      </w:r>
    </w:p>
    <w:p w14:paraId="4913EEDA">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iOS手机版支持图片、Office文档在线阅读，Android手机版支持图片、Office文档本地下载</w:t>
      </w:r>
    </w:p>
    <w:p w14:paraId="17BF6B51">
      <w:pPr>
        <w:pStyle w:val="250"/>
        <w:spacing w:line="360" w:lineRule="auto"/>
        <w:ind w:firstLine="482" w:firstLineChars="200"/>
        <w:rPr>
          <w:rFonts w:hint="eastAsia" w:ascii="宋体" w:hAnsi="宋体" w:cs="宋体"/>
          <w:b/>
          <w:color w:val="auto"/>
          <w:sz w:val="24"/>
        </w:rPr>
      </w:pPr>
      <w:r>
        <w:rPr>
          <w:rFonts w:hint="eastAsia" w:ascii="宋体" w:hAnsi="宋体" w:cs="宋体"/>
          <w:b/>
          <w:color w:val="auto"/>
          <w:sz w:val="24"/>
        </w:rPr>
        <w:t>开放性设计与二次开发</w:t>
      </w:r>
    </w:p>
    <w:p w14:paraId="5DD477CD">
      <w:pPr>
        <w:pStyle w:val="25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采用开放性的系统架构，提供全面扩展可能 </w:t>
      </w:r>
    </w:p>
    <w:p w14:paraId="336E2A4C">
      <w:pPr>
        <w:pStyle w:val="14"/>
        <w:bidi w:val="0"/>
        <w:rPr>
          <w:color w:val="auto"/>
          <w:highlight w:val="none"/>
        </w:rPr>
      </w:pPr>
      <w:r>
        <w:rPr>
          <w:rFonts w:hint="eastAsia"/>
          <w:color w:val="auto"/>
          <w:highlight w:val="none"/>
        </w:rPr>
        <w:tab/>
      </w:r>
      <w:r>
        <w:rPr>
          <w:rFonts w:hint="eastAsia"/>
          <w:color w:val="auto"/>
          <w:highlight w:val="none"/>
        </w:rPr>
        <w:t>其它各类现有接口</w:t>
      </w:r>
    </w:p>
    <w:p w14:paraId="6F73B550">
      <w:pPr>
        <w:rPr>
          <w:rFonts w:hint="default" w:eastAsia="宋体"/>
          <w:color w:val="auto"/>
          <w:highlight w:val="none"/>
          <w:lang w:val="en-US" w:eastAsia="zh-CN"/>
        </w:rPr>
      </w:pPr>
      <w:r>
        <w:rPr>
          <w:rFonts w:hint="eastAsia"/>
          <w:color w:val="auto"/>
          <w:highlight w:val="none"/>
          <w:lang w:val="en-US" w:eastAsia="zh-CN"/>
        </w:rPr>
        <w:t>本项目需满足与政策性、行业性、政府指令性接口及医院院内利旧系统及相关设备接口对接，包括但不限于省医共体平台、省智慧医疗系统、全面健康信息平台、省检查检验结果互认平台、院内利旧软件及硬件设备接口、对接上报平台等。</w:t>
      </w:r>
    </w:p>
    <w:p w14:paraId="7C38B76D">
      <w:pPr>
        <w:ind w:firstLine="480"/>
        <w:rPr>
          <w:rFonts w:cs="仿宋"/>
          <w:color w:val="auto"/>
        </w:rPr>
      </w:pPr>
      <w:r>
        <w:rPr>
          <w:rFonts w:hint="eastAsia" w:cs="仿宋"/>
          <w:color w:val="auto"/>
        </w:rPr>
        <w:t>包括不限于医院已经实现的以下在用功能接口：</w:t>
      </w:r>
    </w:p>
    <w:p w14:paraId="20B1A5A0">
      <w:pPr>
        <w:numPr>
          <w:ilvl w:val="0"/>
          <w:numId w:val="238"/>
        </w:numPr>
        <w:ind w:left="425" w:leftChars="0" w:firstLine="55" w:firstLineChars="0"/>
        <w:rPr>
          <w:rFonts w:cs="仿宋"/>
          <w:color w:val="auto"/>
        </w:rPr>
      </w:pPr>
      <w:r>
        <w:rPr>
          <w:rFonts w:hint="eastAsia" w:cs="仿宋"/>
          <w:color w:val="auto"/>
        </w:rPr>
        <w:t>所有检验设备接口</w:t>
      </w:r>
    </w:p>
    <w:p w14:paraId="7DB717C3">
      <w:pPr>
        <w:numPr>
          <w:ilvl w:val="0"/>
          <w:numId w:val="238"/>
        </w:numPr>
        <w:ind w:left="425" w:leftChars="0" w:firstLine="55" w:firstLineChars="0"/>
        <w:rPr>
          <w:rFonts w:cs="仿宋"/>
          <w:color w:val="auto"/>
        </w:rPr>
      </w:pPr>
      <w:r>
        <w:rPr>
          <w:rFonts w:hint="eastAsia" w:cs="仿宋"/>
          <w:color w:val="auto"/>
        </w:rPr>
        <w:t>所有影像设备接口</w:t>
      </w:r>
    </w:p>
    <w:p w14:paraId="68113EB1">
      <w:pPr>
        <w:numPr>
          <w:ilvl w:val="0"/>
          <w:numId w:val="238"/>
        </w:numPr>
        <w:ind w:left="425" w:leftChars="0" w:firstLine="55" w:firstLineChars="0"/>
        <w:rPr>
          <w:rFonts w:cs="仿宋"/>
          <w:color w:val="auto"/>
        </w:rPr>
      </w:pPr>
      <w:r>
        <w:rPr>
          <w:rFonts w:hint="eastAsia" w:cs="仿宋"/>
          <w:color w:val="auto"/>
        </w:rPr>
        <w:t>CT自助胶片接口</w:t>
      </w:r>
    </w:p>
    <w:p w14:paraId="069AF173">
      <w:pPr>
        <w:numPr>
          <w:ilvl w:val="0"/>
          <w:numId w:val="238"/>
        </w:numPr>
        <w:ind w:left="425" w:leftChars="0" w:firstLine="55" w:firstLineChars="0"/>
        <w:rPr>
          <w:rFonts w:cs="仿宋"/>
          <w:color w:val="auto"/>
        </w:rPr>
      </w:pPr>
      <w:r>
        <w:rPr>
          <w:rFonts w:hint="eastAsia" w:cs="仿宋"/>
          <w:color w:val="auto"/>
        </w:rPr>
        <w:t>发热门诊流感数据平台接口</w:t>
      </w:r>
    </w:p>
    <w:p w14:paraId="55087754">
      <w:pPr>
        <w:numPr>
          <w:ilvl w:val="0"/>
          <w:numId w:val="238"/>
        </w:numPr>
        <w:ind w:left="425" w:leftChars="0" w:firstLine="55" w:firstLineChars="0"/>
        <w:rPr>
          <w:rFonts w:cs="仿宋"/>
          <w:color w:val="auto"/>
        </w:rPr>
      </w:pPr>
      <w:r>
        <w:rPr>
          <w:rFonts w:hint="eastAsia" w:cs="仿宋"/>
          <w:color w:val="auto"/>
        </w:rPr>
        <w:t>江西电子健康卡平台接口</w:t>
      </w:r>
    </w:p>
    <w:p w14:paraId="7FFDA844">
      <w:pPr>
        <w:numPr>
          <w:ilvl w:val="0"/>
          <w:numId w:val="238"/>
        </w:numPr>
        <w:ind w:left="425" w:leftChars="0" w:firstLine="55" w:firstLineChars="0"/>
        <w:rPr>
          <w:rFonts w:cs="仿宋"/>
          <w:color w:val="auto"/>
        </w:rPr>
      </w:pPr>
      <w:r>
        <w:rPr>
          <w:rFonts w:hint="eastAsia" w:cs="仿宋"/>
          <w:color w:val="auto"/>
        </w:rPr>
        <w:t>云影像接口</w:t>
      </w:r>
    </w:p>
    <w:p w14:paraId="5288B41B">
      <w:pPr>
        <w:numPr>
          <w:ilvl w:val="0"/>
          <w:numId w:val="238"/>
        </w:numPr>
        <w:ind w:left="425" w:leftChars="0" w:firstLine="55" w:firstLineChars="0"/>
        <w:rPr>
          <w:rFonts w:cs="仿宋"/>
          <w:color w:val="auto"/>
        </w:rPr>
      </w:pPr>
      <w:r>
        <w:rPr>
          <w:rFonts w:hint="eastAsia" w:cs="仿宋"/>
          <w:color w:val="auto"/>
        </w:rPr>
        <w:t>排队叫号接口</w:t>
      </w:r>
    </w:p>
    <w:p w14:paraId="2914293A">
      <w:pPr>
        <w:numPr>
          <w:ilvl w:val="0"/>
          <w:numId w:val="238"/>
        </w:numPr>
        <w:ind w:left="425" w:leftChars="0" w:firstLine="55" w:firstLineChars="0"/>
        <w:rPr>
          <w:rFonts w:cs="仿宋"/>
          <w:color w:val="auto"/>
        </w:rPr>
      </w:pPr>
      <w:r>
        <w:rPr>
          <w:rFonts w:hint="eastAsia" w:cs="仿宋"/>
          <w:color w:val="auto"/>
        </w:rPr>
        <w:t>MMC接口</w:t>
      </w:r>
    </w:p>
    <w:p w14:paraId="77B72BD3">
      <w:pPr>
        <w:numPr>
          <w:ilvl w:val="0"/>
          <w:numId w:val="238"/>
        </w:numPr>
        <w:ind w:left="425" w:leftChars="0" w:firstLine="55" w:firstLineChars="0"/>
        <w:rPr>
          <w:rFonts w:cs="仿宋"/>
          <w:color w:val="auto"/>
        </w:rPr>
      </w:pPr>
      <w:r>
        <w:rPr>
          <w:rFonts w:hint="eastAsia" w:cs="仿宋"/>
          <w:color w:val="auto"/>
        </w:rPr>
        <w:t>血糖数据接口</w:t>
      </w:r>
    </w:p>
    <w:p w14:paraId="6593E8F9">
      <w:pPr>
        <w:numPr>
          <w:ilvl w:val="0"/>
          <w:numId w:val="238"/>
        </w:numPr>
        <w:ind w:left="425" w:leftChars="0" w:firstLine="55" w:firstLineChars="0"/>
        <w:rPr>
          <w:rFonts w:cs="仿宋"/>
          <w:color w:val="auto"/>
        </w:rPr>
      </w:pPr>
      <w:r>
        <w:rPr>
          <w:rFonts w:hint="eastAsia" w:cs="仿宋"/>
          <w:color w:val="auto"/>
        </w:rPr>
        <w:t>江西远程协作平台接口</w:t>
      </w:r>
    </w:p>
    <w:p w14:paraId="3D7C571F">
      <w:pPr>
        <w:numPr>
          <w:ilvl w:val="0"/>
          <w:numId w:val="238"/>
        </w:numPr>
        <w:ind w:left="425" w:leftChars="0" w:firstLine="55" w:firstLineChars="0"/>
        <w:rPr>
          <w:rFonts w:cs="仿宋"/>
          <w:color w:val="auto"/>
        </w:rPr>
      </w:pPr>
      <w:r>
        <w:rPr>
          <w:rFonts w:hint="eastAsia" w:cs="仿宋"/>
          <w:color w:val="auto"/>
        </w:rPr>
        <w:t>银医自助接口、挂号缴费、报告打印</w:t>
      </w:r>
    </w:p>
    <w:p w14:paraId="11EEB024">
      <w:pPr>
        <w:numPr>
          <w:ilvl w:val="0"/>
          <w:numId w:val="238"/>
        </w:numPr>
        <w:ind w:left="425" w:leftChars="0" w:firstLine="55" w:firstLineChars="0"/>
        <w:rPr>
          <w:rFonts w:cs="仿宋"/>
          <w:color w:val="auto"/>
        </w:rPr>
      </w:pPr>
      <w:r>
        <w:rPr>
          <w:rFonts w:hint="eastAsia" w:cs="仿宋"/>
          <w:color w:val="auto"/>
        </w:rPr>
        <w:t>电子票据接口</w:t>
      </w:r>
    </w:p>
    <w:p w14:paraId="44B940FA">
      <w:pPr>
        <w:numPr>
          <w:ilvl w:val="0"/>
          <w:numId w:val="238"/>
        </w:numPr>
        <w:ind w:left="425" w:leftChars="0" w:firstLine="55" w:firstLineChars="0"/>
        <w:rPr>
          <w:rFonts w:cs="仿宋"/>
          <w:color w:val="auto"/>
        </w:rPr>
      </w:pPr>
      <w:r>
        <w:rPr>
          <w:rFonts w:hint="eastAsia" w:cs="仿宋"/>
          <w:color w:val="auto"/>
        </w:rPr>
        <w:t>门诊大厅自助发票打印接口</w:t>
      </w:r>
    </w:p>
    <w:p w14:paraId="6D43FD1C">
      <w:pPr>
        <w:numPr>
          <w:ilvl w:val="0"/>
          <w:numId w:val="238"/>
        </w:numPr>
        <w:ind w:left="425" w:leftChars="0" w:firstLine="55" w:firstLineChars="0"/>
        <w:rPr>
          <w:rFonts w:cs="仿宋"/>
          <w:color w:val="auto"/>
        </w:rPr>
      </w:pPr>
      <w:r>
        <w:rPr>
          <w:rFonts w:hint="eastAsia" w:cs="仿宋"/>
          <w:color w:val="auto"/>
        </w:rPr>
        <w:t>全国公立医院绩效考核平台病案首页数据上传接口</w:t>
      </w:r>
    </w:p>
    <w:p w14:paraId="44111041">
      <w:pPr>
        <w:numPr>
          <w:ilvl w:val="0"/>
          <w:numId w:val="238"/>
        </w:numPr>
        <w:ind w:left="425" w:leftChars="0" w:firstLine="55" w:firstLineChars="0"/>
        <w:rPr>
          <w:rFonts w:cs="仿宋"/>
          <w:color w:val="auto"/>
        </w:rPr>
      </w:pPr>
      <w:r>
        <w:rPr>
          <w:rFonts w:hint="eastAsia" w:cs="仿宋"/>
          <w:color w:val="auto"/>
        </w:rPr>
        <w:t>江西省DRG平台数据上传接口</w:t>
      </w:r>
    </w:p>
    <w:p w14:paraId="34CF0DF8">
      <w:pPr>
        <w:numPr>
          <w:ilvl w:val="0"/>
          <w:numId w:val="238"/>
        </w:numPr>
        <w:ind w:left="425" w:leftChars="0" w:firstLine="55" w:firstLineChars="0"/>
        <w:rPr>
          <w:rFonts w:cs="仿宋"/>
          <w:color w:val="auto"/>
        </w:rPr>
      </w:pPr>
      <w:r>
        <w:rPr>
          <w:rFonts w:hint="eastAsia" w:cs="仿宋"/>
          <w:color w:val="auto"/>
        </w:rPr>
        <w:t>全省医保服务平台接口、双通道接口、慢性病等接口</w:t>
      </w:r>
    </w:p>
    <w:p w14:paraId="2A844616">
      <w:pPr>
        <w:numPr>
          <w:ilvl w:val="0"/>
          <w:numId w:val="238"/>
        </w:numPr>
        <w:ind w:left="425" w:leftChars="0" w:firstLine="55" w:firstLineChars="0"/>
        <w:rPr>
          <w:rFonts w:cs="仿宋"/>
          <w:color w:val="auto"/>
        </w:rPr>
      </w:pPr>
      <w:r>
        <w:rPr>
          <w:rFonts w:hint="eastAsia" w:cs="仿宋"/>
          <w:color w:val="auto"/>
        </w:rPr>
        <w:t>宜春DIP数据上传平台</w:t>
      </w:r>
    </w:p>
    <w:p w14:paraId="615305E9">
      <w:pPr>
        <w:numPr>
          <w:ilvl w:val="0"/>
          <w:numId w:val="238"/>
        </w:numPr>
        <w:ind w:left="425" w:leftChars="0" w:firstLine="55" w:firstLineChars="0"/>
        <w:rPr>
          <w:rFonts w:cs="仿宋"/>
          <w:color w:val="auto"/>
        </w:rPr>
      </w:pPr>
      <w:r>
        <w:rPr>
          <w:rFonts w:hint="eastAsia" w:cs="仿宋"/>
          <w:color w:val="auto"/>
        </w:rPr>
        <w:t>微信公众号平台接口（移动医保支付）</w:t>
      </w:r>
    </w:p>
    <w:p w14:paraId="0F77F629">
      <w:pPr>
        <w:numPr>
          <w:ilvl w:val="0"/>
          <w:numId w:val="238"/>
        </w:numPr>
        <w:ind w:left="425" w:leftChars="0" w:firstLine="55" w:firstLineChars="0"/>
        <w:rPr>
          <w:rFonts w:cs="仿宋"/>
          <w:color w:val="auto"/>
        </w:rPr>
      </w:pPr>
      <w:r>
        <w:rPr>
          <w:rFonts w:hint="eastAsia" w:cs="仿宋"/>
          <w:color w:val="auto"/>
        </w:rPr>
        <w:t>赣服通药品数据查询接口</w:t>
      </w:r>
    </w:p>
    <w:p w14:paraId="6E49BAA5">
      <w:pPr>
        <w:numPr>
          <w:ilvl w:val="0"/>
          <w:numId w:val="238"/>
        </w:numPr>
        <w:ind w:left="425" w:leftChars="0" w:firstLine="55" w:firstLineChars="0"/>
        <w:rPr>
          <w:rFonts w:cs="仿宋"/>
          <w:color w:val="auto"/>
        </w:rPr>
      </w:pPr>
      <w:r>
        <w:rPr>
          <w:rFonts w:hint="eastAsia" w:cs="仿宋"/>
          <w:color w:val="auto"/>
        </w:rPr>
        <w:t>HRP卫医通接口</w:t>
      </w:r>
    </w:p>
    <w:p w14:paraId="4CAD88D6">
      <w:pPr>
        <w:numPr>
          <w:ilvl w:val="0"/>
          <w:numId w:val="238"/>
        </w:numPr>
        <w:ind w:left="425" w:leftChars="0" w:firstLine="55" w:firstLineChars="0"/>
        <w:rPr>
          <w:rFonts w:cs="仿宋"/>
          <w:color w:val="auto"/>
        </w:rPr>
      </w:pPr>
      <w:r>
        <w:rPr>
          <w:rFonts w:hint="eastAsia" w:cs="仿宋"/>
          <w:color w:val="auto"/>
        </w:rPr>
        <w:t>门诊及住院中药房发药机接口</w:t>
      </w:r>
    </w:p>
    <w:p w14:paraId="5EA387A1">
      <w:pPr>
        <w:numPr>
          <w:ilvl w:val="0"/>
          <w:numId w:val="238"/>
        </w:numPr>
        <w:ind w:left="425" w:leftChars="0" w:firstLine="55" w:firstLineChars="0"/>
        <w:rPr>
          <w:rFonts w:cs="仿宋"/>
          <w:color w:val="auto"/>
        </w:rPr>
      </w:pPr>
      <w:r>
        <w:rPr>
          <w:rFonts w:hint="eastAsia" w:cs="仿宋"/>
          <w:color w:val="auto"/>
        </w:rPr>
        <w:t>智能医保审核系统接口</w:t>
      </w:r>
    </w:p>
    <w:p w14:paraId="3512C261">
      <w:pPr>
        <w:numPr>
          <w:ilvl w:val="0"/>
          <w:numId w:val="238"/>
        </w:numPr>
        <w:ind w:left="425" w:leftChars="0" w:firstLine="55" w:firstLineChars="0"/>
        <w:rPr>
          <w:rFonts w:hint="eastAsia" w:cs="仿宋"/>
          <w:color w:val="auto"/>
          <w:lang w:val="en-US" w:eastAsia="zh-CN"/>
        </w:rPr>
      </w:pPr>
      <w:r>
        <w:rPr>
          <w:rFonts w:hint="eastAsia" w:cs="仿宋"/>
          <w:color w:val="auto"/>
        </w:rPr>
        <w:t>国家食源性疾病上传</w:t>
      </w:r>
      <w:r>
        <w:rPr>
          <w:rFonts w:hint="eastAsia" w:cs="仿宋"/>
          <w:color w:val="auto"/>
          <w:lang w:val="en-US" w:eastAsia="zh-CN"/>
        </w:rPr>
        <w:t>接口</w:t>
      </w:r>
    </w:p>
    <w:p w14:paraId="074C02D7">
      <w:pPr>
        <w:numPr>
          <w:ilvl w:val="0"/>
          <w:numId w:val="238"/>
        </w:numPr>
        <w:ind w:left="425" w:leftChars="0" w:firstLine="55" w:firstLineChars="0"/>
        <w:rPr>
          <w:rFonts w:hint="eastAsia" w:cs="仿宋"/>
          <w:color w:val="auto"/>
          <w:lang w:val="en-US" w:eastAsia="zh-CN"/>
        </w:rPr>
      </w:pPr>
      <w:r>
        <w:rPr>
          <w:rFonts w:hint="eastAsia" w:cs="仿宋"/>
          <w:color w:val="auto"/>
          <w:lang w:val="en-US" w:eastAsia="zh-CN"/>
        </w:rPr>
        <w:t>省全民健康信息平台接口</w:t>
      </w:r>
    </w:p>
    <w:p w14:paraId="41CE1E5A">
      <w:pPr>
        <w:numPr>
          <w:ilvl w:val="0"/>
          <w:numId w:val="238"/>
        </w:numPr>
        <w:ind w:left="425" w:leftChars="0" w:firstLine="55" w:firstLineChars="0"/>
        <w:rPr>
          <w:rFonts w:hint="eastAsia" w:cs="仿宋"/>
          <w:color w:val="auto"/>
          <w:lang w:val="en-US" w:eastAsia="zh-CN"/>
        </w:rPr>
      </w:pPr>
      <w:r>
        <w:rPr>
          <w:rFonts w:hint="eastAsia" w:cs="仿宋"/>
          <w:color w:val="auto"/>
          <w:lang w:val="en-US" w:eastAsia="zh-CN"/>
        </w:rPr>
        <w:t>检查检验互认平台接口</w:t>
      </w:r>
    </w:p>
    <w:p w14:paraId="2060F21A">
      <w:pPr>
        <w:numPr>
          <w:ilvl w:val="0"/>
          <w:numId w:val="238"/>
        </w:numPr>
        <w:ind w:left="425" w:leftChars="0" w:firstLine="55" w:firstLineChars="0"/>
        <w:rPr>
          <w:rFonts w:hint="eastAsia" w:cs="仿宋"/>
          <w:color w:val="auto"/>
          <w:lang w:val="en-US" w:eastAsia="zh-CN"/>
        </w:rPr>
      </w:pPr>
      <w:r>
        <w:rPr>
          <w:rFonts w:hint="eastAsia" w:cs="仿宋"/>
          <w:color w:val="auto"/>
          <w:lang w:val="en-US" w:eastAsia="zh-CN"/>
        </w:rPr>
        <w:t>门急诊病案首页上传接口</w:t>
      </w:r>
    </w:p>
    <w:p w14:paraId="30099CF1">
      <w:pPr>
        <w:pStyle w:val="10"/>
        <w:bidi w:val="0"/>
        <w:ind w:left="720" w:leftChars="0" w:hanging="720" w:firstLineChars="0"/>
        <w:rPr>
          <w:rFonts w:hint="eastAsia"/>
          <w:color w:val="auto"/>
        </w:rPr>
      </w:pPr>
      <w:bookmarkStart w:id="414" w:name="_Toc6824"/>
      <w:r>
        <w:rPr>
          <w:rFonts w:hint="eastAsia"/>
          <w:color w:val="auto"/>
          <w:lang w:val="en-US" w:eastAsia="zh-CN"/>
        </w:rPr>
        <w:t>硬件采购</w:t>
      </w:r>
      <w:bookmarkEnd w:id="414"/>
    </w:p>
    <w:p w14:paraId="0DCD2918">
      <w:pPr>
        <w:spacing w:line="360" w:lineRule="auto"/>
        <w:ind w:firstLine="480" w:firstLineChars="200"/>
        <w:jc w:val="both"/>
        <w:rPr>
          <w:rFonts w:hint="eastAsia" w:ascii="宋体" w:hAnsi="宋体" w:eastAsia="宋体" w:cs="宋体"/>
          <w:color w:val="auto"/>
          <w:sz w:val="24"/>
          <w:szCs w:val="24"/>
          <w:lang w:val="en-US" w:eastAsia="zh-CN" w:bidi="ar-SA"/>
        </w:rPr>
      </w:pPr>
      <w:r>
        <w:rPr>
          <w:rFonts w:hint="eastAsia" w:cs="宋体"/>
          <w:color w:val="auto"/>
          <w:sz w:val="24"/>
          <w:szCs w:val="24"/>
          <w:lang w:val="en-US" w:eastAsia="zh-CN" w:bidi="ar-SA"/>
        </w:rPr>
        <w:t>对于硬件采购有以下</w:t>
      </w:r>
      <w:r>
        <w:rPr>
          <w:rFonts w:hint="eastAsia" w:ascii="宋体" w:hAnsi="宋体" w:eastAsia="宋体" w:cs="宋体"/>
          <w:color w:val="auto"/>
          <w:sz w:val="24"/>
          <w:szCs w:val="24"/>
          <w:lang w:val="en-US" w:eastAsia="zh-CN" w:bidi="ar-SA"/>
        </w:rPr>
        <w:t>建设需求</w:t>
      </w:r>
      <w:r>
        <w:rPr>
          <w:rFonts w:hint="eastAsia" w:cs="宋体"/>
          <w:color w:val="auto"/>
          <w:sz w:val="24"/>
          <w:szCs w:val="24"/>
          <w:lang w:val="en-US" w:eastAsia="zh-CN" w:bidi="ar-SA"/>
        </w:rPr>
        <w:t>：</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6"/>
        <w:gridCol w:w="873"/>
        <w:gridCol w:w="4970"/>
        <w:gridCol w:w="817"/>
        <w:gridCol w:w="823"/>
      </w:tblGrid>
      <w:tr w14:paraId="339F8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60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9D53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bCs/>
                <w:i w:val="0"/>
                <w:iCs w:val="0"/>
                <w:color w:val="auto"/>
                <w:sz w:val="24"/>
                <w:szCs w:val="24"/>
                <w:u w:val="none"/>
              </w:rPr>
            </w:pPr>
            <w:bookmarkStart w:id="415" w:name="_Toc23955"/>
            <w:r>
              <w:rPr>
                <w:rFonts w:hint="eastAsia" w:ascii="宋体" w:hAnsi="宋体" w:eastAsia="宋体" w:cs="宋体"/>
                <w:b/>
                <w:bCs/>
                <w:i w:val="0"/>
                <w:iCs w:val="0"/>
                <w:color w:val="auto"/>
                <w:kern w:val="0"/>
                <w:sz w:val="24"/>
                <w:szCs w:val="24"/>
                <w:highlight w:val="none"/>
                <w:u w:val="none"/>
                <w:lang w:val="en-US" w:eastAsia="zh-CN" w:bidi="ar"/>
              </w:rPr>
              <w:t>序号</w:t>
            </w:r>
          </w:p>
        </w:tc>
        <w:tc>
          <w:tcPr>
            <w:tcW w:w="512"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5872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硬件名称</w:t>
            </w:r>
          </w:p>
        </w:tc>
        <w:tc>
          <w:tcPr>
            <w:tcW w:w="291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6446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参数</w:t>
            </w:r>
          </w:p>
        </w:tc>
        <w:tc>
          <w:tcPr>
            <w:tcW w:w="47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23D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48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54A2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r>
      <w:tr w14:paraId="42FE4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0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C2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一、数据中心设备</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77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A1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r>
      <w:tr w14:paraId="2A11C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E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9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超融合一体机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B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1、标准机架式服务器，配备冗余电源；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2、处理器配置：CPU≥2颗 ，每颗CPU主频≥2.50GHZ，核数≥16；（CPU芯片必须通过安全可靠测评）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3、内存配置：≥24*32GB DDR4 3200；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4、存储配置：240GB SATAD SSD系统盘≥2块，缓存盘固态硬盘1.92T-SSD(读密集型)≥2块 ，数据盘机械硬盘8T≥6块，标配盘位数：12，千兆电口≥4个，万兆光口≥4个（满配光模块）。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5、包含三年超融合一体机的备件更换、返厂寄修服务；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6、为保障超融合使用的兼容性和稳定性，要求和超融合软件为同一厂商品牌提供。且用于超融合软件底座的操作系统，须通过安全可靠测评</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6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6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75C2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7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8E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超融合计算虚拟化软件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1DF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1、提供计算虚拟化授权，并与超融合里面的网络虚拟化、存储虚拟化为同一厂商品牌提供，以保障超融合的兼容性，1套计算虚拟化软件包含2颗CPU授权，包含三年软件升级服务；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2、支持虚拟机跨集群的虚拟机迁移，支持在不停机的状态下跨集群迁移；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3、虚拟机可以实现物理机的全部功能，如具有自己的资源（内存、CPU、网卡、存储），可以指定单独的MAC地址等；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4、支持配置内存回收机制，实现虚拟化平台内存资源的动态复用，保障虚拟机的性能；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5、支持在线的带存储的虚拟机迁移功能，可以在不停机状态下和非共享存储的环境中，实现虚拟机在集群内的不同物理机上迁移，保障业务连续性；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6、支持创建虚拟机的时候批量指定IP地址和虚拟机的hostname，支持编辑已经创建的虚拟机的IP地址和hostname；</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7、支持虚拟机的HA功能。当物理服务器发生故障时，该物理服务器上的所有虚拟机，可以在集群之内的其它物理服务器上重新启动，保障业务连续性；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8、采用分布式管理架构，去中心化，管理平台不依赖于某一个虚拟机或物理机部署，采用分布式架构保障平台。</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C66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7A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EEDB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B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0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超融合网络虚拟化软件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54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1、提供网络虚拟化授权，并与超融合里面的计算虚拟化、存储虚拟化为同一厂商品牌提供，以保障超融合的兼容性，1套网络虚拟化软件包含2颗CPU授权，包含三年软件升级服务;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2、支持部署虚拟分布式交换机、虚拟路由器、分布式防火墙;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3、支持Vxlan网络和现有的Vlan网络对接，实现虚拟化平台与原有网络的兼容性;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主动探测业务系统，实时监控业务可用性，当业务出现故障时，通过多种方式告知管理员；</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4、虚拟路由器支持HA功能，当虚拟路由器运行的主机出现故障时，可以实现故障自动恢复，保障业务的高可靠性；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提供虚拟路由器、虚拟交换机等设备的连通性探测功能，方便在虚拟化环境中，进行相应的故障排除和恢复，能够定位到出现故障的虚拟网络设备，并且能够排查到acl策略配置错误等层面，方便快速排查问题保障业务的高连续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6、分布式防火墙能够基于虚拟机进行3-4层安全防护，以虚拟机为单位的安全策略部署，即使改变虚拟机的IP地址信息，安全策略依然生效。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7、通过License激活的方式，实现网络虚拟化功能（分布式虚拟交换机、虚拟路由器、虚拟应用防火墙、虚拟应用负载均衡）。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8、分布式防火墙基于监测虚机IP地址、MAC地址和端口进行东西向流量隔离控制。</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3A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64A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035C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1"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DF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4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超融合存储虚拟化软件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FE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1、提供存储虚拟化授权，并与超融合里面的计算虚拟化、网络虚拟化为同一厂商品牌提供，以保障超融合的兼容性，1套存储虚拟化软件包含2颗CPU授权，包含三年软件升级服务；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2、在一个统一的管理平台上激活即可开通使用，存储虚拟化与计算虚拟化为紧耦合架构，减少底层开销，提升性能，支持向导式安装，降低部署复杂度；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3、支持数据重建智能保护业务性能，可以对数据重建速度进行智能限速，避免数据重建过程中IO性能占用导致对业务的性能造成影响；</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4、支持数据自动重建机制，当主机或者磁盘故障后，自动利用集群内空闲磁盘空间，将故障数据重新恢复，快速恢复副本的完整性和冗余度，确保用户数据的可靠性和安全性；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5、支持多副本冗余功能，支持2个或以上副本，副本互斥地保存在集群的不同节点，当1个或多个主机或者磁盘故障，确保数据依旧正常访问；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6、采用分布式架构设计，由多台物理服务器组成分布式存储集群，通过新增物理服务器可以实现存储容量和性能的横向扩展（Scale-Out架构），扩容过程保证业务零中；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支持数据写入优化机制，将高速SSD作为写缓存，数据先写到SSD，再回写到机械硬盘，提升写IO性能；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7、支持一键导出虚拟机功能，实现资源一键导出；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8、支持一键还原已删除的虚拟机功能，可恢复30天内已删除的虚拟机。</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5A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4AC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7206B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A8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AD5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CDP持续数据保护软件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0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1、包含三年软件升级服务；至少包含20台虚拟机的CDP授权基础包，至少可给20台虚拟机使用；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2、持续数据保护CDP软件模块需采用无代理的方案，避免对虚拟机的稳定性和性能产生影响；</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3、内置持续数据保护CDP软件模块，能够动态的开启和关闭，比如能够提供对正在运行的虚拟机，在不需要重启或中断业务的情况下，就可以开启CDP；</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4、提供虚拟机故障隔离能力，支持内置CDP模块故障时，虚拟机仍然能够正常实现数据读写。</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8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B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套</w:t>
            </w:r>
          </w:p>
        </w:tc>
      </w:tr>
      <w:tr w14:paraId="106C0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6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B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存储网万兆交换机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BCF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1、万兆光口≥24个（不少于16个光模块）；40G光口≥2个；Console口≥1个；Manage口≥1个；包含三年软件升级服务和三年产品质保服务。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2、交换容量≥2.5Tbps/23Tbps；包转发率≥700Mpps/1200Mpps；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3、支持MAC地址≥32K，支持4K个VLAN，支持STP、RSTP、MSTP协议；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4、支持端口聚合，支持手工和静态LACP；支持堆叠；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5、支持静态路由，支持DHCP Server；</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6、支持防网关ARP欺骗，支持端口保护、隔离、防止ARP泛洪攻击功能。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7、支持IPV6</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B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6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E55E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F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C5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业务网万兆交换机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B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1、万兆光口≥24个（不少于2个光模块）；40G光口≥2个；Console口≥1个；Manage口≥1个；包含三年软件升级服务和三年产品质保服务；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2、交换容量≥2.5Tbps/23Tbps；包转发率≥700Mpps/1200Mpps；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3、支持MAC地址≥32K，支持4K个VLAN，支持STP、RSTP、MSTP协议；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4、支持端口聚合，支持手工和静态LACP；支持堆叠；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5、支持静态路由，支持DHCP Server；</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6、支持防网关ARP欺骗，支持端口保护、隔离、防止ARP泛洪攻击功能；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7、支持IPV6。</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9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D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355E1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4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5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管理网交换机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2AC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1、千兆电口≥48个，10GSFP+万兆光口≥4个（不少于2个光模块），1个Console口；包含三年软件升级服务和三年产品质保服务。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2、交换性能≥432Gbps/4.32Tbps；包转发率≥196Mpps/222Mpps；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3、支持≥32KMAC地址；支持堆叠；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4、支持静态路由、DHCP Server。</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5、支持IPV6</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8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4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5D9D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D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CA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终端准入管理系统</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DB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1、硬件配置：标准机架式服务器，日志存储不低于1TB，标配不低于2个网口，提供不低于800个地址的监控授权、管理、准入用户授权，在不改硬件配件下至少可支持通过授权的方式扩容至3000个地址，国产品牌；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2、须支持纯国产化软硬件平台，支持鲲鹏、飞腾、兆芯等国产芯片，银河麒麟、统信UOS等服务器端的操作系统。系统须支持以客户端形式对国产化操作系统终端进行检查；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3、支持自定义不同安全级别的接入事件选用不同的阻断技术进行隔离，应能够对首次接入网络的未授权终端，选用端口级阻断技术，身份授权确认后，选用应用级阻断技术；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4、支持同时基于终端的部门/终端类型/操作系统/标签和接入VLAN配置不同的准入策略，各条件之间可采用“与或”关系进行自定义组合，每条准入策略可呈现匹配的终端数量；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5、支持在达到边界级阻断效果情况下，对终端的Web Portal引导入网功能，即终端通过浏览器访问同HUB其它终端也能弹出引导页面；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6、支持在准入服务器虚拟蜜罐服务进行可疑行为监测，记录异常访问日志，管理员可自定义整体访问频率、单个服务访问频率、服务数访问频率等阈值进行告警和阻断；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7、须提供第三方阻断接口，第三方安全系统可通过此接口向准入系统下发指定IP地址或MAC地址阻断或解除阻断指令；</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8、单套系统须支持多种准入技术并行启用，不能采用修改交换机端口VLAN ID、策略路由与镜像抓包功能实现准入控制，以防造成交换机负载过高，影响正常终端的网络通信与数据交换；不安装客户端代理，实现HUB和非网管交换机环境下非法终端与合法终端的通信隔离与阻断；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9、支持记录终端所有网络接入日志，包括上线、下线、IP变更、IP冲突、接入端口变更、主机检查结果、用户认证、新终端入网、违反入网策略、被阻断、解除阻断等；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10、支持自动生成网络拓扑，支持在拓扑图上显示非法终端告警，支持自动生成交换机面板图。支持IP地址网格视图管理，能够通过图示直观的查看各网段中在线、离线、从未使用的状态；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11、支持虚拟子网+NNAT技术，针对任一办公子网均产生对应的虚拟子网，产生虚拟子网无需在交换机新建VLAN ID，无需在交换机配置虚拟子网网段。任何设备、终端接入网络首先获取虚拟IP，设备、终端通过虚拟IP进行终端注册、用户认证、桌面基线检查。认证及检查成功后获取办公子网的IP地址。终端在受限的网络访问时，通过准入服务器的NNAT技术，确保该终端所有的网络访问均需以NNAT方式进行，不能暴露终端的虚拟IP；</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12、支持三年设备免费维保。</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B2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43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38C7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9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D1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数据库管理平台</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EA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1、提供数据库运维管理软件授权*2套，数据管理平台部署实施服务*1项，包含三年软件升级服务；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2、为保障医院数据库的稳定运行和全生命周期管理以及数据库备份能力，需要提供数据库管理平台，且该软件平台能部署在医院虚拟化平台上；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图形化的数据库拓扑监控和运行状态监控，实时可视化查看数据库集群各个节点的健康情况、资源使用情况、缓存命中率、表空间使用率、内存排序率等各项性能指标，并在节点故障或指标异常时向用户发出告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4、支持结合数据库备份集、数据库快照、数据库事务日志等手段进行数据库连续备份，实现数据库备份集的时效性≤15分钟，减少数据损坏时的数据丢失量；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5、支持对数据库（需通过安全可靠测评）进行自动的周期性备份，用户可根据需要制定备份周期，以及备份集保留时长；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6、支持数据库的账号管理，包括新建和修改账号密码、为账号配置角色权限、添加细粒度对象权限（包括表、视图、存储过程）等。</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E0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A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套</w:t>
            </w:r>
          </w:p>
        </w:tc>
      </w:tr>
      <w:tr w14:paraId="1F2DF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4"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5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cs="宋体"/>
                <w:i w:val="0"/>
                <w:iCs w:val="0"/>
                <w:color w:val="auto"/>
                <w:kern w:val="0"/>
                <w:sz w:val="22"/>
                <w:szCs w:val="22"/>
                <w:highlight w:val="none"/>
                <w:u w:val="none"/>
                <w:lang w:val="en-US" w:eastAsia="zh-CN" w:bidi="ar"/>
              </w:rPr>
              <w:t>11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2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国产化数据库软件</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5A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满足本项目应用系统需求</w:t>
            </w:r>
          </w:p>
          <w:p w14:paraId="673858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需选用通过国家安全可靠测评的国产数据库</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E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15</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E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套</w:t>
            </w:r>
          </w:p>
        </w:tc>
      </w:tr>
      <w:tr w14:paraId="29A4C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0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9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小计1</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BF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auto"/>
                <w:sz w:val="24"/>
                <w:szCs w:val="24"/>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19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auto"/>
                <w:sz w:val="24"/>
                <w:szCs w:val="24"/>
                <w:u w:val="none"/>
              </w:rPr>
            </w:pPr>
          </w:p>
        </w:tc>
      </w:tr>
      <w:tr w14:paraId="1DB41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0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43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highlight w:val="none"/>
                <w:u w:val="none"/>
                <w:lang w:val="en-US" w:eastAsia="zh-CN" w:bidi="ar"/>
              </w:rPr>
              <w:t>二、其他配套设备</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DE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3E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2"/>
                <w:szCs w:val="22"/>
                <w:u w:val="none"/>
              </w:rPr>
            </w:pPr>
          </w:p>
        </w:tc>
      </w:tr>
      <w:tr w14:paraId="21450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0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B2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电子白板</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D9C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1、屏幕尺寸≥55 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2、扬声器 2x15W；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3、屏幕类型 LCD；</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4、前置接口：支持USB-C*1、USB*2、HDMI*1；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5、侧置接口：USB-A 3.0*1 (双通道), USB-A 2.0*1，HDMI*1, USB-B*1, VGA*1, RS232*1, RJ45*1, Line out*1, HDMI OUT*1；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6、分辨率：≥3840*2160；亮度：≥350cd/m²；帧频：≥60Hz；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7、图像比例：16:9；</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8、触摸技术：高精度红外；</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9、书写方式：手指、触摸笔等非透明材质物体；</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10、触摸支持点数：≥20 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11、触摸精度 ±1 mm ( 90% Active Area)；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12、网络与连接：支持WIFI、蓝牙、热点；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13、操作系统：支持Android 11；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14、CPU：四核；主频：1.2~1.53GHz；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15、额定功率 ≤560W；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16：供电电压 Vcc:5V±5％；Ia≤ 1A；</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E72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F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块</w:t>
            </w:r>
          </w:p>
        </w:tc>
      </w:tr>
      <w:tr w14:paraId="244F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8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58A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移动护理PDA</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7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1、CPU:核数≥8，频率≥2.3GHZ；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2、内存：≥4GB；</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3、存储：≥64GB；</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4、屏幕：≥5英寸；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5、分辨率：≥1280*720；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6、具备条码读取、识别功能；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7、支持4/5G网络、WIFI网络、蓝牙网络等。</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2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48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40499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0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3A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碗带打印机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63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1、打印方式：直热式；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2、分辩率：203DPI；</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3、打印速度：152MM/S；打印宽度：56MM；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4、进纸宽度：60MM；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5、接口：标配USB；</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6、选配件：切刀；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9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3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820F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9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0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移动工作站</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B5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1、内存：≥4GB，存储容量：≥64GB，配置通过安全可靠测评的操作系统；</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2、网络：WIFI，尺寸≥10.4英寸，分辨率≥2000*1200；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3、摄像头：前置≥200万像素，后置≥500万像素；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4、电池容量≥7250 mAh；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5、CPU：≥8核,≥1.8GHz，支持国产化CPU,CPU芯片必须通过安全可靠测评。</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95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A7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5222A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C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C9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轮椅秤集成接诊一体机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3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1、具备人脸识别功能（内置摄像头）、IC卡扫描及测温模块且与体重秤是一体集成；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2、接诊设备部分：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内存≥4G，存储≥32G；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操作系统≥Android9.0，网络支持：以太网、支持WiFi；</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接诊机屏幕尺寸≥12.1寸，采用电容式触摸屏；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显示分辨率≥1280*800，摄像头≥200万像素；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感应模块：测温探头。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3、体重秤部分：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最大量程（kg）≥300KG，精度（kg）≥0.1kg；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秤盘尺寸（m）≥0.8*0.8m，外形尺寸（m）≥1*1m。</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1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F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93DF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1"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C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A0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台式血压计集成接诊一体机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08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1、具备人脸识别功能（内置摄像头）、IC卡扫描及测温模块且与台式血压计是一体集成；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2、接诊设备部分：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内存≥4G，存储≥32G，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操作系统≥Android9.0，网络支持：以太网、支持WiFi，</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接诊机屏幕尺寸≥10.1寸，采用电容式触摸屏，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显示分辨率≥≥1280*800，摄像头≥200万像素，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感应模块：测温探头。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3、台式血压计部分：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测量原理：示波法或脉搏波法,测量位置：左右臂,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测量范围：血压≥0-300mmhg；脉搏≥30-200拍/min，</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显示：LCD数字显示，反转测量结果，方便体检。</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9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F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574AF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96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FE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叫号系统大屏</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31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1、内存≥2G，存储≥8G；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2、网络支持：以太网、支持 WiFi；</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3、操作系统：Android8.0及以上；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4、屏幕尺寸：≥55英寸,显示分辨率：≥1920*1080。</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5D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A2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9A2F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2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24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患者卡</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CC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支持患者数据写入，配合一体机使用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注：非一、二维码</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A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92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个</w:t>
            </w:r>
          </w:p>
        </w:tc>
      </w:tr>
      <w:tr w14:paraId="426A2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E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BE0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电脑</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FF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1、操作系统：配置通过安全可靠测评的操作系统；</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2、硬盘容量≥512g；内存容量≥16g；CPU：支持国产CPU且CPU需要满足安全可靠测评，≥8核,≥2.4GHz；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3、千兆有线网卡，含键盘鼠标；显示器≥21寸；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4、网络通信：支持以太网、WiFi6。</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B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6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6C8A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3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AB4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移动手持终端</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10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1、处理器：不低于八核，CPU主频≥2.0GHz；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2、操作系统：不低于Android9.0，可升级到10或者11；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3、显示屏幕：≥5.0英寸显示屏，支持电容式触摸，支持戴手套/带水触摸；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4、扫描照明调节：多种挡位扫描照明可调，适应不同光线环境；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5、可以根据客户需求，设置自定义管理，如登陆界面、添加应用程序、设置快捷键等；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6、可以快速配置设备信息，支持wifi自动连接，配置默认应用程序和扫码参数的设置；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7、支持WIFI传输：支持IEEE802.11a/b/g/n/ac等；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8、数据通信接口：支持TYPE C接口等，支持正反随便插拔；</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9、扫描头：Datalogic解码技术和算法授权；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10、三年质保和免费维修。</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7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57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6373E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9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25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移动急救工作站</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D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1、CPU：≥4核,≥2.3GHz，支持国产化CPU,CPU芯片必须通过安全可靠测评；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2、内存：≥8G；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3、硬盘：≥1T；</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4、显示器：≥21.5寸显示器；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5、配套通过安全可靠测评的操作系统，千兆有线网卡，含键盘鼠标。</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C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0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411D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B2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5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时钟同步服务器、子母钟</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72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1、服务器：GPS+北斗双模卫星作为授时基准，1路RJ45网络授时口，1路PPS，2路RS232，2路RS422/485，30米GPS北斗天线，客户端软件。1U，19英寸机箱；</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2、子母钟数量（1+3），功能满足医院需求。</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F3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4C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项目</w:t>
            </w:r>
          </w:p>
        </w:tc>
      </w:tr>
      <w:tr w14:paraId="29401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0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48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条码打印机</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31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1、打印方式：直接热敏；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2、分辨率：≥203dpi；</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3、打印速度：≥5英寸/s；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4、处理器：NUC976；</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5、闪存：≥16mb；</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6、标签宽度：20mm-118mm；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7、纸卷直径：最大127mm；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8、支持标准通讯接口：USB、串口、网口等；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9、支持通讯协议：HPL、TSPL、ZPL等；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10、配备智能助手管理软件，可实现快速配置、打印等；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11、一维码：Code 39,Code 93,Code 128UCC,Code 128,Codabar,Interleave 2 of 5,EAN-8,EAN-13,EAN-128,UPC-A,UPC-E,EAN/UPC（含2位或5位追加码）,MSI,PLESSEY,POSTNET,RSS-Stacked,GS1 DataBar,Code 11等；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12、二维码：PDF417,DataMatrix,QR Code,Aztec等；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13、安全规范：CCC,FCC,CE等。</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6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1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r w14:paraId="0E1E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7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A1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身份证读卡器</w:t>
            </w:r>
          </w:p>
        </w:tc>
        <w:tc>
          <w:tcPr>
            <w:tcW w:w="2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F6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1、比特率：106Kbit/s（fc/128）；</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2、调制方式：ASK调制；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3、调制系数：8％～14％；</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4、编码方式：NRZ-L；</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5、有效读卡距离≥5cm；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6、平均无故障工作时间（MTBF）≥5000小时；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7、电磁兼容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静电放电抗扰度符合GB 17626.2-1998表1规定的接触放电2级条件；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辐射抗扰度符合GB 17626.3-1998表1规定的1级条件；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8、电源电压5V±5%，采用USB接口馈电方式或者键盘PS/2接口馈电方式；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9、通讯接口：接口符合GB6107-2000接口规范；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10、尺寸（长×宽×高）≥168×90×52mm。</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3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8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highlight w:val="none"/>
                <w:u w:val="none"/>
                <w:lang w:val="en-US" w:eastAsia="zh-CN" w:bidi="ar"/>
              </w:rPr>
              <w:t>台</w:t>
            </w:r>
          </w:p>
        </w:tc>
      </w:tr>
    </w:tbl>
    <w:p w14:paraId="7BB3F942">
      <w:pPr>
        <w:pStyle w:val="2"/>
        <w:ind w:firstLine="480" w:firstLineChars="200"/>
        <w:rPr>
          <w:rFonts w:hint="eastAsia"/>
          <w:color w:val="auto"/>
        </w:rPr>
      </w:pPr>
    </w:p>
    <w:bookmarkEnd w:id="415"/>
    <w:p w14:paraId="2BA79330">
      <w:pPr>
        <w:pStyle w:val="10"/>
        <w:bidi w:val="0"/>
        <w:ind w:left="720" w:leftChars="0" w:hanging="720" w:firstLineChars="0"/>
        <w:rPr>
          <w:rFonts w:hint="eastAsia"/>
          <w:color w:val="auto"/>
          <w:lang w:val="en-US" w:eastAsia="zh-CN"/>
        </w:rPr>
      </w:pPr>
      <w:bookmarkStart w:id="416" w:name="_Toc32622"/>
      <w:r>
        <w:rPr>
          <w:rFonts w:hint="eastAsia"/>
          <w:color w:val="auto"/>
          <w:lang w:val="en-US" w:eastAsia="zh-CN"/>
        </w:rPr>
        <w:t>运行维护方案</w:t>
      </w:r>
      <w:bookmarkEnd w:id="416"/>
    </w:p>
    <w:p w14:paraId="21E98FCE">
      <w:pPr>
        <w:bidi w:val="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软件中标方需要</w:t>
      </w:r>
      <w:r>
        <w:rPr>
          <w:rFonts w:hint="eastAsia" w:ascii="宋体" w:hAnsi="宋体" w:eastAsia="宋体" w:cs="Times New Roman"/>
          <w:color w:val="auto"/>
          <w:kern w:val="2"/>
          <w:sz w:val="24"/>
          <w:szCs w:val="24"/>
          <w:lang w:val="en-US" w:eastAsia="zh-CN" w:bidi="ar-SA"/>
        </w:rPr>
        <w:t>提供</w:t>
      </w:r>
      <w:r>
        <w:rPr>
          <w:rFonts w:hint="eastAsia" w:cs="Times New Roman"/>
          <w:color w:val="auto"/>
          <w:kern w:val="2"/>
          <w:sz w:val="24"/>
          <w:szCs w:val="24"/>
          <w:lang w:val="en-US" w:eastAsia="zh-CN" w:bidi="ar-SA"/>
        </w:rPr>
        <w:t>至少3</w:t>
      </w:r>
      <w:r>
        <w:rPr>
          <w:rFonts w:hint="eastAsia" w:ascii="宋体" w:hAnsi="宋体" w:eastAsia="宋体" w:cs="Times New Roman"/>
          <w:color w:val="auto"/>
          <w:kern w:val="2"/>
          <w:sz w:val="24"/>
          <w:szCs w:val="24"/>
          <w:lang w:val="en-US" w:eastAsia="zh-CN" w:bidi="ar-SA"/>
        </w:rPr>
        <w:t>年免费保修运维服务，质保期结束后由</w:t>
      </w:r>
      <w:r>
        <w:rPr>
          <w:rFonts w:hint="eastAsia" w:cs="Times New Roman"/>
          <w:color w:val="auto"/>
          <w:kern w:val="2"/>
          <w:sz w:val="24"/>
          <w:szCs w:val="24"/>
          <w:lang w:val="en-US" w:eastAsia="zh-CN" w:bidi="ar-SA"/>
        </w:rPr>
        <w:t>樟树市人民医院</w:t>
      </w:r>
      <w:r>
        <w:rPr>
          <w:rFonts w:hint="eastAsia" w:ascii="宋体" w:hAnsi="宋体" w:eastAsia="宋体" w:cs="Times New Roman"/>
          <w:color w:val="auto"/>
          <w:kern w:val="2"/>
          <w:sz w:val="24"/>
          <w:szCs w:val="24"/>
          <w:lang w:val="en-US" w:eastAsia="zh-CN" w:bidi="ar-SA"/>
        </w:rPr>
        <w:t>按相关流程明确运维单位</w:t>
      </w:r>
      <w:r>
        <w:rPr>
          <w:rFonts w:hint="eastAsia" w:cs="Times New Roman"/>
          <w:color w:val="auto"/>
          <w:kern w:val="2"/>
          <w:sz w:val="24"/>
          <w:szCs w:val="24"/>
          <w:lang w:val="en-US" w:eastAsia="zh-CN" w:bidi="ar-SA"/>
        </w:rPr>
        <w:t>、签订运维合同及工作内容</w:t>
      </w:r>
      <w:r>
        <w:rPr>
          <w:rFonts w:hint="eastAsia" w:ascii="宋体" w:hAnsi="宋体" w:eastAsia="宋体" w:cs="Times New Roman"/>
          <w:color w:val="auto"/>
          <w:kern w:val="2"/>
          <w:sz w:val="24"/>
          <w:szCs w:val="24"/>
          <w:lang w:val="en-US" w:eastAsia="zh-CN" w:bidi="ar-SA"/>
        </w:rPr>
        <w:t>。</w:t>
      </w:r>
    </w:p>
    <w:p w14:paraId="1CBBAC7C">
      <w:pPr>
        <w:bidi w:val="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运维工作</w:t>
      </w:r>
      <w:r>
        <w:rPr>
          <w:rFonts w:hint="eastAsia" w:cs="Times New Roman"/>
          <w:color w:val="auto"/>
          <w:kern w:val="2"/>
          <w:sz w:val="24"/>
          <w:szCs w:val="24"/>
          <w:lang w:val="en-US" w:eastAsia="zh-CN" w:bidi="ar-SA"/>
        </w:rPr>
        <w:t>应</w:t>
      </w:r>
      <w:r>
        <w:rPr>
          <w:rFonts w:hint="eastAsia" w:ascii="宋体" w:hAnsi="宋体" w:eastAsia="宋体" w:cs="Times New Roman"/>
          <w:color w:val="auto"/>
          <w:kern w:val="2"/>
          <w:sz w:val="24"/>
          <w:szCs w:val="24"/>
          <w:lang w:val="en-US" w:eastAsia="zh-CN" w:bidi="ar-SA"/>
        </w:rPr>
        <w:t>包括：</w:t>
      </w:r>
    </w:p>
    <w:p w14:paraId="6CCE42F8">
      <w:pPr>
        <w:bidi w:val="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负责软</w:t>
      </w:r>
      <w:r>
        <w:rPr>
          <w:rFonts w:hint="eastAsia" w:cs="Times New Roman"/>
          <w:color w:val="auto"/>
          <w:kern w:val="2"/>
          <w:sz w:val="24"/>
          <w:szCs w:val="24"/>
          <w:lang w:val="en-US" w:eastAsia="zh-CN" w:bidi="ar-SA"/>
        </w:rPr>
        <w:t>件系统及硬</w:t>
      </w:r>
      <w:r>
        <w:rPr>
          <w:rFonts w:hint="eastAsia" w:ascii="宋体" w:hAnsi="宋体" w:eastAsia="宋体" w:cs="Times New Roman"/>
          <w:color w:val="auto"/>
          <w:kern w:val="2"/>
          <w:sz w:val="24"/>
          <w:szCs w:val="24"/>
          <w:lang w:val="en-US" w:eastAsia="zh-CN" w:bidi="ar-SA"/>
        </w:rPr>
        <w:t>件</w:t>
      </w:r>
      <w:r>
        <w:rPr>
          <w:rFonts w:hint="eastAsia" w:cs="Times New Roman"/>
          <w:color w:val="auto"/>
          <w:kern w:val="2"/>
          <w:sz w:val="24"/>
          <w:szCs w:val="24"/>
          <w:lang w:val="en-US" w:eastAsia="zh-CN" w:bidi="ar-SA"/>
        </w:rPr>
        <w:t>设备</w:t>
      </w:r>
      <w:r>
        <w:rPr>
          <w:rFonts w:hint="eastAsia" w:ascii="宋体" w:hAnsi="宋体" w:eastAsia="宋体" w:cs="Times New Roman"/>
          <w:color w:val="auto"/>
          <w:kern w:val="2"/>
          <w:sz w:val="24"/>
          <w:szCs w:val="24"/>
          <w:lang w:val="en-US" w:eastAsia="zh-CN" w:bidi="ar-SA"/>
        </w:rPr>
        <w:t>的正常运行与维护工作；</w:t>
      </w:r>
    </w:p>
    <w:p w14:paraId="4DC38E74">
      <w:pPr>
        <w:bidi w:val="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负责系统资源的安全、完整和有效利用，</w:t>
      </w:r>
      <w:r>
        <w:rPr>
          <w:rFonts w:hint="eastAsia" w:cs="Times New Roman"/>
          <w:color w:val="auto"/>
          <w:kern w:val="2"/>
          <w:sz w:val="24"/>
          <w:szCs w:val="24"/>
          <w:lang w:val="en-US" w:eastAsia="zh-CN" w:bidi="ar-SA"/>
        </w:rPr>
        <w:t>支持</w:t>
      </w:r>
      <w:r>
        <w:rPr>
          <w:rFonts w:hint="eastAsia" w:ascii="宋体" w:hAnsi="宋体" w:eastAsia="宋体" w:cs="Times New Roman"/>
          <w:color w:val="auto"/>
          <w:kern w:val="2"/>
          <w:sz w:val="24"/>
          <w:szCs w:val="24"/>
          <w:lang w:val="en-US" w:eastAsia="zh-CN" w:bidi="ar-SA"/>
        </w:rPr>
        <w:t>数据备份；</w:t>
      </w:r>
    </w:p>
    <w:p w14:paraId="1CA28EAD">
      <w:pPr>
        <w:bidi w:val="0"/>
        <w:rPr>
          <w:rFonts w:hint="eastAsia"/>
          <w:color w:val="auto"/>
          <w:lang w:val="en-US" w:eastAsia="zh-CN"/>
        </w:rPr>
      </w:pPr>
      <w:r>
        <w:rPr>
          <w:rFonts w:hint="eastAsia" w:ascii="宋体" w:hAnsi="宋体" w:eastAsia="宋体" w:cs="Times New Roman"/>
          <w:color w:val="auto"/>
          <w:kern w:val="2"/>
          <w:sz w:val="24"/>
          <w:szCs w:val="24"/>
          <w:lang w:val="en-US" w:eastAsia="zh-CN" w:bidi="ar-SA"/>
        </w:rPr>
        <w:t>组织应用软件的培训工作，负责业务范围内应用软件的推广使用。</w:t>
      </w:r>
    </w:p>
    <w:p w14:paraId="4C0A4BD1">
      <w:pPr>
        <w:pStyle w:val="10"/>
        <w:bidi w:val="0"/>
        <w:ind w:left="720" w:leftChars="0" w:hanging="720" w:firstLineChars="0"/>
        <w:rPr>
          <w:rFonts w:hint="eastAsia"/>
          <w:color w:val="auto"/>
          <w:lang w:val="en-US" w:eastAsia="zh-CN"/>
        </w:rPr>
      </w:pPr>
      <w:bookmarkStart w:id="417" w:name="_Toc18960"/>
      <w:r>
        <w:rPr>
          <w:rFonts w:hint="eastAsia"/>
          <w:color w:val="auto"/>
          <w:lang w:val="en-US" w:eastAsia="zh-CN"/>
        </w:rPr>
        <w:t>数据备份及存储</w:t>
      </w:r>
      <w:bookmarkEnd w:id="417"/>
    </w:p>
    <w:p w14:paraId="49D09CAB">
      <w:pPr>
        <w:bidi w:val="0"/>
        <w:rPr>
          <w:rFonts w:hint="default" w:cstheme="minorEastAsia"/>
          <w:b/>
          <w:bCs/>
          <w:color w:val="auto"/>
          <w:sz w:val="24"/>
          <w:szCs w:val="24"/>
          <w:lang w:val="en-US" w:eastAsia="zh-CN"/>
        </w:rPr>
      </w:pPr>
      <w:r>
        <w:rPr>
          <w:rFonts w:hint="eastAsia" w:cstheme="minorEastAsia"/>
          <w:b/>
          <w:bCs/>
          <w:color w:val="auto"/>
          <w:sz w:val="24"/>
          <w:szCs w:val="24"/>
          <w:lang w:val="en-US" w:eastAsia="zh-CN"/>
        </w:rPr>
        <w:t>数据中心应满足以下存储需求：</w:t>
      </w:r>
    </w:p>
    <w:p w14:paraId="508EE06E">
      <w:pPr>
        <w:bidi w:val="0"/>
        <w:rPr>
          <w:rFonts w:hint="eastAsia" w:cstheme="minorEastAsia"/>
          <w:color w:val="auto"/>
          <w:sz w:val="24"/>
          <w:szCs w:val="24"/>
          <w:lang w:val="en-US" w:eastAsia="zh-CN"/>
        </w:rPr>
      </w:pPr>
      <w:r>
        <w:rPr>
          <w:rFonts w:hint="eastAsia" w:cstheme="minorEastAsia"/>
          <w:color w:val="auto"/>
          <w:sz w:val="24"/>
          <w:szCs w:val="24"/>
          <w:lang w:val="en-US" w:eastAsia="zh-CN"/>
        </w:rPr>
        <w:t>1.数据中心结构化存储容量</w:t>
      </w:r>
    </w:p>
    <w:p w14:paraId="0C61AF5B">
      <w:pPr>
        <w:bidi w:val="0"/>
        <w:rPr>
          <w:rFonts w:hint="eastAsia" w:cstheme="minorEastAsia"/>
          <w:color w:val="auto"/>
          <w:sz w:val="24"/>
          <w:szCs w:val="24"/>
          <w:lang w:val="en-US" w:eastAsia="zh-CN"/>
        </w:rPr>
      </w:pPr>
      <w:r>
        <w:rPr>
          <w:rFonts w:hint="eastAsia" w:cstheme="minorEastAsia"/>
          <w:color w:val="auto"/>
          <w:sz w:val="24"/>
          <w:szCs w:val="24"/>
          <w:lang w:val="en-US" w:eastAsia="zh-CN"/>
        </w:rPr>
        <w:t>数据中心双活存储中主要存储的资源包括业务系统以及业务系统所产生的结构化数据。依据前期调研结果：</w:t>
      </w:r>
    </w:p>
    <w:p w14:paraId="7BC51DDF">
      <w:pPr>
        <w:bidi w:val="0"/>
        <w:rPr>
          <w:rFonts w:hint="eastAsia" w:cstheme="minorEastAsia"/>
          <w:color w:val="auto"/>
          <w:sz w:val="24"/>
          <w:szCs w:val="24"/>
          <w:lang w:val="en-US" w:eastAsia="zh-CN"/>
        </w:rPr>
      </w:pPr>
      <w:r>
        <w:rPr>
          <w:rFonts w:hint="eastAsia" w:cstheme="minorEastAsia"/>
          <w:color w:val="auto"/>
          <w:sz w:val="24"/>
          <w:szCs w:val="24"/>
          <w:lang w:val="en-US" w:eastAsia="zh-CN"/>
        </w:rPr>
        <w:t>现有结构化存储1T，年增量：300G；</w:t>
      </w:r>
    </w:p>
    <w:p w14:paraId="2CB02E15">
      <w:pPr>
        <w:bidi w:val="0"/>
        <w:rPr>
          <w:rFonts w:hint="eastAsia" w:cstheme="minorEastAsia"/>
          <w:color w:val="auto"/>
          <w:sz w:val="24"/>
          <w:szCs w:val="24"/>
          <w:lang w:val="en-US" w:eastAsia="zh-CN"/>
        </w:rPr>
      </w:pPr>
      <w:r>
        <w:rPr>
          <w:rFonts w:hint="eastAsia" w:cstheme="minorEastAsia"/>
          <w:color w:val="auto"/>
          <w:sz w:val="24"/>
          <w:szCs w:val="24"/>
          <w:lang w:val="en-US" w:eastAsia="zh-CN"/>
        </w:rPr>
        <w:t>本次信息化建设按照医院三年内的发展需求，预计需要存储量为：</w:t>
      </w:r>
    </w:p>
    <w:p w14:paraId="706F412C">
      <w:pPr>
        <w:ind w:firstLine="480"/>
        <w:rPr>
          <w:rFonts w:hint="eastAsia"/>
          <w:color w:val="auto"/>
          <w:lang w:val="en-US" w:eastAsia="zh-CN"/>
        </w:rPr>
      </w:pPr>
      <w:r>
        <w:rPr>
          <w:rFonts w:hint="eastAsia" w:ascii="宋体" w:hAnsi="宋体" w:eastAsia="宋体" w:cstheme="minorEastAsia"/>
          <w:color w:val="auto"/>
          <w:sz w:val="24"/>
          <w:szCs w:val="24"/>
          <w:lang w:val="en-US" w:eastAsia="zh-CN"/>
        </w:rPr>
        <w:t>1TB+(300G/1024+300G/1024*1.2+300G/1024*1.2²)≈2.07TB</w:t>
      </w:r>
      <w:r>
        <w:rPr>
          <w:rFonts w:hint="eastAsia"/>
          <w:color w:val="auto"/>
        </w:rPr>
        <w:t>；</w:t>
      </w:r>
    </w:p>
    <w:p w14:paraId="02948CDF">
      <w:pPr>
        <w:bidi w:val="0"/>
        <w:rPr>
          <w:rFonts w:hint="eastAsia" w:cstheme="minorEastAsia"/>
          <w:color w:val="auto"/>
          <w:sz w:val="24"/>
          <w:szCs w:val="24"/>
          <w:lang w:val="en-US" w:eastAsia="zh-CN"/>
        </w:rPr>
      </w:pPr>
      <w:r>
        <w:rPr>
          <w:rFonts w:hint="eastAsia" w:cstheme="minorEastAsia"/>
          <w:color w:val="auto"/>
          <w:sz w:val="24"/>
          <w:szCs w:val="24"/>
          <w:lang w:val="en-US" w:eastAsia="zh-CN"/>
        </w:rPr>
        <w:t>数据中心非结构化存储容量计算</w:t>
      </w:r>
    </w:p>
    <w:p w14:paraId="6384C36B">
      <w:pPr>
        <w:bidi w:val="0"/>
        <w:rPr>
          <w:rFonts w:hint="eastAsia" w:cstheme="minorEastAsia"/>
          <w:color w:val="auto"/>
          <w:sz w:val="24"/>
          <w:szCs w:val="24"/>
          <w:lang w:val="en-US" w:eastAsia="zh-CN"/>
        </w:rPr>
      </w:pPr>
      <w:r>
        <w:rPr>
          <w:rFonts w:hint="eastAsia" w:cstheme="minorEastAsia"/>
          <w:color w:val="auto"/>
          <w:sz w:val="24"/>
          <w:szCs w:val="24"/>
          <w:lang w:val="en-US" w:eastAsia="zh-CN"/>
        </w:rPr>
        <w:t>非结构化数据量25T，年增量：3T；</w:t>
      </w:r>
    </w:p>
    <w:p w14:paraId="73E43082">
      <w:pPr>
        <w:bidi w:val="0"/>
        <w:rPr>
          <w:rFonts w:hint="eastAsia" w:cstheme="minorEastAsia"/>
          <w:color w:val="auto"/>
          <w:sz w:val="24"/>
          <w:szCs w:val="24"/>
          <w:lang w:val="en-US" w:eastAsia="zh-CN"/>
        </w:rPr>
      </w:pPr>
      <w:r>
        <w:rPr>
          <w:rFonts w:hint="eastAsia" w:cstheme="minorEastAsia"/>
          <w:color w:val="auto"/>
          <w:sz w:val="24"/>
          <w:szCs w:val="24"/>
          <w:lang w:val="en-US" w:eastAsia="zh-CN"/>
        </w:rPr>
        <w:t>按照三年内的发展要求，非结构化存储所需存储量为：</w:t>
      </w:r>
    </w:p>
    <w:p w14:paraId="3662C29A">
      <w:pPr>
        <w:bidi w:val="0"/>
        <w:rPr>
          <w:rFonts w:hint="eastAsia"/>
          <w:color w:val="auto"/>
          <w:lang w:val="en-US" w:eastAsia="zh-CN"/>
        </w:rPr>
      </w:pPr>
      <w:r>
        <w:rPr>
          <w:rFonts w:hint="eastAsia" w:ascii="宋体" w:hAnsi="宋体" w:eastAsia="宋体" w:cstheme="minorEastAsia"/>
          <w:color w:val="auto"/>
          <w:sz w:val="24"/>
          <w:szCs w:val="24"/>
          <w:lang w:val="en-US" w:eastAsia="zh-CN"/>
        </w:rPr>
        <w:t>25TB+（3TB+3TB*1.2+3TB*1.2²）≈35.92TB。</w:t>
      </w:r>
    </w:p>
    <w:p w14:paraId="758B3B6F">
      <w:pPr>
        <w:bidi w:val="0"/>
        <w:rPr>
          <w:rFonts w:hint="eastAsia" w:ascii="宋体" w:hAnsi="宋体" w:eastAsia="宋体" w:cstheme="minorEastAsia"/>
          <w:color w:val="auto"/>
          <w:sz w:val="24"/>
          <w:szCs w:val="24"/>
          <w:lang w:val="en-US" w:eastAsia="zh-CN"/>
        </w:rPr>
      </w:pPr>
      <w:r>
        <w:rPr>
          <w:rFonts w:hint="eastAsia" w:ascii="宋体" w:hAnsi="宋体" w:eastAsia="宋体" w:cstheme="minorEastAsia"/>
          <w:color w:val="auto"/>
          <w:sz w:val="24"/>
          <w:szCs w:val="24"/>
          <w:lang w:val="en-US" w:eastAsia="zh-CN"/>
        </w:rPr>
        <w:t>本次工程建设过程中，对业务系统的数据进行备份管理是数据安全的重点内容。备份数据的方式考虑全部备份和增量备份结合的方式，备份策略为“每天增量备份、每周一次全库备份、每月循环备份”，基于此，本次工程备份数据约为数据量估算4倍左右，即需要新增备份数据介质1</w:t>
      </w:r>
      <w:r>
        <w:rPr>
          <w:rFonts w:hint="eastAsia" w:cstheme="minorEastAsia"/>
          <w:color w:val="auto"/>
          <w:sz w:val="24"/>
          <w:szCs w:val="24"/>
          <w:lang w:val="en-US" w:eastAsia="zh-CN"/>
        </w:rPr>
        <w:t>43.68</w:t>
      </w:r>
      <w:r>
        <w:rPr>
          <w:rFonts w:hint="eastAsia" w:ascii="宋体" w:hAnsi="宋体" w:eastAsia="宋体" w:cstheme="minorEastAsia"/>
          <w:color w:val="auto"/>
          <w:sz w:val="24"/>
          <w:szCs w:val="24"/>
          <w:lang w:val="en-US" w:eastAsia="zh-CN"/>
        </w:rPr>
        <w:t>TB。</w:t>
      </w:r>
    </w:p>
    <w:p w14:paraId="1F812D34">
      <w:pPr>
        <w:pStyle w:val="10"/>
        <w:rPr>
          <w:color w:val="auto"/>
          <w:highlight w:val="none"/>
        </w:rPr>
      </w:pPr>
      <w:bookmarkStart w:id="418" w:name="_Toc17233"/>
      <w:bookmarkStart w:id="419" w:name="_Toc2937"/>
      <w:r>
        <w:rPr>
          <w:rFonts w:hint="eastAsia"/>
          <w:color w:val="auto"/>
          <w:highlight w:val="none"/>
        </w:rPr>
        <w:t>国产化要求</w:t>
      </w:r>
      <w:bookmarkEnd w:id="418"/>
      <w:bookmarkEnd w:id="419"/>
    </w:p>
    <w:p w14:paraId="5F92A85C">
      <w:pPr>
        <w:bidi w:val="0"/>
        <w:rPr>
          <w:rFonts w:hint="eastAsia"/>
          <w:b w:val="0"/>
          <w:bCs w:val="0"/>
          <w:color w:val="auto"/>
          <w:lang w:val="en-US" w:eastAsia="zh-CN"/>
        </w:rPr>
      </w:pPr>
      <w:r>
        <w:rPr>
          <w:rFonts w:hint="eastAsia"/>
          <w:b w:val="0"/>
          <w:bCs w:val="0"/>
          <w:color w:val="auto"/>
          <w:lang w:val="en-US" w:eastAsia="zh-CN"/>
        </w:rPr>
        <w:t>为全面落实国家信创要求，本项目所涉及的</w:t>
      </w:r>
      <w:r>
        <w:rPr>
          <w:rFonts w:hint="default"/>
          <w:b w:val="0"/>
          <w:bCs w:val="0"/>
          <w:color w:val="auto"/>
          <w:lang w:val="en-US" w:eastAsia="zh-CN"/>
        </w:rPr>
        <w:t>服务器</w:t>
      </w:r>
      <w:r>
        <w:rPr>
          <w:rFonts w:hint="eastAsia"/>
          <w:b w:val="0"/>
          <w:bCs w:val="0"/>
          <w:color w:val="auto"/>
          <w:lang w:val="en-US" w:eastAsia="zh-CN"/>
        </w:rPr>
        <w:t>操作系统</w:t>
      </w:r>
      <w:r>
        <w:rPr>
          <w:rFonts w:hint="default"/>
          <w:b w:val="0"/>
          <w:bCs w:val="0"/>
          <w:color w:val="auto"/>
          <w:lang w:val="en-US" w:eastAsia="zh-CN"/>
        </w:rPr>
        <w:t>、</w:t>
      </w:r>
      <w:r>
        <w:rPr>
          <w:rFonts w:hint="eastAsia"/>
          <w:b w:val="0"/>
          <w:bCs w:val="0"/>
          <w:color w:val="auto"/>
          <w:lang w:val="en-US" w:eastAsia="zh-CN"/>
        </w:rPr>
        <w:t>数据库、</w:t>
      </w:r>
      <w:r>
        <w:rPr>
          <w:rFonts w:hint="default"/>
          <w:b w:val="0"/>
          <w:bCs w:val="0"/>
          <w:color w:val="auto"/>
          <w:lang w:val="en-US" w:eastAsia="zh-CN"/>
        </w:rPr>
        <w:t>终端设备及</w:t>
      </w:r>
      <w:r>
        <w:rPr>
          <w:rFonts w:hint="eastAsia"/>
          <w:b w:val="0"/>
          <w:bCs w:val="0"/>
          <w:color w:val="auto"/>
          <w:lang w:val="en-US" w:eastAsia="zh-CN"/>
        </w:rPr>
        <w:t>CPU</w:t>
      </w:r>
      <w:r>
        <w:rPr>
          <w:rFonts w:hint="default"/>
          <w:b w:val="0"/>
          <w:bCs w:val="0"/>
          <w:color w:val="auto"/>
          <w:lang w:val="en-US" w:eastAsia="zh-CN"/>
        </w:rPr>
        <w:t>核心组件</w:t>
      </w:r>
      <w:r>
        <w:rPr>
          <w:rFonts w:hint="eastAsia"/>
          <w:b w:val="0"/>
          <w:bCs w:val="0"/>
          <w:color w:val="auto"/>
          <w:lang w:val="en-US" w:eastAsia="zh-CN"/>
        </w:rPr>
        <w:t>等</w:t>
      </w:r>
      <w:r>
        <w:rPr>
          <w:rFonts w:hint="default"/>
          <w:b w:val="0"/>
          <w:bCs w:val="0"/>
          <w:color w:val="auto"/>
          <w:lang w:val="en-US" w:eastAsia="zh-CN"/>
        </w:rPr>
        <w:t>均须符合安全可靠测评标准，构建安全、稳定、自主可控的医疗信息化基础平台，保障医院核心业务系统的长期可靠运行</w:t>
      </w:r>
      <w:r>
        <w:rPr>
          <w:rFonts w:hint="eastAsia"/>
          <w:b w:val="0"/>
          <w:bCs w:val="0"/>
          <w:color w:val="auto"/>
          <w:lang w:val="en-US" w:eastAsia="zh-CN"/>
        </w:rPr>
        <w:t>。</w:t>
      </w:r>
    </w:p>
    <w:p w14:paraId="1A29C25B">
      <w:pPr>
        <w:pStyle w:val="4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color w:val="auto"/>
          <w:highlight w:val="none"/>
          <w:lang w:val="en-US" w:eastAsia="zh-CN"/>
        </w:rPr>
      </w:pPr>
      <w:r>
        <w:rPr>
          <w:rFonts w:hint="default" w:ascii="宋体" w:hAnsi="宋体" w:eastAsia="宋体" w:cs="Times New Roman"/>
          <w:b w:val="0"/>
          <w:bCs w:val="0"/>
          <w:color w:val="auto"/>
          <w:kern w:val="2"/>
          <w:sz w:val="24"/>
          <w:szCs w:val="24"/>
          <w:highlight w:val="none"/>
          <w:lang w:val="en-US" w:eastAsia="zh-CN" w:bidi="ar-SA"/>
        </w:rPr>
        <w:t>根据国家关于新建、升级、改造的数字化项目须全面落实安全可靠要求的规定，</w:t>
      </w:r>
      <w:r>
        <w:rPr>
          <w:rFonts w:hint="default" w:ascii="宋体" w:hAnsi="宋体" w:eastAsia="宋体" w:cs="Times New Roman"/>
          <w:b/>
          <w:bCs/>
          <w:color w:val="auto"/>
          <w:kern w:val="2"/>
          <w:sz w:val="24"/>
          <w:szCs w:val="24"/>
          <w:highlight w:val="none"/>
          <w:lang w:val="en-US" w:eastAsia="zh-CN" w:bidi="ar-SA"/>
        </w:rPr>
        <w:t>本项目涉及的协同办公系统(OA)、医院门户系统以及核心医疗信息系统(HIS、LIS、PACS)等所有信息管理系统，均将在本次项目建设/升级/改造过程中</w:t>
      </w:r>
      <w:r>
        <w:rPr>
          <w:rFonts w:hint="eastAsia" w:cs="Times New Roman"/>
          <w:b/>
          <w:bCs/>
          <w:color w:val="auto"/>
          <w:kern w:val="2"/>
          <w:sz w:val="24"/>
          <w:szCs w:val="24"/>
          <w:highlight w:val="none"/>
          <w:lang w:val="en-US" w:eastAsia="zh-CN" w:bidi="ar-SA"/>
        </w:rPr>
        <w:t>落实安全可靠要求</w:t>
      </w:r>
      <w:r>
        <w:rPr>
          <w:rFonts w:hint="default" w:ascii="宋体" w:hAnsi="宋体" w:eastAsia="宋体" w:cs="Times New Roman"/>
          <w:b/>
          <w:bCs/>
          <w:color w:val="auto"/>
          <w:kern w:val="2"/>
          <w:sz w:val="24"/>
          <w:szCs w:val="24"/>
          <w:highlight w:val="none"/>
          <w:lang w:val="en-US" w:eastAsia="zh-CN" w:bidi="ar-SA"/>
        </w:rPr>
        <w:t>。</w:t>
      </w:r>
    </w:p>
    <w:p w14:paraId="1996C3AA">
      <w:pPr>
        <w:pStyle w:val="6"/>
        <w:bidi w:val="0"/>
        <w:ind w:left="575" w:leftChars="0" w:hanging="575" w:firstLineChars="0"/>
        <w:rPr>
          <w:rFonts w:hint="eastAsia"/>
          <w:color w:val="auto"/>
          <w:lang w:val="en-US" w:eastAsia="zh-CN"/>
        </w:rPr>
      </w:pPr>
      <w:bookmarkStart w:id="420" w:name="_Toc32447"/>
      <w:r>
        <w:rPr>
          <w:rFonts w:hint="eastAsia"/>
          <w:color w:val="auto"/>
          <w:lang w:val="en-US" w:eastAsia="zh-CN"/>
        </w:rPr>
        <w:t>信息安全保障及密码应用</w:t>
      </w:r>
      <w:bookmarkEnd w:id="71"/>
      <w:r>
        <w:rPr>
          <w:rFonts w:hint="eastAsia"/>
          <w:color w:val="auto"/>
          <w:lang w:val="en-US" w:eastAsia="zh-CN"/>
        </w:rPr>
        <w:t>方案</w:t>
      </w:r>
      <w:bookmarkEnd w:id="420"/>
    </w:p>
    <w:p w14:paraId="3B3E5167">
      <w:pPr>
        <w:pStyle w:val="10"/>
        <w:bidi w:val="0"/>
        <w:ind w:left="720" w:leftChars="0" w:hanging="720" w:firstLineChars="0"/>
        <w:rPr>
          <w:rFonts w:hint="eastAsia" w:ascii="宋体" w:hAnsi="宋体" w:eastAsia="宋体" w:cs="Times New Roman"/>
          <w:color w:val="auto"/>
          <w:kern w:val="2"/>
          <w:sz w:val="24"/>
          <w:szCs w:val="24"/>
          <w:highlight w:val="none"/>
          <w:lang w:val="en-US" w:eastAsia="zh-CN" w:bidi="ar-SA"/>
        </w:rPr>
      </w:pPr>
      <w:bookmarkStart w:id="421" w:name="_Toc27678"/>
      <w:r>
        <w:rPr>
          <w:rFonts w:hint="eastAsia"/>
          <w:color w:val="auto"/>
        </w:rPr>
        <w:t>安全架构图</w:t>
      </w:r>
      <w:bookmarkEnd w:id="421"/>
    </w:p>
    <w:p w14:paraId="0EF69A80">
      <w:pPr>
        <w:pStyle w:val="2"/>
        <w:jc w:val="center"/>
        <w:rPr>
          <w:color w:val="auto"/>
        </w:rPr>
      </w:pPr>
      <w:r>
        <w:rPr>
          <w:color w:val="auto"/>
        </w:rPr>
        <w:drawing>
          <wp:inline distT="0" distB="0" distL="114300" distR="114300">
            <wp:extent cx="5080000" cy="579120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7"/>
                    <a:stretch>
                      <a:fillRect/>
                    </a:stretch>
                  </pic:blipFill>
                  <pic:spPr>
                    <a:xfrm>
                      <a:off x="0" y="0"/>
                      <a:ext cx="5080000" cy="5791200"/>
                    </a:xfrm>
                    <a:prstGeom prst="rect">
                      <a:avLst/>
                    </a:prstGeom>
                    <a:noFill/>
                    <a:ln>
                      <a:noFill/>
                    </a:ln>
                  </pic:spPr>
                </pic:pic>
              </a:graphicData>
            </a:graphic>
          </wp:inline>
        </w:drawing>
      </w:r>
    </w:p>
    <w:p w14:paraId="5BAA2E78">
      <w:pPr>
        <w:pStyle w:val="21"/>
        <w:rPr>
          <w:rFonts w:hint="eastAsia" w:eastAsia="宋体"/>
          <w:color w:val="auto"/>
          <w:lang w:val="en-US"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4</w:t>
      </w:r>
      <w:r>
        <w:rPr>
          <w:color w:val="auto"/>
        </w:rPr>
        <w:fldChar w:fldCharType="end"/>
      </w:r>
      <w:r>
        <w:rPr>
          <w:rFonts w:hint="eastAsia"/>
          <w:color w:val="auto"/>
          <w:lang w:eastAsia="zh-CN"/>
        </w:rPr>
        <w:t>安全架构图</w:t>
      </w:r>
    </w:p>
    <w:p w14:paraId="7DD43D43">
      <w:pPr>
        <w:keepNext w:val="0"/>
        <w:keepLines w:val="0"/>
        <w:pageBreakBefore w:val="0"/>
        <w:widowControl w:val="0"/>
        <w:numPr>
          <w:ilvl w:val="0"/>
          <w:numId w:val="239"/>
        </w:numPr>
        <w:kinsoku/>
        <w:wordWrap/>
        <w:overflowPunct/>
        <w:topLinePunct w:val="0"/>
        <w:autoSpaceDE/>
        <w:autoSpaceDN/>
        <w:bidi w:val="0"/>
        <w:adjustRightInd/>
        <w:snapToGrid/>
        <w:ind w:left="0" w:leftChars="0" w:firstLine="482" w:firstLineChars="200"/>
        <w:textAlignment w:val="auto"/>
        <w:rPr>
          <w:rFonts w:hint="eastAsia"/>
          <w:b/>
          <w:bCs/>
          <w:color w:val="auto"/>
          <w:lang w:val="en-US" w:eastAsia="zh-CN"/>
        </w:rPr>
      </w:pPr>
      <w:r>
        <w:rPr>
          <w:rFonts w:hint="eastAsia"/>
          <w:b/>
          <w:bCs/>
          <w:color w:val="auto"/>
          <w:lang w:val="en-US" w:eastAsia="zh-CN"/>
        </w:rPr>
        <w:t>安全管理中心</w:t>
      </w:r>
    </w:p>
    <w:p w14:paraId="24D47EFE">
      <w:pPr>
        <w:bidi w:val="0"/>
        <w:rPr>
          <w:rFonts w:hint="eastAsia"/>
          <w:b w:val="0"/>
          <w:bCs w:val="0"/>
          <w:color w:val="auto"/>
          <w:lang w:val="en-US" w:eastAsia="zh-CN"/>
        </w:rPr>
      </w:pPr>
      <w:r>
        <w:rPr>
          <w:rFonts w:hint="eastAsia"/>
          <w:color w:val="auto"/>
          <w:lang w:val="en-US" w:eastAsia="zh-CN"/>
        </w:rPr>
        <w:t>安全管理中心是整个等级保护体系中对信息系统进行集中安全管理的平台，是信息系统做到可测、可控、可管理的必要手段和措施。依照GB/T25070-2010 信息系统等级保护安全设计技术要求中对安全管理中心的要求，一个符合基于可信计算和主动防御的等级保护体系模型的安全管理中心应</w:t>
      </w:r>
      <w:r>
        <w:rPr>
          <w:rFonts w:hint="eastAsia"/>
          <w:b w:val="0"/>
          <w:bCs w:val="0"/>
          <w:color w:val="auto"/>
          <w:lang w:val="en-US" w:eastAsia="zh-CN"/>
        </w:rPr>
        <w:t>至少包含以下三个部分：系统管理、安全管理、审计管理。</w:t>
      </w:r>
    </w:p>
    <w:p w14:paraId="33F196D8">
      <w:pPr>
        <w:keepNext w:val="0"/>
        <w:keepLines w:val="0"/>
        <w:pageBreakBefore w:val="0"/>
        <w:widowControl w:val="0"/>
        <w:numPr>
          <w:ilvl w:val="0"/>
          <w:numId w:val="239"/>
        </w:numPr>
        <w:kinsoku/>
        <w:wordWrap/>
        <w:overflowPunct/>
        <w:topLinePunct w:val="0"/>
        <w:autoSpaceDE/>
        <w:autoSpaceDN/>
        <w:bidi w:val="0"/>
        <w:adjustRightInd/>
        <w:snapToGrid/>
        <w:ind w:left="0" w:leftChars="0" w:firstLine="482" w:firstLineChars="200"/>
        <w:textAlignment w:val="auto"/>
        <w:rPr>
          <w:rFonts w:hint="eastAsia"/>
          <w:b/>
          <w:bCs/>
          <w:color w:val="auto"/>
          <w:lang w:val="en-US" w:eastAsia="zh-CN"/>
        </w:rPr>
      </w:pPr>
      <w:r>
        <w:rPr>
          <w:rFonts w:hint="eastAsia"/>
          <w:b/>
          <w:bCs/>
          <w:color w:val="auto"/>
          <w:lang w:val="en-US" w:eastAsia="zh-CN"/>
        </w:rPr>
        <w:t>安全计算环境</w:t>
      </w:r>
    </w:p>
    <w:p w14:paraId="494EDFE4">
      <w:pPr>
        <w:bidi w:val="0"/>
        <w:rPr>
          <w:rFonts w:hint="eastAsia"/>
          <w:color w:val="auto"/>
          <w:lang w:val="en-US" w:eastAsia="zh-CN"/>
        </w:rPr>
      </w:pPr>
      <w:r>
        <w:rPr>
          <w:rFonts w:hint="eastAsia"/>
          <w:color w:val="auto"/>
          <w:lang w:val="en-US" w:eastAsia="zh-CN"/>
        </w:rPr>
        <w:t>根据等保三级中对安全计算环境要求进行安全防护。要实现一个可信的、安全的计算环境，就必须从终端安全抓起。因此，依照等级保护在身份鉴别，访问控制（包括强制访问控制）、网络行为控制（包括上网控制、违规外联的控制）、应用安全、数据安全、安全审计等方面的技术要求，可结合可信计算技术和主动防御技术的先进性和安全性，提出一个基于可信计算和主动防御的终端安全保护体系模型，以实现从应用层、系统层、核心层三个方面对计算环境的全面防护。</w:t>
      </w:r>
    </w:p>
    <w:p w14:paraId="0D270F60">
      <w:pPr>
        <w:keepNext w:val="0"/>
        <w:keepLines w:val="0"/>
        <w:pageBreakBefore w:val="0"/>
        <w:widowControl w:val="0"/>
        <w:numPr>
          <w:ilvl w:val="0"/>
          <w:numId w:val="239"/>
        </w:numPr>
        <w:kinsoku/>
        <w:wordWrap/>
        <w:overflowPunct/>
        <w:topLinePunct w:val="0"/>
        <w:autoSpaceDE/>
        <w:autoSpaceDN/>
        <w:bidi w:val="0"/>
        <w:adjustRightInd/>
        <w:snapToGrid/>
        <w:ind w:left="0" w:leftChars="0" w:firstLine="482" w:firstLineChars="200"/>
        <w:textAlignment w:val="auto"/>
        <w:rPr>
          <w:rFonts w:hint="eastAsia"/>
          <w:b/>
          <w:bCs/>
          <w:color w:val="auto"/>
          <w:lang w:val="en-US" w:eastAsia="zh-CN"/>
        </w:rPr>
      </w:pPr>
      <w:r>
        <w:rPr>
          <w:rFonts w:hint="eastAsia"/>
          <w:b/>
          <w:bCs/>
          <w:color w:val="auto"/>
          <w:lang w:val="en-US" w:eastAsia="zh-CN"/>
        </w:rPr>
        <w:t>安全区域边界</w:t>
      </w:r>
    </w:p>
    <w:p w14:paraId="450D2C86">
      <w:pPr>
        <w:bidi w:val="0"/>
        <w:rPr>
          <w:rFonts w:hint="eastAsia"/>
          <w:color w:val="auto"/>
          <w:lang w:val="en-US" w:eastAsia="zh-CN"/>
        </w:rPr>
      </w:pPr>
      <w:r>
        <w:rPr>
          <w:rFonts w:hint="eastAsia"/>
          <w:color w:val="auto"/>
          <w:lang w:val="en-US" w:eastAsia="zh-CN"/>
        </w:rPr>
        <w:t>为保护边界安全，需要构建一个安全的区域边界，在被保护的信息边界部署一个“应用访问控制系统”。该系统应可以实现以下功能：信息层的自主和强制访问控制、防范SQL注入攻击和跨站攻击、抗DoS/DDoS攻击端口扫描、数据包过滤、网络地址换、安全审计等。</w:t>
      </w:r>
    </w:p>
    <w:p w14:paraId="789E2972">
      <w:pPr>
        <w:bidi w:val="0"/>
        <w:rPr>
          <w:rFonts w:hint="eastAsia"/>
          <w:color w:val="auto"/>
          <w:lang w:val="en-US" w:eastAsia="zh-CN"/>
        </w:rPr>
      </w:pPr>
      <w:r>
        <w:rPr>
          <w:rFonts w:hint="eastAsia"/>
          <w:color w:val="auto"/>
          <w:lang w:val="en-US" w:eastAsia="zh-CN"/>
        </w:rPr>
        <w:t>此外，对于不同安全等级信息系统之间的互连边界，可根据依照信息流向的高低，部署下一代防火墙或安全隔离与信息交换系统，并配置相应的安全策略以实现对信息流向的控制。</w:t>
      </w:r>
    </w:p>
    <w:p w14:paraId="41DE5A8F">
      <w:pPr>
        <w:keepNext w:val="0"/>
        <w:keepLines w:val="0"/>
        <w:pageBreakBefore w:val="0"/>
        <w:widowControl w:val="0"/>
        <w:numPr>
          <w:ilvl w:val="0"/>
          <w:numId w:val="239"/>
        </w:numPr>
        <w:kinsoku/>
        <w:wordWrap/>
        <w:overflowPunct/>
        <w:topLinePunct w:val="0"/>
        <w:autoSpaceDE/>
        <w:autoSpaceDN/>
        <w:bidi w:val="0"/>
        <w:adjustRightInd/>
        <w:snapToGrid/>
        <w:ind w:left="0" w:leftChars="0" w:firstLine="482" w:firstLineChars="200"/>
        <w:textAlignment w:val="auto"/>
        <w:rPr>
          <w:rFonts w:hint="eastAsia"/>
          <w:b/>
          <w:bCs/>
          <w:color w:val="auto"/>
          <w:lang w:val="en-US" w:eastAsia="zh-CN"/>
        </w:rPr>
      </w:pPr>
      <w:r>
        <w:rPr>
          <w:rFonts w:hint="eastAsia"/>
          <w:b/>
          <w:bCs/>
          <w:color w:val="auto"/>
          <w:lang w:val="en-US" w:eastAsia="zh-CN"/>
        </w:rPr>
        <w:t>安全通信网络</w:t>
      </w:r>
    </w:p>
    <w:p w14:paraId="7518CE1C">
      <w:pPr>
        <w:bidi w:val="0"/>
        <w:rPr>
          <w:rFonts w:hint="eastAsia"/>
          <w:color w:val="auto"/>
          <w:lang w:val="en-US" w:eastAsia="zh-CN"/>
        </w:rPr>
      </w:pPr>
      <w:r>
        <w:rPr>
          <w:rFonts w:hint="eastAsia"/>
          <w:color w:val="auto"/>
          <w:lang w:val="en-US" w:eastAsia="zh-CN"/>
        </w:rPr>
        <w:t>目前，在通信网络安全方面，采用密码等核心技术实现的各类VPN可以很有效的解决这类问题，达到在满足等级保护相关要求的同时，可灵活提高通信网络安全性的效果。</w:t>
      </w:r>
    </w:p>
    <w:p w14:paraId="77FCE28D">
      <w:pPr>
        <w:pStyle w:val="10"/>
        <w:bidi w:val="0"/>
        <w:ind w:left="720" w:leftChars="0" w:hanging="720" w:firstLineChars="0"/>
        <w:rPr>
          <w:rFonts w:hint="eastAsia"/>
          <w:color w:val="auto"/>
        </w:rPr>
      </w:pPr>
      <w:bookmarkStart w:id="422" w:name="_Toc17756"/>
      <w:r>
        <w:rPr>
          <w:rFonts w:hint="eastAsia"/>
          <w:color w:val="auto"/>
        </w:rPr>
        <w:t>安全等级预评估</w:t>
      </w:r>
      <w:bookmarkEnd w:id="422"/>
    </w:p>
    <w:p w14:paraId="67670921">
      <w:pPr>
        <w:pStyle w:val="124"/>
        <w:ind w:firstLine="48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1、业务信息安全性等级分析：</w:t>
      </w:r>
    </w:p>
    <w:p w14:paraId="54805DCF">
      <w:pPr>
        <w:pStyle w:val="124"/>
        <w:ind w:firstLine="48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本项目是对医院信息化应用系统以及数据资源管理，如业务信息数据泄露，会一般损害社会秩序、公共利益。</w:t>
      </w:r>
    </w:p>
    <w:p w14:paraId="5ABC078C">
      <w:pPr>
        <w:pStyle w:val="124"/>
        <w:ind w:firstLine="48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医院的患者健康档案信息、电子病历信息等在对外公开公示前一定程度上属于个人隐私信息，信息被破坏对公民、法人和其他组织造成严重损害。</w:t>
      </w:r>
    </w:p>
    <w:p w14:paraId="0E04110F">
      <w:pPr>
        <w:pStyle w:val="124"/>
        <w:ind w:firstLine="48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2、业务服务安全性等级分析：</w:t>
      </w:r>
    </w:p>
    <w:p w14:paraId="48F48184">
      <w:pPr>
        <w:bidi w:val="0"/>
        <w:rPr>
          <w:rFonts w:hint="eastAsia"/>
          <w:color w:val="auto"/>
          <w:lang w:val="en-US" w:eastAsia="zh-CN"/>
        </w:rPr>
      </w:pPr>
      <w:r>
        <w:rPr>
          <w:rFonts w:hint="eastAsia"/>
          <w:color w:val="auto"/>
          <w:lang w:val="en-US" w:eastAsia="zh-CN"/>
        </w:rPr>
        <w:t>本项目区域范围内的检查检验管理、远程诊断管理和数据资源信息的公开、公示，遭受破坏后，其对社会秩序、公共利益造成严重损害。</w:t>
      </w:r>
    </w:p>
    <w:p w14:paraId="1B64D893">
      <w:pPr>
        <w:bidi w:val="0"/>
        <w:rPr>
          <w:rFonts w:hint="eastAsia"/>
          <w:color w:val="auto"/>
          <w:lang w:val="en-US" w:eastAsia="zh-CN"/>
        </w:rPr>
      </w:pPr>
      <w:r>
        <w:rPr>
          <w:rFonts w:hint="eastAsia"/>
          <w:color w:val="auto"/>
          <w:lang w:val="en-US" w:eastAsia="zh-CN"/>
        </w:rPr>
        <w:t>业务子系统的安全保护等级由业务信息安全性等级和业务服务保证性等级较高者决定。因此，鉴于医院核心数据属于重要资产，医院核心系统（如HIS、EMR、LIS、PACS）的安全保护等级定为等保三级，人民医院HIS及EMR已过等保三级。</w:t>
      </w:r>
    </w:p>
    <w:p w14:paraId="6B9BE869">
      <w:pPr>
        <w:pStyle w:val="124"/>
        <w:ind w:firstLine="48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本项目安全方案以等保三级为目标来编制。</w:t>
      </w:r>
    </w:p>
    <w:p w14:paraId="7DA4DC13">
      <w:pPr>
        <w:pStyle w:val="10"/>
        <w:bidi w:val="0"/>
        <w:ind w:left="720" w:leftChars="0" w:hanging="720" w:firstLineChars="0"/>
        <w:rPr>
          <w:rFonts w:hint="eastAsia"/>
          <w:color w:val="auto"/>
          <w:highlight w:val="none"/>
        </w:rPr>
      </w:pPr>
      <w:bookmarkStart w:id="423" w:name="_Toc12476"/>
      <w:r>
        <w:rPr>
          <w:rFonts w:hint="eastAsia"/>
          <w:color w:val="auto"/>
          <w:highlight w:val="none"/>
        </w:rPr>
        <w:t>安全</w:t>
      </w:r>
      <w:r>
        <w:rPr>
          <w:rFonts w:hint="eastAsia"/>
          <w:color w:val="auto"/>
          <w:highlight w:val="none"/>
          <w:lang w:val="en-US" w:eastAsia="zh-CN"/>
        </w:rPr>
        <w:t>现状</w:t>
      </w:r>
      <w:bookmarkEnd w:id="423"/>
    </w:p>
    <w:p w14:paraId="538BBD1C">
      <w:pPr>
        <w:ind w:left="0" w:leftChars="0" w:firstLine="0" w:firstLineChars="0"/>
        <w:jc w:val="center"/>
        <w:rPr>
          <w:color w:val="auto"/>
        </w:rPr>
      </w:pPr>
      <w:r>
        <w:rPr>
          <w:color w:val="auto"/>
        </w:rPr>
        <w:drawing>
          <wp:inline distT="0" distB="0" distL="114300" distR="114300">
            <wp:extent cx="5614035" cy="5952490"/>
            <wp:effectExtent l="0" t="0" r="9525" b="1397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8"/>
                    <a:stretch>
                      <a:fillRect/>
                    </a:stretch>
                  </pic:blipFill>
                  <pic:spPr>
                    <a:xfrm>
                      <a:off x="0" y="0"/>
                      <a:ext cx="5614035" cy="5952490"/>
                    </a:xfrm>
                    <a:prstGeom prst="rect">
                      <a:avLst/>
                    </a:prstGeom>
                    <a:noFill/>
                    <a:ln>
                      <a:noFill/>
                    </a:ln>
                  </pic:spPr>
                </pic:pic>
              </a:graphicData>
            </a:graphic>
          </wp:inline>
        </w:drawing>
      </w:r>
    </w:p>
    <w:p w14:paraId="7845FBCD">
      <w:pPr>
        <w:pStyle w:val="21"/>
        <w:rPr>
          <w:rFonts w:hint="default" w:eastAsia="黑体"/>
          <w:color w:val="auto"/>
          <w:lang w:val="en-US"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5</w:t>
      </w:r>
      <w:r>
        <w:rPr>
          <w:color w:val="auto"/>
        </w:rPr>
        <w:fldChar w:fldCharType="end"/>
      </w:r>
      <w:r>
        <w:rPr>
          <w:rFonts w:hint="eastAsia"/>
          <w:color w:val="auto"/>
          <w:lang w:val="en-US" w:eastAsia="zh-CN"/>
        </w:rPr>
        <w:t xml:space="preserve"> 医院网络现状拓扑图</w:t>
      </w:r>
    </w:p>
    <w:p w14:paraId="4C3A012A">
      <w:pPr>
        <w:rPr>
          <w:rFonts w:hint="eastAsia"/>
          <w:color w:val="auto"/>
        </w:rPr>
      </w:pPr>
      <w:r>
        <w:rPr>
          <w:rFonts w:hint="eastAsia"/>
          <w:color w:val="auto"/>
          <w:lang w:val="en-US" w:eastAsia="zh-CN"/>
        </w:rPr>
        <w:t>人民医院数据中心满足等保三级建设要求，在安全管理区配置了日志审计（集成数据库审计）、运维安全网关（堡垒机）、网络准入等设备；主机终端配置了终端杀毒；在边界配置了下一代防火墙设备，集成了防AV、IPS、漏洞扫描、VPN、防ddos等功能；配置了备份一体机，满足本地备份存储需求。</w:t>
      </w:r>
    </w:p>
    <w:p w14:paraId="41F80866">
      <w:pPr>
        <w:ind w:left="0" w:leftChars="0" w:firstLine="0" w:firstLineChars="0"/>
        <w:rPr>
          <w:color w:val="auto"/>
        </w:rPr>
      </w:pPr>
      <w:r>
        <w:rPr>
          <w:color w:val="auto"/>
        </w:rPr>
        <w:drawing>
          <wp:inline distT="0" distB="0" distL="114300" distR="114300">
            <wp:extent cx="5610860" cy="5944235"/>
            <wp:effectExtent l="0" t="0" r="12700" b="508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9"/>
                    <a:stretch>
                      <a:fillRect/>
                    </a:stretch>
                  </pic:blipFill>
                  <pic:spPr>
                    <a:xfrm>
                      <a:off x="0" y="0"/>
                      <a:ext cx="5610860" cy="5944235"/>
                    </a:xfrm>
                    <a:prstGeom prst="rect">
                      <a:avLst/>
                    </a:prstGeom>
                    <a:noFill/>
                    <a:ln>
                      <a:noFill/>
                    </a:ln>
                  </pic:spPr>
                </pic:pic>
              </a:graphicData>
            </a:graphic>
          </wp:inline>
        </w:drawing>
      </w:r>
    </w:p>
    <w:p w14:paraId="27E7A813">
      <w:pPr>
        <w:pStyle w:val="21"/>
        <w:rPr>
          <w:rFonts w:hint="eastAsia"/>
          <w:color w:val="auto"/>
          <w:lang w:val="en-US"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6</w:t>
      </w:r>
      <w:r>
        <w:rPr>
          <w:color w:val="auto"/>
        </w:rPr>
        <w:fldChar w:fldCharType="end"/>
      </w:r>
      <w:r>
        <w:rPr>
          <w:rFonts w:hint="eastAsia"/>
          <w:color w:val="auto"/>
          <w:lang w:val="en-US" w:eastAsia="zh-CN"/>
        </w:rPr>
        <w:t xml:space="preserve"> 本次规划后网络拓扑图</w:t>
      </w:r>
    </w:p>
    <w:p w14:paraId="6DEF180A">
      <w:pPr>
        <w:pStyle w:val="2"/>
        <w:ind w:firstLine="480" w:firstLineChars="200"/>
        <w:rPr>
          <w:rFonts w:hint="default" w:ascii="宋体" w:hAnsi="宋体" w:eastAsia="宋体" w:cs="Times New Roman"/>
          <w:color w:val="auto"/>
          <w:lang w:val="en-US" w:eastAsia="zh-CN"/>
        </w:rPr>
      </w:pPr>
      <w:r>
        <w:rPr>
          <w:rFonts w:hint="eastAsia"/>
          <w:color w:val="auto"/>
        </w:rPr>
        <w:t>应建设单位需求，樟树市人民医院数据在本地进行运算、存储，考虑到医院业务承载量及服务器采购年限等因素</w:t>
      </w:r>
      <w:r>
        <w:rPr>
          <w:rFonts w:hint="eastAsia"/>
          <w:color w:val="auto"/>
          <w:lang w:eastAsia="zh-CN"/>
        </w:rPr>
        <w:t>（</w:t>
      </w:r>
      <w:r>
        <w:rPr>
          <w:rFonts w:hint="eastAsia"/>
          <w:color w:val="auto"/>
          <w:lang w:val="en-US" w:eastAsia="zh-CN"/>
        </w:rPr>
        <w:t>原有服务器2012年购入</w:t>
      </w:r>
      <w:r>
        <w:rPr>
          <w:rFonts w:hint="eastAsia"/>
          <w:color w:val="auto"/>
          <w:lang w:eastAsia="zh-CN"/>
        </w:rPr>
        <w:t>）</w:t>
      </w:r>
      <w:r>
        <w:rPr>
          <w:rFonts w:hint="eastAsia"/>
          <w:color w:val="auto"/>
        </w:rPr>
        <w:t>，本次配置8台超融合服务器替换现有业务服务器，同时配置业务网、存储网及管理交换机各两台；此外在安全区采购一台终端准入。</w:t>
      </w:r>
    </w:p>
    <w:p w14:paraId="18FECB03">
      <w:pPr>
        <w:pStyle w:val="21"/>
        <w:jc w:val="center"/>
        <w:rPr>
          <w:rFonts w:hint="eastAsia"/>
          <w:color w:val="auto"/>
          <w:highlight w:val="none"/>
          <w:lang w:val="en-US" w:eastAsia="zh-CN"/>
        </w:rPr>
      </w:pPr>
      <w:r>
        <w:rPr>
          <w:color w:val="auto"/>
          <w:highlight w:val="none"/>
        </w:rPr>
        <w:t xml:space="preserve">表 </w:t>
      </w:r>
      <w:r>
        <w:rPr>
          <w:rFonts w:hint="eastAsia"/>
          <w:color w:val="auto"/>
          <w:highlight w:val="none"/>
          <w:lang w:val="en-US" w:eastAsia="zh-CN"/>
        </w:rPr>
        <w:t>5</w:t>
      </w:r>
      <w:r>
        <w:rPr>
          <w:rFonts w:hint="eastAsia"/>
          <w:color w:val="auto"/>
          <w:highlight w:val="none"/>
          <w:lang w:eastAsia="zh-CN"/>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lang w:val="en-US" w:eastAsia="zh-CN"/>
        </w:rPr>
        <w:t>人民医院核心业务系统安全设备情况清单</w:t>
      </w:r>
    </w:p>
    <w:tbl>
      <w:tblPr>
        <w:tblStyle w:val="47"/>
        <w:tblW w:w="8807" w:type="dxa"/>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0"/>
        <w:gridCol w:w="3842"/>
        <w:gridCol w:w="3985"/>
      </w:tblGrid>
      <w:tr w14:paraId="12676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4822" w:type="dxa"/>
            <w:gridSpan w:val="2"/>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42E0C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核心业务系统（HIS、LIS、EMR、PACS）满足等保三级要求设备</w:t>
            </w:r>
          </w:p>
        </w:tc>
        <w:tc>
          <w:tcPr>
            <w:tcW w:w="3985"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4F1912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highlight w:val="none"/>
                <w:u w:val="none"/>
                <w:lang w:val="en-US" w:eastAsia="zh-CN" w:bidi="ar"/>
              </w:rPr>
              <w:t>是否具备以下设备</w:t>
            </w:r>
          </w:p>
        </w:tc>
      </w:tr>
      <w:tr w14:paraId="68B55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822" w:type="dxa"/>
            <w:gridSpan w:val="2"/>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3201ECE">
            <w:pPr>
              <w:jc w:val="center"/>
              <w:rPr>
                <w:rFonts w:hint="eastAsia" w:ascii="宋体" w:hAnsi="宋体" w:eastAsia="宋体" w:cs="宋体"/>
                <w:i w:val="0"/>
                <w:iCs w:val="0"/>
                <w:color w:val="auto"/>
                <w:sz w:val="24"/>
                <w:szCs w:val="24"/>
                <w:u w:val="none"/>
              </w:rPr>
            </w:pPr>
          </w:p>
        </w:tc>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A036A5B">
            <w:pPr>
              <w:jc w:val="center"/>
              <w:rPr>
                <w:rFonts w:hint="eastAsia" w:ascii="宋体" w:hAnsi="宋体" w:eastAsia="宋体" w:cs="宋体"/>
                <w:i w:val="0"/>
                <w:iCs w:val="0"/>
                <w:color w:val="auto"/>
                <w:sz w:val="24"/>
                <w:szCs w:val="24"/>
                <w:u w:val="none"/>
              </w:rPr>
            </w:pPr>
          </w:p>
        </w:tc>
      </w:tr>
      <w:tr w14:paraId="32A0A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CD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95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防ddos</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1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是（集成在防火墙中）</w:t>
            </w:r>
          </w:p>
        </w:tc>
      </w:tr>
      <w:tr w14:paraId="7873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5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6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VPN</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93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是（集成在防火墙中）</w:t>
            </w:r>
          </w:p>
        </w:tc>
      </w:tr>
      <w:tr w14:paraId="3AC3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CD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6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下一代防火墙ngfw（包含av、ips/ids模块）</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66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5ECF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3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7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网闸</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0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6F50C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4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1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web应用防火墙</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0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是（集成在防火墙中）</w:t>
            </w:r>
          </w:p>
        </w:tc>
      </w:tr>
      <w:tr w14:paraId="5BD56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0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8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网络版防病毒软件/EDR</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BD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65A73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EA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F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综合日志审计系统</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CA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445D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0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41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数据库审计系统</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3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是（集成在防火墙中）</w:t>
            </w:r>
          </w:p>
        </w:tc>
      </w:tr>
      <w:tr w14:paraId="60C34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5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C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网络准入设备</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A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6209D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5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D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备份一体机</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2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5A571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1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4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漏洞扫描</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04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cs="宋体"/>
                <w:i w:val="0"/>
                <w:iCs w:val="0"/>
                <w:color w:val="auto"/>
                <w:kern w:val="0"/>
                <w:sz w:val="24"/>
                <w:szCs w:val="24"/>
                <w:highlight w:val="none"/>
                <w:u w:val="none"/>
                <w:lang w:val="en-US" w:eastAsia="zh-CN" w:bidi="ar"/>
              </w:rPr>
              <w:t>是（集成在防火墙中）</w:t>
            </w:r>
          </w:p>
        </w:tc>
      </w:tr>
      <w:tr w14:paraId="72A81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DA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E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堡垒机</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A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r w14:paraId="39647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3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w:t>
            </w:r>
          </w:p>
        </w:tc>
        <w:tc>
          <w:tcPr>
            <w:tcW w:w="3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6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上网行为管理</w:t>
            </w:r>
          </w:p>
        </w:tc>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A2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是</w:t>
            </w:r>
          </w:p>
        </w:tc>
      </w:tr>
    </w:tbl>
    <w:p w14:paraId="1C1CFFF6">
      <w:pPr>
        <w:pStyle w:val="124"/>
        <w:ind w:left="0" w:leftChars="0" w:firstLine="0" w:firstLineChars="0"/>
        <w:rPr>
          <w:rFonts w:hint="eastAsia" w:ascii="宋体" w:hAnsi="宋体" w:eastAsia="宋体" w:cs="Times New Roman"/>
          <w:color w:val="auto"/>
          <w:lang w:val="en-US" w:eastAsia="zh-CN"/>
        </w:rPr>
      </w:pPr>
    </w:p>
    <w:p w14:paraId="60DC764E">
      <w:pPr>
        <w:pStyle w:val="10"/>
        <w:bidi w:val="0"/>
        <w:ind w:left="720" w:leftChars="0" w:hanging="720" w:firstLineChars="0"/>
        <w:rPr>
          <w:rFonts w:hint="eastAsia"/>
          <w:color w:val="auto"/>
        </w:rPr>
      </w:pPr>
      <w:bookmarkStart w:id="424" w:name="_Toc196843902"/>
      <w:bookmarkStart w:id="425" w:name="_Toc187473627"/>
      <w:bookmarkStart w:id="426" w:name="_Toc188720362"/>
      <w:bookmarkStart w:id="427" w:name="_Toc90815741"/>
      <w:bookmarkStart w:id="428" w:name="_Toc197084229"/>
      <w:bookmarkStart w:id="429" w:name="_Toc197082651"/>
      <w:bookmarkStart w:id="430" w:name="_Toc198519003"/>
      <w:bookmarkStart w:id="431" w:name="_Toc33101839"/>
      <w:bookmarkStart w:id="432" w:name="_Toc14275"/>
      <w:r>
        <w:rPr>
          <w:rFonts w:hint="eastAsia"/>
          <w:color w:val="auto"/>
        </w:rPr>
        <w:t>安全物理</w:t>
      </w:r>
      <w:bookmarkEnd w:id="424"/>
      <w:bookmarkEnd w:id="425"/>
      <w:bookmarkEnd w:id="426"/>
      <w:bookmarkEnd w:id="427"/>
      <w:bookmarkEnd w:id="428"/>
      <w:bookmarkEnd w:id="429"/>
      <w:r>
        <w:rPr>
          <w:rFonts w:hint="eastAsia"/>
          <w:color w:val="auto"/>
        </w:rPr>
        <w:t>环境设计</w:t>
      </w:r>
      <w:bookmarkEnd w:id="430"/>
      <w:bookmarkEnd w:id="431"/>
      <w:bookmarkEnd w:id="432"/>
    </w:p>
    <w:p w14:paraId="01E24824">
      <w:pPr>
        <w:ind w:firstLine="480"/>
        <w:rPr>
          <w:rFonts w:hint="default" w:eastAsia="宋体"/>
          <w:color w:val="auto"/>
          <w:sz w:val="24"/>
          <w:szCs w:val="24"/>
          <w:lang w:val="en-US" w:eastAsia="zh-CN" w:bidi="ar"/>
        </w:rPr>
      </w:pPr>
      <w:bookmarkStart w:id="433" w:name="_Toc188720363"/>
      <w:r>
        <w:rPr>
          <w:rFonts w:hint="eastAsia"/>
          <w:color w:val="auto"/>
          <w:sz w:val="24"/>
          <w:szCs w:val="24"/>
          <w:lang w:bidi="ar"/>
        </w:rPr>
        <w:t>安全物理环境主要涉及的方面包括环境安全（防火、防水、防雷击等）设备和介质的防盗窃防破坏等方面。具体包括：物理位置的选择、物理访问控制、防盗窃和防破坏、防雷击、防火、防水和防潮、防静电、温湿度控制、电力供应和电磁防护等十个控制点。</w:t>
      </w:r>
      <w:r>
        <w:rPr>
          <w:rFonts w:hint="eastAsia"/>
          <w:color w:val="auto"/>
          <w:sz w:val="24"/>
          <w:szCs w:val="24"/>
          <w:lang w:val="en-US" w:eastAsia="zh-CN" w:bidi="ar"/>
        </w:rPr>
        <w:t>樟树市人民医院数据中心机房满足一下要求：</w:t>
      </w:r>
    </w:p>
    <w:p w14:paraId="2462BBAC">
      <w:pPr>
        <w:pStyle w:val="254"/>
        <w:rPr>
          <w:rFonts w:hint="eastAsia" w:ascii="宋体" w:hAnsi="宋体" w:eastAsia="宋体" w:cs="宋体"/>
          <w:b/>
          <w:bCs/>
          <w:color w:val="auto"/>
        </w:rPr>
      </w:pPr>
      <w:r>
        <w:rPr>
          <w:rFonts w:hint="eastAsia" w:ascii="宋体" w:hAnsi="宋体" w:eastAsia="宋体" w:cs="宋体"/>
          <w:b/>
          <w:bCs/>
          <w:color w:val="auto"/>
        </w:rPr>
        <w:t>供配电系统</w:t>
      </w:r>
      <w:bookmarkEnd w:id="433"/>
    </w:p>
    <w:p w14:paraId="044F7C3C">
      <w:pPr>
        <w:pStyle w:val="254"/>
        <w:ind w:firstLine="480" w:firstLineChars="200"/>
        <w:rPr>
          <w:rFonts w:hint="eastAsia" w:ascii="宋体" w:hAnsi="宋体" w:eastAsia="宋体" w:cs="宋体"/>
          <w:color w:val="auto"/>
        </w:rPr>
      </w:pPr>
      <w:r>
        <w:rPr>
          <w:rFonts w:hint="eastAsia" w:ascii="宋体" w:hAnsi="宋体" w:eastAsia="宋体" w:cs="宋体"/>
          <w:color w:val="auto"/>
        </w:rPr>
        <w:t xml:space="preserve">医院信息系统机房的供配电系统要求能保证对机房内的主机、服务器、网络设备、通讯设备等的电源供应在任何情况下都不会间断，做到无单点失效和平稳可靠，这就要求两路以上的市电供应，N+1冗余的自备发电机系统，还有能保证足够时间供电的UPS系统。 </w:t>
      </w:r>
    </w:p>
    <w:p w14:paraId="324DA324">
      <w:pPr>
        <w:pStyle w:val="254"/>
        <w:rPr>
          <w:rFonts w:hint="eastAsia" w:ascii="宋体" w:hAnsi="宋体" w:eastAsia="宋体" w:cs="宋体"/>
          <w:b/>
          <w:bCs/>
          <w:color w:val="auto"/>
        </w:rPr>
      </w:pPr>
      <w:bookmarkStart w:id="434" w:name="_Toc188720364"/>
      <w:r>
        <w:rPr>
          <w:rFonts w:hint="eastAsia" w:ascii="宋体" w:hAnsi="宋体" w:eastAsia="宋体" w:cs="宋体"/>
          <w:b/>
          <w:bCs/>
          <w:color w:val="auto"/>
        </w:rPr>
        <w:t>防雷接地</w:t>
      </w:r>
      <w:bookmarkEnd w:id="434"/>
    </w:p>
    <w:p w14:paraId="45E697E1">
      <w:pPr>
        <w:pStyle w:val="254"/>
        <w:ind w:firstLine="480" w:firstLineChars="200"/>
        <w:rPr>
          <w:rFonts w:hint="eastAsia" w:ascii="宋体" w:hAnsi="宋体" w:eastAsia="宋体" w:cs="宋体"/>
          <w:color w:val="auto"/>
        </w:rPr>
      </w:pPr>
      <w:r>
        <w:rPr>
          <w:rFonts w:hint="eastAsia" w:ascii="宋体" w:hAnsi="宋体" w:eastAsia="宋体" w:cs="宋体"/>
          <w:color w:val="auto"/>
        </w:rPr>
        <w:t xml:space="preserve">为了保证医院信息系统机房的各种设备安全，要求机房设有四种接地形式，即计算机专用直流逻辑地、配电系统交流工作地、安全保护地、防雷保护地。 </w:t>
      </w:r>
    </w:p>
    <w:p w14:paraId="2AB7F7CB">
      <w:pPr>
        <w:pStyle w:val="254"/>
        <w:rPr>
          <w:rFonts w:hint="eastAsia" w:ascii="宋体" w:hAnsi="宋体" w:eastAsia="宋体" w:cs="宋体"/>
          <w:b/>
          <w:bCs/>
          <w:color w:val="auto"/>
        </w:rPr>
      </w:pPr>
      <w:bookmarkStart w:id="435" w:name="_Toc188720365"/>
      <w:r>
        <w:rPr>
          <w:rFonts w:hint="eastAsia" w:ascii="宋体" w:hAnsi="宋体" w:eastAsia="宋体" w:cs="宋体"/>
          <w:b/>
          <w:bCs/>
          <w:color w:val="auto"/>
        </w:rPr>
        <w:t>温湿控制</w:t>
      </w:r>
    </w:p>
    <w:p w14:paraId="0D383376">
      <w:pPr>
        <w:pStyle w:val="254"/>
        <w:ind w:firstLine="480" w:firstLineChars="200"/>
        <w:rPr>
          <w:rFonts w:hint="eastAsia" w:ascii="宋体" w:hAnsi="宋体" w:eastAsia="宋体" w:cs="宋体"/>
          <w:color w:val="auto"/>
        </w:rPr>
      </w:pPr>
      <w:r>
        <w:rPr>
          <w:rFonts w:hint="eastAsia" w:ascii="宋体" w:hAnsi="宋体" w:eastAsia="宋体" w:cs="宋体"/>
          <w:color w:val="auto"/>
        </w:rPr>
        <w:t>为了保证医院信息系统机房的各种设备安全，要求机房配备温湿控制系统来对机房内温湿度进行控制，保障设备安全。</w:t>
      </w:r>
    </w:p>
    <w:p w14:paraId="192F846A">
      <w:pPr>
        <w:pStyle w:val="254"/>
        <w:rPr>
          <w:rFonts w:hint="eastAsia" w:ascii="宋体" w:hAnsi="宋体" w:eastAsia="宋体" w:cs="宋体"/>
          <w:b/>
          <w:bCs/>
          <w:color w:val="auto"/>
        </w:rPr>
      </w:pPr>
      <w:r>
        <w:rPr>
          <w:rFonts w:hint="eastAsia" w:ascii="宋体" w:hAnsi="宋体" w:eastAsia="宋体" w:cs="宋体"/>
          <w:b/>
          <w:bCs/>
          <w:color w:val="auto"/>
        </w:rPr>
        <w:t>消防报警及自动灭火</w:t>
      </w:r>
      <w:bookmarkEnd w:id="435"/>
    </w:p>
    <w:p w14:paraId="3B0237A2">
      <w:pPr>
        <w:pStyle w:val="254"/>
        <w:ind w:firstLine="480" w:firstLineChars="200"/>
        <w:rPr>
          <w:rFonts w:hint="eastAsia" w:ascii="宋体" w:hAnsi="宋体" w:eastAsia="宋体" w:cs="宋体"/>
          <w:color w:val="auto"/>
        </w:rPr>
      </w:pPr>
      <w:r>
        <w:rPr>
          <w:rFonts w:hint="eastAsia" w:ascii="宋体" w:hAnsi="宋体" w:eastAsia="宋体" w:cs="宋体"/>
          <w:color w:val="auto"/>
        </w:rPr>
        <w:t xml:space="preserve">为实现火灾自动灭火功能，在医院信息系统机房的各个地方，还应该设计火灾自动监测及报警系统，以便能自动监测火灾的发生，并且启动自动灭火系统和报警系统。 </w:t>
      </w:r>
    </w:p>
    <w:p w14:paraId="32EB9E08">
      <w:pPr>
        <w:pStyle w:val="254"/>
        <w:rPr>
          <w:rFonts w:hint="eastAsia" w:ascii="宋体" w:hAnsi="宋体" w:eastAsia="宋体" w:cs="宋体"/>
          <w:b/>
          <w:bCs/>
          <w:color w:val="auto"/>
          <w:lang w:val="en-US" w:eastAsia="zh-CN"/>
        </w:rPr>
      </w:pPr>
      <w:bookmarkStart w:id="436" w:name="_Toc188720366"/>
      <w:r>
        <w:rPr>
          <w:rFonts w:hint="eastAsia" w:ascii="宋体" w:hAnsi="宋体" w:eastAsia="宋体" w:cs="宋体"/>
          <w:b/>
          <w:bCs/>
          <w:color w:val="auto"/>
          <w:lang w:val="en-US" w:eastAsia="zh-CN"/>
        </w:rPr>
        <w:t>安全电子</w:t>
      </w:r>
      <w:r>
        <w:rPr>
          <w:rFonts w:hint="eastAsia" w:ascii="宋体" w:hAnsi="宋体" w:eastAsia="宋体" w:cs="宋体"/>
          <w:b/>
          <w:bCs/>
          <w:color w:val="auto"/>
        </w:rPr>
        <w:t>门禁</w:t>
      </w:r>
      <w:bookmarkEnd w:id="436"/>
      <w:r>
        <w:rPr>
          <w:rFonts w:hint="eastAsia" w:ascii="宋体" w:hAnsi="宋体" w:eastAsia="宋体" w:cs="宋体"/>
          <w:b/>
          <w:bCs/>
          <w:color w:val="auto"/>
          <w:lang w:val="en-US" w:eastAsia="zh-CN"/>
        </w:rPr>
        <w:t>系统</w:t>
      </w:r>
    </w:p>
    <w:p w14:paraId="7D9CDC3C">
      <w:pPr>
        <w:ind w:firstLine="480"/>
        <w:rPr>
          <w:rFonts w:hint="eastAsia"/>
          <w:color w:val="auto"/>
        </w:rPr>
      </w:pPr>
      <w:bookmarkStart w:id="437" w:name="_Toc188720367"/>
      <w:r>
        <w:rPr>
          <w:rFonts w:hint="eastAsia"/>
          <w:color w:val="auto"/>
        </w:rPr>
        <w:t>本方案中特指符合GM/T 0036-2014《采用非接触卡的门禁系统密码应用指南》要求，用户身份鉴别、门禁记录存储完整性保护基于商用密码技术，关键组件取得商用密码产品认证的电子门禁系统。</w:t>
      </w:r>
    </w:p>
    <w:p w14:paraId="4754E294">
      <w:pPr>
        <w:ind w:firstLine="480"/>
        <w:rPr>
          <w:color w:val="auto"/>
        </w:rPr>
      </w:pPr>
      <w:r>
        <w:rPr>
          <w:rFonts w:hint="eastAsia"/>
          <w:color w:val="auto"/>
        </w:rPr>
        <w:t>系统组成及部署情况如下：</w:t>
      </w:r>
    </w:p>
    <w:p w14:paraId="37DC94DE">
      <w:pPr>
        <w:ind w:left="0" w:leftChars="0" w:firstLine="0" w:firstLineChars="0"/>
        <w:rPr>
          <w:color w:val="auto"/>
        </w:rPr>
      </w:pPr>
      <w:r>
        <w:rPr>
          <w:color w:val="auto"/>
        </w:rPr>
        <w:drawing>
          <wp:inline distT="0" distB="0" distL="114300" distR="114300">
            <wp:extent cx="5614035" cy="2990215"/>
            <wp:effectExtent l="0" t="0" r="571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614035" cy="2990215"/>
                    </a:xfrm>
                    <a:prstGeom prst="rect">
                      <a:avLst/>
                    </a:prstGeom>
                    <a:noFill/>
                    <a:ln>
                      <a:noFill/>
                    </a:ln>
                  </pic:spPr>
                </pic:pic>
              </a:graphicData>
            </a:graphic>
          </wp:inline>
        </w:drawing>
      </w:r>
    </w:p>
    <w:p w14:paraId="1B87B130">
      <w:pPr>
        <w:pStyle w:val="21"/>
        <w:ind w:left="0" w:leftChars="0" w:firstLine="0" w:firstLineChars="0"/>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7</w:t>
      </w:r>
      <w:r>
        <w:rPr>
          <w:color w:val="auto"/>
        </w:rPr>
        <w:fldChar w:fldCharType="end"/>
      </w:r>
      <w:r>
        <w:rPr>
          <w:rFonts w:hint="eastAsia"/>
          <w:color w:val="auto"/>
          <w:lang w:eastAsia="zh-CN"/>
        </w:rPr>
        <w:t>安全电子门禁系统部署图</w:t>
      </w:r>
    </w:p>
    <w:bookmarkEnd w:id="437"/>
    <w:p w14:paraId="08FA28C2">
      <w:pPr>
        <w:pStyle w:val="254"/>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安全视频监控系统</w:t>
      </w:r>
    </w:p>
    <w:p w14:paraId="4D4C5949">
      <w:pPr>
        <w:pStyle w:val="254"/>
        <w:ind w:firstLine="480" w:firstLineChars="200"/>
        <w:rPr>
          <w:rFonts w:hint="eastAsia" w:ascii="宋体" w:hAnsi="宋体" w:eastAsia="宋体" w:cs="宋体"/>
          <w:color w:val="auto"/>
        </w:rPr>
      </w:pPr>
      <w:r>
        <w:rPr>
          <w:rFonts w:hint="eastAsia" w:ascii="宋体" w:hAnsi="宋体" w:eastAsia="宋体" w:cs="宋体"/>
          <w:color w:val="auto"/>
        </w:rPr>
        <w:t>医院信息系统机房的保安监控包括几个系统的监控：闭路监视系统、通道报警系统和人工监控系统</w:t>
      </w:r>
      <w:r>
        <w:rPr>
          <w:rFonts w:hint="eastAsia" w:ascii="宋体" w:hAnsi="宋体" w:eastAsia="宋体" w:cs="宋体"/>
          <w:color w:val="auto"/>
          <w:lang w:eastAsia="zh-CN"/>
        </w:rPr>
        <w:t>。</w:t>
      </w:r>
      <w:r>
        <w:rPr>
          <w:rFonts w:hint="eastAsia" w:ascii="宋体" w:hAnsi="宋体" w:eastAsia="宋体" w:cs="宋体"/>
          <w:color w:val="auto"/>
        </w:rPr>
        <w:t>在本方案中特指视频记录存储完整性保护基于商用密码技术，关键组件取得商用密码产品认证的视频监控系统。</w:t>
      </w:r>
    </w:p>
    <w:p w14:paraId="08ABB6EB">
      <w:pPr>
        <w:pStyle w:val="254"/>
        <w:ind w:firstLine="480" w:firstLineChars="200"/>
        <w:rPr>
          <w:rFonts w:hint="eastAsia" w:ascii="宋体" w:hAnsi="宋体" w:eastAsia="宋体" w:cs="宋体"/>
          <w:color w:val="auto"/>
        </w:rPr>
      </w:pPr>
      <w:r>
        <w:rPr>
          <w:rFonts w:hint="eastAsia" w:ascii="宋体" w:hAnsi="宋体" w:eastAsia="宋体" w:cs="宋体"/>
          <w:color w:val="auto"/>
        </w:rPr>
        <w:t>系统组成及部署情况如下：</w:t>
      </w:r>
    </w:p>
    <w:p w14:paraId="18907821">
      <w:pPr>
        <w:pStyle w:val="254"/>
        <w:ind w:firstLine="480" w:firstLineChars="200"/>
        <w:rPr>
          <w:rFonts w:hint="eastAsia" w:ascii="宋体" w:hAnsi="宋体" w:cs="宋体"/>
          <w:color w:val="auto"/>
        </w:rPr>
      </w:pPr>
      <w:r>
        <w:rPr>
          <w:rFonts w:hint="eastAsia" w:ascii="宋体" w:hAnsi="宋体" w:cs="宋体"/>
          <w:color w:val="auto"/>
        </w:rPr>
        <w:drawing>
          <wp:inline distT="0" distB="0" distL="0" distR="0">
            <wp:extent cx="4625975" cy="2764790"/>
            <wp:effectExtent l="0" t="0" r="9525" b="13335"/>
            <wp:docPr id="1227790949" name="图片 122779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90949" name="图片 12277909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645290" cy="2776418"/>
                    </a:xfrm>
                    <a:prstGeom prst="rect">
                      <a:avLst/>
                    </a:prstGeom>
                  </pic:spPr>
                </pic:pic>
              </a:graphicData>
            </a:graphic>
          </wp:inline>
        </w:drawing>
      </w:r>
    </w:p>
    <w:p w14:paraId="4DB09089">
      <w:pPr>
        <w:pStyle w:val="21"/>
        <w:ind w:firstLine="400" w:firstLineChars="200"/>
        <w:rPr>
          <w:rFonts w:hint="eastAsia"/>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8</w:t>
      </w:r>
      <w:r>
        <w:rPr>
          <w:color w:val="auto"/>
        </w:rPr>
        <w:fldChar w:fldCharType="end"/>
      </w:r>
      <w:r>
        <w:rPr>
          <w:rFonts w:hint="eastAsia"/>
          <w:color w:val="auto"/>
          <w:lang w:eastAsia="zh-CN"/>
        </w:rPr>
        <w:t>安全视频监控系统部署图</w:t>
      </w:r>
    </w:p>
    <w:p w14:paraId="5E24136E">
      <w:pPr>
        <w:pStyle w:val="10"/>
        <w:bidi w:val="0"/>
        <w:ind w:left="720" w:leftChars="0" w:hanging="720" w:firstLineChars="0"/>
        <w:rPr>
          <w:rFonts w:hint="eastAsia"/>
          <w:color w:val="auto"/>
        </w:rPr>
      </w:pPr>
      <w:bookmarkStart w:id="438" w:name="_Toc33101840"/>
      <w:bookmarkStart w:id="439" w:name="_Toc31724"/>
      <w:r>
        <w:rPr>
          <w:rFonts w:hint="eastAsia"/>
          <w:color w:val="auto"/>
        </w:rPr>
        <w:t>安全通信网络设计</w:t>
      </w:r>
      <w:bookmarkEnd w:id="438"/>
      <w:bookmarkEnd w:id="439"/>
    </w:p>
    <w:p w14:paraId="30A8C4B0">
      <w:pPr>
        <w:pStyle w:val="254"/>
        <w:ind w:firstLine="480" w:firstLineChars="200"/>
        <w:rPr>
          <w:rFonts w:hint="eastAsia" w:ascii="宋体" w:hAnsi="宋体" w:eastAsia="宋体" w:cs="宋体"/>
          <w:color w:val="auto"/>
        </w:rPr>
      </w:pPr>
      <w:bookmarkStart w:id="440" w:name="_Toc33101851"/>
      <w:bookmarkStart w:id="441" w:name="_Toc188720391"/>
      <w:bookmarkStart w:id="442" w:name="_Toc187473640"/>
      <w:bookmarkStart w:id="443" w:name="_Toc197084234"/>
      <w:bookmarkStart w:id="444" w:name="_Toc196843915"/>
      <w:bookmarkStart w:id="445" w:name="_Toc197082656"/>
      <w:bookmarkStart w:id="446" w:name="_Toc198519005"/>
      <w:r>
        <w:rPr>
          <w:rFonts w:hint="eastAsia" w:ascii="宋体" w:hAnsi="宋体" w:eastAsia="宋体" w:cs="宋体"/>
          <w:color w:val="auto"/>
        </w:rPr>
        <w:t>安全通信网络重点关注的安全问题：一是网络架构的安全，包括网络安全区域的合理划分，重要网络区域部署和防护；主干网络的可用性，包括通信链路和节点设备的冗余、网络带宽的合理分配；网络通信中数据完整性和保密性的防护等。还有就是安全通信网络设备的可信验证。</w:t>
      </w:r>
    </w:p>
    <w:p w14:paraId="27B74DDF">
      <w:pPr>
        <w:ind w:firstLine="480"/>
        <w:rPr>
          <w:color w:val="auto"/>
        </w:rPr>
      </w:pPr>
      <w:r>
        <w:rPr>
          <w:rFonts w:hint="eastAsia"/>
          <w:color w:val="auto"/>
        </w:rPr>
        <w:t>本层面需采用密码保护的对象是卫健委、医保局到专网接入区的通道边界、以及远程办公医护人员连接网络接入区的通道边界。从而保障网络通信过程中的身份鉴别、通信数据完整性、通信过程中重要数据的机密性与网络边界访问控制信息完整性。</w:t>
      </w:r>
    </w:p>
    <w:p w14:paraId="20DD9404">
      <w:pPr>
        <w:ind w:firstLine="480"/>
        <w:rPr>
          <w:rFonts w:hint="eastAsia" w:ascii="宋体" w:hAnsi="宋体" w:eastAsia="宋体" w:cs="宋体"/>
          <w:color w:val="auto"/>
        </w:rPr>
      </w:pPr>
      <w:r>
        <w:rPr>
          <w:rFonts w:hint="eastAsia"/>
          <w:color w:val="auto"/>
        </w:rPr>
        <w:t>采用合规的SJJ加密机产品（IPSec VPN）；为医护人员远程办公终端配置含有二级密码模块的USBKey；安全管理区部署协同签名系统，医护人员远程办公移动终端安装协同签名客户端，多维度的进行远程办公人员的身份鉴别。从而实现VPN设备站到站通讯、站到端通讯均为基于密码技术的数据安全传输通道，为网络通信过程提供通信实体身份真实性、通信数据完整性、通信数据机密性保障及网络边界访问控制信息完整性保护。</w:t>
      </w:r>
    </w:p>
    <w:p w14:paraId="4DD42E1A">
      <w:pPr>
        <w:pStyle w:val="254"/>
        <w:ind w:firstLine="480" w:firstLineChars="200"/>
        <w:rPr>
          <w:rFonts w:hint="eastAsia" w:ascii="宋体" w:hAnsi="宋体" w:eastAsia="宋体" w:cs="宋体"/>
          <w:color w:val="auto"/>
        </w:rPr>
      </w:pPr>
      <w:r>
        <w:rPr>
          <w:rFonts w:hint="eastAsia" w:ascii="宋体" w:hAnsi="宋体" w:eastAsia="宋体" w:cs="宋体"/>
          <w:color w:val="auto"/>
        </w:rPr>
        <w:t>在安全通信网络层面，需要采用的安全技术手段包括：</w:t>
      </w:r>
    </w:p>
    <w:p w14:paraId="09A2D651">
      <w:pPr>
        <w:pStyle w:val="254"/>
        <w:numPr>
          <w:ilvl w:val="0"/>
          <w:numId w:val="240"/>
        </w:numPr>
        <w:ind w:left="0" w:leftChars="0" w:firstLine="420" w:firstLineChars="0"/>
        <w:rPr>
          <w:rFonts w:hint="eastAsia" w:ascii="宋体" w:hAnsi="宋体" w:eastAsia="宋体" w:cs="宋体"/>
          <w:b/>
          <w:bCs/>
          <w:color w:val="auto"/>
        </w:rPr>
      </w:pPr>
      <w:bookmarkStart w:id="447" w:name="_Toc33101841"/>
      <w:r>
        <w:rPr>
          <w:rFonts w:hint="eastAsia" w:ascii="宋体" w:hAnsi="宋体" w:eastAsia="宋体" w:cs="宋体"/>
          <w:b/>
          <w:bCs/>
          <w:color w:val="auto"/>
        </w:rPr>
        <w:t>网络架构安全</w:t>
      </w:r>
      <w:bookmarkEnd w:id="447"/>
    </w:p>
    <w:p w14:paraId="1A9F4491">
      <w:pPr>
        <w:pStyle w:val="254"/>
        <w:ind w:firstLine="480" w:firstLineChars="200"/>
        <w:rPr>
          <w:rFonts w:hint="eastAsia" w:ascii="宋体" w:hAnsi="宋体" w:eastAsia="宋体" w:cs="宋体"/>
          <w:color w:val="auto"/>
        </w:rPr>
      </w:pPr>
      <w:r>
        <w:rPr>
          <w:rFonts w:hint="eastAsia" w:ascii="宋体" w:hAnsi="宋体" w:eastAsia="宋体" w:cs="宋体"/>
          <w:color w:val="auto"/>
        </w:rPr>
        <w:t>按照方便管理和控制的原则，</w:t>
      </w:r>
      <w:r>
        <w:rPr>
          <w:rFonts w:hint="eastAsia" w:ascii="宋体" w:hAnsi="宋体" w:eastAsia="宋体" w:cs="宋体"/>
          <w:color w:val="auto"/>
          <w:lang w:val="en-US" w:eastAsia="zh-CN"/>
        </w:rPr>
        <w:t>需要</w:t>
      </w:r>
      <w:r>
        <w:rPr>
          <w:rFonts w:hint="eastAsia" w:ascii="宋体" w:hAnsi="宋体" w:eastAsia="宋体" w:cs="宋体"/>
          <w:color w:val="auto"/>
        </w:rPr>
        <w:t>对网络划分不同的安全区域，并为各安全区域分配相应的地址和设置默认路由。在安全域划分基础上可方便地进行网络访问控制、网络资源（带宽、处理能力）管控等安全控制，并对不同安全域边界的保护策略进行针对性设计。</w:t>
      </w:r>
    </w:p>
    <w:p w14:paraId="69D38053">
      <w:pPr>
        <w:pStyle w:val="254"/>
        <w:rPr>
          <w:rFonts w:hint="eastAsia" w:ascii="宋体" w:hAnsi="宋体" w:eastAsia="宋体" w:cs="宋体"/>
          <w:b/>
          <w:bCs/>
          <w:color w:val="auto"/>
        </w:rPr>
      </w:pPr>
      <w:r>
        <w:rPr>
          <w:rFonts w:hint="eastAsia" w:ascii="宋体" w:hAnsi="宋体" w:eastAsia="宋体" w:cs="宋体"/>
          <w:b/>
          <w:bCs/>
          <w:color w:val="auto"/>
        </w:rPr>
        <w:t>1）安全域划分</w:t>
      </w:r>
    </w:p>
    <w:p w14:paraId="129D38D7">
      <w:pPr>
        <w:pStyle w:val="254"/>
        <w:ind w:firstLine="480" w:firstLineChars="200"/>
        <w:rPr>
          <w:rFonts w:hint="eastAsia" w:ascii="宋体" w:hAnsi="宋体" w:eastAsia="宋体" w:cs="宋体"/>
          <w:color w:val="auto"/>
        </w:rPr>
      </w:pPr>
      <w:r>
        <w:rPr>
          <w:rFonts w:hint="eastAsia" w:ascii="宋体" w:hAnsi="宋体" w:eastAsia="宋体" w:cs="宋体"/>
          <w:color w:val="auto"/>
          <w:lang w:val="en-US" w:eastAsia="zh-CN"/>
        </w:rPr>
        <w:t>对</w:t>
      </w:r>
      <w:r>
        <w:rPr>
          <w:rFonts w:hint="eastAsia" w:ascii="宋体" w:hAnsi="宋体" w:eastAsia="宋体" w:cs="宋体"/>
          <w:color w:val="auto"/>
        </w:rPr>
        <w:t>网络各个组成部分的业务功能、安全保护级别、访问需求等进行安全域划分，具体包括</w:t>
      </w:r>
      <w:r>
        <w:rPr>
          <w:rFonts w:hint="eastAsia" w:ascii="宋体" w:hAnsi="宋体" w:eastAsia="宋体" w:cs="宋体"/>
          <w:color w:val="auto"/>
          <w:lang w:val="en-US" w:eastAsia="zh-CN"/>
        </w:rPr>
        <w:t>专网</w:t>
      </w:r>
      <w:r>
        <w:rPr>
          <w:rFonts w:hint="eastAsia" w:ascii="宋体" w:hAnsi="宋体" w:eastAsia="宋体" w:cs="宋体"/>
          <w:color w:val="auto"/>
        </w:rPr>
        <w:t>接入区、互联网核心交换区</w:t>
      </w:r>
      <w:r>
        <w:rPr>
          <w:rFonts w:hint="eastAsia" w:ascii="宋体" w:hAnsi="宋体" w:eastAsia="宋体" w:cs="宋体"/>
          <w:color w:val="auto"/>
          <w:lang w:eastAsia="zh-CN"/>
        </w:rPr>
        <w:t>、</w:t>
      </w:r>
      <w:r>
        <w:rPr>
          <w:rFonts w:hint="eastAsia" w:ascii="宋体" w:hAnsi="宋体" w:eastAsia="宋体" w:cs="宋体"/>
          <w:color w:val="auto"/>
        </w:rPr>
        <w:t>内网核心交换区、</w:t>
      </w:r>
      <w:r>
        <w:rPr>
          <w:rFonts w:hint="eastAsia" w:ascii="宋体" w:hAnsi="宋体" w:eastAsia="宋体" w:cs="宋体"/>
          <w:color w:val="auto"/>
          <w:lang w:val="en-US" w:eastAsia="zh-CN"/>
        </w:rPr>
        <w:t>备份区</w:t>
      </w:r>
      <w:r>
        <w:rPr>
          <w:rFonts w:hint="eastAsia" w:ascii="宋体" w:hAnsi="宋体" w:eastAsia="宋体" w:cs="宋体"/>
          <w:color w:val="auto"/>
        </w:rPr>
        <w:t>、安全运维管理区等区域。</w:t>
      </w:r>
      <w:bookmarkStart w:id="448" w:name="_Toc90264999"/>
    </w:p>
    <w:bookmarkEnd w:id="448"/>
    <w:p w14:paraId="7BE5DA4D">
      <w:pPr>
        <w:pStyle w:val="254"/>
        <w:rPr>
          <w:rFonts w:hint="eastAsia" w:ascii="宋体" w:hAnsi="宋体" w:eastAsia="宋体" w:cs="宋体"/>
          <w:b/>
          <w:bCs/>
          <w:color w:val="auto"/>
        </w:rPr>
      </w:pPr>
      <w:r>
        <w:rPr>
          <w:rFonts w:hint="eastAsia" w:ascii="宋体" w:hAnsi="宋体" w:eastAsia="宋体" w:cs="宋体"/>
          <w:b/>
          <w:bCs/>
          <w:color w:val="auto"/>
          <w:lang w:val="en-US" w:eastAsia="zh-CN"/>
        </w:rPr>
        <w:t>2</w:t>
      </w:r>
      <w:r>
        <w:rPr>
          <w:rFonts w:hint="eastAsia" w:ascii="宋体" w:hAnsi="宋体" w:eastAsia="宋体" w:cs="宋体"/>
          <w:b/>
          <w:bCs/>
          <w:color w:val="auto"/>
        </w:rPr>
        <w:t>）区域边界隔离（VLAN/下一代防火墙/双向网闸）</w:t>
      </w:r>
    </w:p>
    <w:p w14:paraId="7070D133">
      <w:pPr>
        <w:pStyle w:val="254"/>
        <w:ind w:firstLine="480" w:firstLineChars="200"/>
        <w:rPr>
          <w:rFonts w:hint="eastAsia" w:ascii="宋体" w:hAnsi="宋体" w:eastAsia="宋体" w:cs="宋体"/>
          <w:color w:val="auto"/>
        </w:rPr>
      </w:pPr>
      <w:r>
        <w:rPr>
          <w:rFonts w:hint="eastAsia" w:ascii="宋体" w:hAnsi="宋体" w:eastAsia="宋体" w:cs="宋体"/>
          <w:color w:val="auto"/>
        </w:rPr>
        <w:t>在安全域划分的基础上，利用路由交换设备自身的能力，按照用户实际需求，对内部网络不同安全域划分不同逻辑子网（VLAN），并在VLAN之间定义访问控制规则（ACL），实现网络内部不同安全域之间的基本隔离。</w:t>
      </w:r>
    </w:p>
    <w:p w14:paraId="45CBFCD4">
      <w:pPr>
        <w:pStyle w:val="254"/>
        <w:ind w:firstLine="480" w:firstLineChars="200"/>
        <w:rPr>
          <w:rFonts w:hint="eastAsia" w:ascii="宋体" w:hAnsi="宋体" w:eastAsia="宋体" w:cs="宋体"/>
          <w:color w:val="auto"/>
        </w:rPr>
      </w:pPr>
      <w:r>
        <w:rPr>
          <w:rFonts w:hint="eastAsia" w:ascii="宋体" w:hAnsi="宋体" w:eastAsia="宋体" w:cs="宋体"/>
          <w:color w:val="auto"/>
          <w:lang w:val="en-US" w:eastAsia="zh-CN"/>
        </w:rPr>
        <w:t>在樟树市人民医院数据中心划分区域边界</w:t>
      </w:r>
      <w:r>
        <w:rPr>
          <w:rFonts w:hint="eastAsia" w:ascii="宋体" w:hAnsi="宋体" w:eastAsia="宋体" w:cs="宋体"/>
          <w:color w:val="auto"/>
        </w:rPr>
        <w:t>，</w:t>
      </w:r>
      <w:r>
        <w:rPr>
          <w:rFonts w:hint="eastAsia" w:ascii="宋体" w:hAnsi="宋体" w:eastAsia="宋体" w:cs="宋体"/>
          <w:b/>
          <w:bCs/>
          <w:color w:val="auto"/>
        </w:rPr>
        <w:t>在医院信息系统的互联网接入链路与互联网核心交换机之间、专网接入区与内网核心交换机之间分别串联部署下一代防火墙，</w:t>
      </w:r>
      <w:r>
        <w:rPr>
          <w:rFonts w:hint="eastAsia" w:ascii="宋体" w:hAnsi="宋体" w:eastAsia="宋体" w:cs="宋体"/>
          <w:b/>
          <w:bCs/>
          <w:color w:val="auto"/>
          <w:lang w:val="en-US" w:eastAsia="zh-CN"/>
        </w:rPr>
        <w:t>在内外网之间部署网闸，</w:t>
      </w:r>
      <w:r>
        <w:rPr>
          <w:rFonts w:hint="eastAsia" w:ascii="宋体" w:hAnsi="宋体" w:eastAsia="宋体" w:cs="宋体"/>
          <w:b/>
          <w:bCs/>
          <w:color w:val="auto"/>
        </w:rPr>
        <w:t>实现内外网安全隔离和内部不同网络区域之间的安全隔离，互联网核心区与内网核心区之间部署双向网闸保障数据交换安全性</w:t>
      </w:r>
      <w:r>
        <w:rPr>
          <w:rFonts w:hint="eastAsia" w:ascii="宋体" w:hAnsi="宋体" w:eastAsia="宋体" w:cs="宋体"/>
          <w:color w:val="auto"/>
        </w:rPr>
        <w:t xml:space="preserve">。通过设置相应的网络地址转换策略和端口控制策略，避免将重要网络区域直接暴露在互联网上及与其他网络区域直接连通。 </w:t>
      </w:r>
    </w:p>
    <w:p w14:paraId="5464E44A">
      <w:pPr>
        <w:pStyle w:val="254"/>
        <w:ind w:firstLine="480" w:firstLineChars="200"/>
        <w:rPr>
          <w:rFonts w:hint="default" w:ascii="宋体" w:hAnsi="宋体" w:eastAsia="宋体" w:cs="宋体"/>
          <w:color w:val="auto"/>
          <w:lang w:val="en-US" w:eastAsia="zh-CN"/>
        </w:rPr>
      </w:pPr>
      <w:r>
        <w:rPr>
          <w:rFonts w:hint="eastAsia" w:ascii="宋体" w:hAnsi="宋体" w:eastAsia="宋体" w:cs="宋体"/>
          <w:color w:val="auto"/>
          <w:lang w:val="en-US" w:eastAsia="zh-CN"/>
        </w:rPr>
        <w:t>同时，建议医院未来在内网核心交换机与服务器之间部署防火墙设备。</w:t>
      </w:r>
    </w:p>
    <w:p w14:paraId="0003E727">
      <w:pPr>
        <w:pStyle w:val="254"/>
        <w:rPr>
          <w:rFonts w:hint="eastAsia" w:ascii="宋体" w:hAnsi="宋体" w:eastAsia="宋体" w:cs="宋体"/>
          <w:b/>
          <w:bCs/>
          <w:color w:val="auto"/>
        </w:rPr>
      </w:pPr>
      <w:r>
        <w:rPr>
          <w:rFonts w:hint="eastAsia" w:ascii="宋体" w:hAnsi="宋体" w:eastAsia="宋体" w:cs="宋体"/>
          <w:b/>
          <w:bCs/>
          <w:color w:val="auto"/>
        </w:rPr>
        <w:t>4）高可用性设计</w:t>
      </w:r>
    </w:p>
    <w:p w14:paraId="1BC7C6D3">
      <w:pPr>
        <w:pStyle w:val="254"/>
        <w:ind w:firstLine="480" w:firstLineChars="200"/>
        <w:rPr>
          <w:rFonts w:hint="eastAsia" w:ascii="宋体" w:hAnsi="宋体" w:eastAsia="宋体" w:cs="宋体"/>
          <w:color w:val="auto"/>
        </w:rPr>
      </w:pPr>
      <w:r>
        <w:rPr>
          <w:rFonts w:hint="eastAsia" w:ascii="宋体" w:hAnsi="宋体" w:eastAsia="宋体" w:cs="宋体"/>
          <w:color w:val="auto"/>
        </w:rPr>
        <w:t>单线路、单设备的结构很容易发生单点故障导致业务中断，因此对于提供关键业务服务的信息系统，应用访问路径上的任何一条通信链路、任何一台网关设备和交换设备，都应当采用可靠的冗余备份机制，以最大化保障数据访问的可用性和业务的连续性。</w:t>
      </w:r>
    </w:p>
    <w:p w14:paraId="46517724">
      <w:pPr>
        <w:pStyle w:val="254"/>
        <w:ind w:firstLine="480" w:firstLineChars="200"/>
        <w:rPr>
          <w:rFonts w:hint="eastAsia" w:ascii="宋体" w:hAnsi="宋体" w:eastAsia="宋体" w:cs="宋体"/>
          <w:color w:val="auto"/>
        </w:rPr>
      </w:pPr>
      <w:r>
        <w:rPr>
          <w:rFonts w:hint="eastAsia" w:ascii="宋体" w:hAnsi="宋体" w:eastAsia="宋体" w:cs="宋体"/>
          <w:color w:val="auto"/>
          <w:lang w:val="en-US" w:eastAsia="zh-CN"/>
        </w:rPr>
        <w:t>在未来，</w:t>
      </w:r>
      <w:r>
        <w:rPr>
          <w:rFonts w:hint="eastAsia" w:ascii="宋体" w:hAnsi="宋体" w:eastAsia="宋体" w:cs="宋体"/>
          <w:color w:val="auto"/>
        </w:rPr>
        <w:t>建议在医院信息系统中，除了互联网接入链路应采用多运营商链路互备、关键业务系统应采用虚拟化及双活部署方式，对于局域网骨干核心链路及相关的网络路由交换设备、安全网关设备等均采用冗余热备的部署方式，以提升网络系统的整体容错能力，防止出现单点故障。</w:t>
      </w:r>
    </w:p>
    <w:p w14:paraId="59110AB7">
      <w:pPr>
        <w:pStyle w:val="254"/>
        <w:numPr>
          <w:ilvl w:val="0"/>
          <w:numId w:val="240"/>
        </w:numPr>
        <w:ind w:left="0" w:leftChars="0" w:firstLine="420" w:firstLineChars="0"/>
        <w:rPr>
          <w:rFonts w:hint="eastAsia" w:ascii="宋体" w:hAnsi="宋体" w:eastAsia="宋体" w:cs="宋体"/>
          <w:b/>
          <w:bCs/>
          <w:color w:val="auto"/>
        </w:rPr>
      </w:pPr>
      <w:bookmarkStart w:id="449" w:name="_Toc33101842"/>
      <w:r>
        <w:rPr>
          <w:rFonts w:hint="eastAsia" w:ascii="宋体" w:hAnsi="宋体" w:eastAsia="宋体" w:cs="宋体"/>
          <w:b/>
          <w:bCs/>
          <w:color w:val="auto"/>
        </w:rPr>
        <w:t>通信传输安全（VPN）</w:t>
      </w:r>
      <w:bookmarkEnd w:id="449"/>
    </w:p>
    <w:p w14:paraId="499958CD">
      <w:pPr>
        <w:pStyle w:val="254"/>
        <w:ind w:firstLine="480" w:firstLineChars="200"/>
        <w:rPr>
          <w:rFonts w:hint="eastAsia" w:ascii="宋体" w:hAnsi="宋体" w:eastAsia="宋体" w:cs="宋体"/>
          <w:color w:val="auto"/>
        </w:rPr>
      </w:pPr>
      <w:r>
        <w:rPr>
          <w:rFonts w:hint="eastAsia" w:ascii="宋体" w:hAnsi="宋体" w:eastAsia="宋体" w:cs="宋体"/>
          <w:color w:val="auto"/>
        </w:rPr>
        <w:t>对于医院信息系统注册用户及移动办公、远程运维人员通过互联网登录到网站系统进行的业务交互操作或远程管理操作，需要采用IPSEC或SSL VPN技术保证重要、敏感信息在网络传输过程中完整性和保密性。</w:t>
      </w:r>
    </w:p>
    <w:p w14:paraId="6E06D9D0">
      <w:pPr>
        <w:pStyle w:val="254"/>
        <w:ind w:firstLine="482" w:firstLineChars="200"/>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目前在数据中心防火墙中集成VPN功能，具备基于SSL协议的接入能力，保证远程安全接入，保障通信传输安全。</w:t>
      </w:r>
    </w:p>
    <w:p w14:paraId="349375F1">
      <w:pPr>
        <w:pStyle w:val="10"/>
        <w:bidi w:val="0"/>
        <w:ind w:left="720" w:leftChars="0" w:hanging="720" w:firstLineChars="0"/>
        <w:rPr>
          <w:rFonts w:hint="eastAsia" w:eastAsia="宋体" w:cs="Times New Roman" w:asciiTheme="minorAscii" w:hAnsiTheme="minorAscii"/>
          <w:b/>
          <w:color w:val="auto"/>
          <w:kern w:val="2"/>
          <w:sz w:val="24"/>
          <w:szCs w:val="24"/>
          <w:highlight w:val="none"/>
          <w:lang w:val="en-US" w:eastAsia="zh-CN" w:bidi="ar-SA"/>
        </w:rPr>
      </w:pPr>
      <w:bookmarkStart w:id="450" w:name="_Toc17825"/>
      <w:bookmarkStart w:id="451" w:name="_Toc31031"/>
      <w:bookmarkStart w:id="452" w:name="_Toc33101844"/>
      <w:r>
        <w:rPr>
          <w:rFonts w:hint="eastAsia" w:cs="Times New Roman"/>
          <w:b/>
          <w:color w:val="auto"/>
          <w:kern w:val="2"/>
          <w:sz w:val="24"/>
          <w:szCs w:val="24"/>
          <w:highlight w:val="none"/>
          <w:lang w:val="en-US" w:eastAsia="zh-CN" w:bidi="ar-SA"/>
        </w:rPr>
        <w:t>IPV6规模部署和应用情况</w:t>
      </w:r>
      <w:bookmarkEnd w:id="450"/>
    </w:p>
    <w:p w14:paraId="1352730E">
      <w:pPr>
        <w:bidi w:val="0"/>
        <w:rPr>
          <w:rFonts w:hint="eastAsia"/>
          <w:color w:val="auto"/>
        </w:rPr>
      </w:pPr>
      <w:r>
        <w:rPr>
          <w:rFonts w:hint="eastAsia"/>
          <w:color w:val="auto"/>
        </w:rPr>
        <w:t>根据《江西省人民政府办公厅关于印发江西省数字政府建设三年行动计划（2022—2024年）的通知》（赣府厅字〔2022〕49号）要求，全面推进IPV6（第六代互联网协议）规模化应用，推进政务网、数据中心及相关业务系统、应用平台等方面全面实现支持IPV6的工作指示，该项目需支持</w:t>
      </w:r>
      <w:r>
        <w:rPr>
          <w:rFonts w:hint="eastAsia"/>
          <w:color w:val="auto"/>
          <w:lang w:val="en-US" w:eastAsia="zh-CN"/>
        </w:rPr>
        <w:t>并优先</w:t>
      </w:r>
      <w:r>
        <w:rPr>
          <w:rFonts w:hint="eastAsia"/>
          <w:color w:val="auto"/>
        </w:rPr>
        <w:t>适配IPV6，实现IPV4与IPV6的互联互通，并确保IPV6适配后的系统稳定性和性能。</w:t>
      </w:r>
    </w:p>
    <w:p w14:paraId="5765DA55">
      <w:pPr>
        <w:numPr>
          <w:ilvl w:val="0"/>
          <w:numId w:val="241"/>
        </w:numPr>
        <w:bidi w:val="0"/>
        <w:ind w:left="425" w:leftChars="0" w:firstLine="55" w:firstLineChars="0"/>
        <w:rPr>
          <w:rFonts w:hint="eastAsia"/>
          <w:b/>
          <w:bCs/>
          <w:color w:val="auto"/>
        </w:rPr>
      </w:pPr>
      <w:r>
        <w:rPr>
          <w:rFonts w:hint="eastAsia"/>
          <w:b/>
          <w:bCs/>
          <w:color w:val="auto"/>
        </w:rPr>
        <w:t>数据库IPV6兼容</w:t>
      </w:r>
    </w:p>
    <w:p w14:paraId="316F9F65">
      <w:pPr>
        <w:bidi w:val="0"/>
        <w:rPr>
          <w:rFonts w:hint="eastAsia"/>
          <w:color w:val="auto"/>
        </w:rPr>
      </w:pPr>
      <w:r>
        <w:rPr>
          <w:rFonts w:hint="eastAsia"/>
          <w:color w:val="auto"/>
        </w:rPr>
        <w:t>需要进行平台数据库IPV6兼容，修改平台数据库配置文件，使其能够支持监听IPV6地址。同时更新数据库的访问控制规则，允许IPV6地址的客户端访问。</w:t>
      </w:r>
    </w:p>
    <w:p w14:paraId="5FD19435">
      <w:pPr>
        <w:bidi w:val="0"/>
        <w:rPr>
          <w:rFonts w:hint="eastAsia"/>
          <w:b/>
          <w:bCs/>
          <w:color w:val="auto"/>
        </w:rPr>
      </w:pPr>
      <w:r>
        <w:rPr>
          <w:rFonts w:hint="eastAsia"/>
          <w:b/>
          <w:bCs/>
          <w:color w:val="auto"/>
        </w:rPr>
        <w:t>2. 缓存中间件IPV6兼容</w:t>
      </w:r>
    </w:p>
    <w:p w14:paraId="2418820A">
      <w:pPr>
        <w:bidi w:val="0"/>
        <w:rPr>
          <w:rFonts w:hint="eastAsia"/>
          <w:color w:val="auto"/>
        </w:rPr>
      </w:pPr>
      <w:r>
        <w:rPr>
          <w:rFonts w:hint="eastAsia"/>
          <w:color w:val="auto"/>
        </w:rPr>
        <w:t>缓存中间件是一个支持网络的、基于内存的、可选持久化的键值对存储系统，用于存储用户登录信息、热点数据等，提高查询效率。</w:t>
      </w:r>
    </w:p>
    <w:p w14:paraId="78D697CD">
      <w:pPr>
        <w:bidi w:val="0"/>
        <w:rPr>
          <w:rFonts w:hint="eastAsia"/>
          <w:color w:val="auto"/>
        </w:rPr>
      </w:pPr>
      <w:r>
        <w:rPr>
          <w:rFonts w:hint="eastAsia"/>
          <w:color w:val="auto"/>
        </w:rPr>
        <w:t>需要进行缓存中间件IPV6兼容，修改缓存中间件配置文件，实现监听IPV6地址。同时在应用程序中使用IPV6地址连接缓存中间件服务器，确保可以成功连接到缓存中间件，并能够进行数据读写操作。</w:t>
      </w:r>
    </w:p>
    <w:p w14:paraId="2FE6D9F2">
      <w:pPr>
        <w:bidi w:val="0"/>
        <w:rPr>
          <w:rFonts w:hint="eastAsia"/>
          <w:b/>
          <w:bCs/>
          <w:color w:val="auto"/>
        </w:rPr>
      </w:pPr>
      <w:r>
        <w:rPr>
          <w:rFonts w:hint="eastAsia"/>
          <w:b/>
          <w:bCs/>
          <w:color w:val="auto"/>
        </w:rPr>
        <w:t>3. Web容器中间件IPV6兼容</w:t>
      </w:r>
    </w:p>
    <w:p w14:paraId="6443DC00">
      <w:pPr>
        <w:bidi w:val="0"/>
        <w:rPr>
          <w:rFonts w:hint="eastAsia"/>
          <w:color w:val="auto"/>
        </w:rPr>
      </w:pPr>
      <w:r>
        <w:rPr>
          <w:rFonts w:hint="eastAsia"/>
          <w:color w:val="auto"/>
        </w:rPr>
        <w:t>需要进行Web 容器中间件IPV6兼容，修改Web容器配置文件，实现监听IPV6地址，并确保Web 容器的日志配置能够记录与IPv6相关的任何错误或异常。</w:t>
      </w:r>
    </w:p>
    <w:p w14:paraId="71549973">
      <w:pPr>
        <w:bidi w:val="0"/>
        <w:rPr>
          <w:rFonts w:hint="eastAsia"/>
          <w:b/>
          <w:bCs/>
          <w:color w:val="auto"/>
        </w:rPr>
      </w:pPr>
      <w:r>
        <w:rPr>
          <w:rFonts w:hint="eastAsia"/>
          <w:b/>
          <w:bCs/>
          <w:color w:val="auto"/>
        </w:rPr>
        <w:t>4. 代理中间件IPV6兼容</w:t>
      </w:r>
    </w:p>
    <w:p w14:paraId="22C787C7">
      <w:pPr>
        <w:bidi w:val="0"/>
        <w:rPr>
          <w:rFonts w:hint="eastAsia"/>
          <w:color w:val="auto"/>
        </w:rPr>
      </w:pPr>
      <w:r>
        <w:rPr>
          <w:rFonts w:hint="eastAsia"/>
          <w:color w:val="auto"/>
        </w:rPr>
        <w:t>代理中间件能够同时处理大量并发请求，通过反向代理，可以隐藏后端服务器的真实IP地址，增加安全性，并可以将客户端的请求分发到多个后端服务器上，实现负载均衡，从而提高系统的整体性能和可靠性。</w:t>
      </w:r>
    </w:p>
    <w:p w14:paraId="1B8E6BAD">
      <w:pPr>
        <w:bidi w:val="0"/>
        <w:rPr>
          <w:rFonts w:hint="eastAsia"/>
          <w:color w:val="auto"/>
        </w:rPr>
      </w:pPr>
      <w:r>
        <w:rPr>
          <w:rFonts w:hint="eastAsia"/>
          <w:color w:val="auto"/>
        </w:rPr>
        <w:t>需要进行代理中间件IPV6兼容，修改代理中间件配置文件，实现监听IPV6地址，并确保代理中间件的日志配置能够记录与IPv6相关的任何错误或异常。</w:t>
      </w:r>
    </w:p>
    <w:p w14:paraId="25938B49">
      <w:pPr>
        <w:numPr>
          <w:ilvl w:val="0"/>
          <w:numId w:val="242"/>
        </w:numPr>
        <w:bidi w:val="0"/>
        <w:ind w:left="425" w:leftChars="0" w:firstLine="55" w:firstLineChars="0"/>
        <w:rPr>
          <w:rFonts w:hint="eastAsia"/>
          <w:b/>
          <w:bCs/>
          <w:color w:val="auto"/>
        </w:rPr>
      </w:pPr>
      <w:r>
        <w:rPr>
          <w:rFonts w:hint="eastAsia"/>
          <w:b/>
          <w:bCs/>
          <w:color w:val="auto"/>
        </w:rPr>
        <w:t>消息队列中间件IPV6兼容改造</w:t>
      </w:r>
    </w:p>
    <w:p w14:paraId="229B29AC">
      <w:pPr>
        <w:bidi w:val="0"/>
        <w:rPr>
          <w:rFonts w:hint="eastAsia"/>
          <w:color w:val="auto"/>
        </w:rPr>
      </w:pPr>
      <w:r>
        <w:rPr>
          <w:rFonts w:hint="eastAsia"/>
          <w:color w:val="auto"/>
        </w:rPr>
        <w:t>消息队列中间件旨在为应用程序提供高效的、可扩展的、稳定的和安全的企业级消息通信，支持异步消息处理，这意味着应用程序可以在不等待响应的情况下继续执行其他任务，在高并发场景下可以作为消息队列来缓冲和调节流量。</w:t>
      </w:r>
    </w:p>
    <w:p w14:paraId="048EF00F">
      <w:pPr>
        <w:bidi w:val="0"/>
        <w:rPr>
          <w:rFonts w:hint="eastAsia"/>
          <w:color w:val="auto"/>
        </w:rPr>
      </w:pPr>
      <w:r>
        <w:rPr>
          <w:rFonts w:hint="eastAsia"/>
          <w:color w:val="auto"/>
        </w:rPr>
        <w:t>需要进行消息队列中间件IPV6兼容适配改造，修改消息队列中间件配置文件，实现监听IPV6地址，并确保消息队列中间件的日志配置能够记录与IPV6相关的任何错误或异常。修改消息队列中间件外部API交互配置，使其兼容IPV6地址调用。</w:t>
      </w:r>
    </w:p>
    <w:p w14:paraId="75901946">
      <w:pPr>
        <w:numPr>
          <w:ilvl w:val="0"/>
          <w:numId w:val="242"/>
        </w:numPr>
        <w:bidi w:val="0"/>
        <w:ind w:left="425" w:leftChars="0" w:firstLine="55" w:firstLineChars="0"/>
        <w:rPr>
          <w:rFonts w:hint="eastAsia" w:ascii="宋体" w:hAnsi="宋体" w:eastAsia="宋体" w:cs="Times New Roman"/>
          <w:b/>
          <w:bCs/>
          <w:color w:val="auto"/>
        </w:rPr>
      </w:pPr>
      <w:r>
        <w:rPr>
          <w:rFonts w:hint="eastAsia" w:ascii="宋体" w:hAnsi="宋体" w:eastAsia="宋体" w:cs="Times New Roman"/>
          <w:b/>
          <w:bCs/>
          <w:color w:val="auto"/>
        </w:rPr>
        <w:t>外部对接IPV6地址改造</w:t>
      </w:r>
    </w:p>
    <w:p w14:paraId="7E5D38F5">
      <w:pPr>
        <w:bidi w:val="0"/>
        <w:rPr>
          <w:rFonts w:hint="eastAsia"/>
          <w:color w:val="auto"/>
          <w:lang w:val="en-US" w:eastAsia="zh-CN"/>
        </w:rPr>
      </w:pPr>
      <w:r>
        <w:rPr>
          <w:rFonts w:hint="eastAsia"/>
          <w:color w:val="auto"/>
        </w:rPr>
        <w:t>需要进行平台外部对接IPV6地址改造，在现有基础设施上，对外部接口配置文件进行改造，实现支持IPV6协议，同时对关联外部系统进行改造后测试，确保功能一致性。</w:t>
      </w:r>
    </w:p>
    <w:p w14:paraId="6545C80D">
      <w:pPr>
        <w:pStyle w:val="10"/>
        <w:bidi w:val="0"/>
        <w:ind w:left="720" w:leftChars="0" w:hanging="720" w:firstLineChars="0"/>
        <w:rPr>
          <w:rFonts w:hint="eastAsia"/>
          <w:color w:val="auto"/>
        </w:rPr>
      </w:pPr>
      <w:bookmarkStart w:id="453" w:name="_Toc33"/>
      <w:r>
        <w:rPr>
          <w:rFonts w:hint="eastAsia"/>
          <w:color w:val="auto"/>
        </w:rPr>
        <w:t>安全区域边界设计</w:t>
      </w:r>
      <w:bookmarkEnd w:id="451"/>
      <w:bookmarkEnd w:id="452"/>
      <w:bookmarkEnd w:id="453"/>
    </w:p>
    <w:p w14:paraId="1AEF81B0">
      <w:pPr>
        <w:pStyle w:val="254"/>
        <w:ind w:firstLine="480" w:firstLineChars="200"/>
        <w:rPr>
          <w:rFonts w:hint="eastAsia" w:ascii="宋体" w:hAnsi="宋体" w:eastAsia="宋体" w:cs="宋体"/>
          <w:color w:val="auto"/>
        </w:rPr>
      </w:pPr>
      <w:r>
        <w:rPr>
          <w:rFonts w:hint="eastAsia" w:ascii="宋体" w:hAnsi="宋体" w:eastAsia="宋体" w:cs="宋体"/>
          <w:color w:val="auto"/>
        </w:rPr>
        <w:t>安全区域边界是对内部应用系统计算环境进行安全防护和防止敏感信息泄露的必经渠道；通过区域边界的安全控制，可以对进入和流出应用环境的信息流进行安全检查，既可以保证应用系统中的敏感信息不会泄漏出去，同时也可以防止应用系统遭受外界的恶意攻击和破坏。</w:t>
      </w:r>
    </w:p>
    <w:p w14:paraId="7C706CE0">
      <w:pPr>
        <w:pStyle w:val="254"/>
        <w:numPr>
          <w:ilvl w:val="0"/>
          <w:numId w:val="243"/>
        </w:numPr>
        <w:ind w:left="0" w:leftChars="0" w:firstLine="420" w:firstLineChars="0"/>
        <w:rPr>
          <w:rFonts w:hint="eastAsia" w:ascii="宋体" w:hAnsi="宋体" w:eastAsia="宋体" w:cs="宋体"/>
          <w:b/>
          <w:bCs/>
          <w:color w:val="auto"/>
        </w:rPr>
      </w:pPr>
      <w:bookmarkStart w:id="454" w:name="_Toc33101845"/>
      <w:r>
        <w:rPr>
          <w:rFonts w:hint="eastAsia" w:ascii="宋体" w:hAnsi="宋体" w:eastAsia="宋体" w:cs="宋体"/>
          <w:b/>
          <w:bCs/>
          <w:color w:val="auto"/>
        </w:rPr>
        <w:t>边界防护</w:t>
      </w:r>
      <w:bookmarkEnd w:id="454"/>
    </w:p>
    <w:p w14:paraId="10A26559">
      <w:pPr>
        <w:pStyle w:val="254"/>
        <w:ind w:firstLine="480" w:firstLineChars="200"/>
        <w:rPr>
          <w:rFonts w:hint="eastAsia" w:ascii="宋体" w:hAnsi="宋体" w:eastAsia="宋体" w:cs="宋体"/>
          <w:color w:val="auto"/>
        </w:rPr>
      </w:pPr>
      <w:r>
        <w:rPr>
          <w:rFonts w:hint="eastAsia" w:ascii="宋体" w:hAnsi="宋体" w:eastAsia="宋体" w:cs="宋体"/>
          <w:color w:val="auto"/>
        </w:rPr>
        <w:t>在网络边界需要部署防火墙对边界进行安全访问控制及安全检测，保证跨越边界的访问和数据流是通过边界防护设备提供的受控接口进行通信的。另外对于用户通过其他手段接入Internet（如无线网卡、双网卡、modem拨号上网），或使用非授权设备接入内网，这些边界防御则形同虚设。因此，必须在全网中对网络的接入和外联进行连接状态的监控，准确定位并能及时报警和阻断。</w:t>
      </w:r>
    </w:p>
    <w:p w14:paraId="4CA169C8">
      <w:pPr>
        <w:pStyle w:val="254"/>
        <w:rPr>
          <w:rFonts w:hint="eastAsia" w:ascii="宋体" w:hAnsi="宋体" w:eastAsia="宋体" w:cs="宋体"/>
          <w:b/>
          <w:bCs/>
          <w:color w:val="auto"/>
        </w:rPr>
      </w:pPr>
      <w:r>
        <w:rPr>
          <w:rFonts w:hint="eastAsia" w:ascii="宋体" w:hAnsi="宋体" w:eastAsia="宋体" w:cs="宋体"/>
          <w:b/>
          <w:bCs/>
          <w:color w:val="auto"/>
        </w:rPr>
        <w:t>1）边界通信控制（下一代防火墙）</w:t>
      </w:r>
    </w:p>
    <w:p w14:paraId="0AAA2954">
      <w:pPr>
        <w:pStyle w:val="254"/>
        <w:ind w:firstLine="480" w:firstLineChars="200"/>
        <w:rPr>
          <w:rFonts w:hint="eastAsia" w:ascii="宋体" w:hAnsi="宋体" w:eastAsia="宋体" w:cs="宋体"/>
          <w:color w:val="auto"/>
        </w:rPr>
      </w:pPr>
      <w:r>
        <w:rPr>
          <w:rFonts w:hint="eastAsia" w:ascii="宋体" w:hAnsi="宋体" w:eastAsia="宋体" w:cs="宋体"/>
          <w:color w:val="auto"/>
          <w:lang w:val="en-US" w:eastAsia="zh-CN"/>
        </w:rPr>
        <w:t>樟树市人民医院数据中心中，</w:t>
      </w:r>
      <w:r>
        <w:rPr>
          <w:rFonts w:hint="eastAsia" w:ascii="宋体" w:hAnsi="宋体" w:eastAsia="宋体" w:cs="宋体"/>
          <w:b/>
          <w:bCs/>
          <w:color w:val="auto"/>
        </w:rPr>
        <w:t>在医院信息系统的互联网接入链路与互联网核心交换机之间、专网接入区与内网核心交换机之间分别串联部署下一代防火墙</w:t>
      </w:r>
      <w:r>
        <w:rPr>
          <w:rFonts w:hint="eastAsia" w:ascii="宋体" w:hAnsi="宋体" w:eastAsia="宋体" w:cs="宋体"/>
          <w:color w:val="auto"/>
        </w:rPr>
        <w:t>，确保所有跨越边界的访问和所有流入、流出的数据均通过其受控接口进行通信、接受安全检查和处理。</w:t>
      </w:r>
    </w:p>
    <w:p w14:paraId="16BDDCB7">
      <w:pPr>
        <w:pStyle w:val="254"/>
        <w:rPr>
          <w:rFonts w:hint="eastAsia" w:ascii="宋体" w:hAnsi="宋体" w:eastAsia="宋体" w:cs="宋体"/>
          <w:b/>
          <w:bCs/>
          <w:color w:val="auto"/>
        </w:rPr>
      </w:pPr>
      <w:r>
        <w:rPr>
          <w:rFonts w:hint="eastAsia" w:ascii="宋体" w:hAnsi="宋体" w:eastAsia="宋体" w:cs="宋体"/>
          <w:b/>
          <w:bCs/>
          <w:color w:val="auto"/>
        </w:rPr>
        <w:t>2）网络准入控制</w:t>
      </w:r>
    </w:p>
    <w:p w14:paraId="24812FDC">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lang w:val="en-US" w:eastAsia="zh-CN"/>
        </w:rPr>
        <w:t>本项目通过部署网络准入控制设备实现对</w:t>
      </w:r>
      <w:r>
        <w:rPr>
          <w:rFonts w:hint="eastAsia" w:ascii="宋体" w:hAnsi="宋体" w:eastAsia="宋体" w:cs="宋体"/>
          <w:b/>
          <w:bCs/>
          <w:color w:val="auto"/>
        </w:rPr>
        <w:t>医院信息系统内部办公区域进行严格的网络接入监控。</w:t>
      </w:r>
      <w:r>
        <w:rPr>
          <w:rFonts w:hint="eastAsia" w:ascii="宋体" w:hAnsi="宋体" w:eastAsia="宋体" w:cs="宋体"/>
          <w:color w:val="auto"/>
        </w:rPr>
        <w:t>要求所有内网终端在准入网关上进行注册，并结合交换机开启的802.1X端口认证功能，确保只有认证通过的机器才能够接入网络，拒绝未经授权的机器接入内网或将其隔离到一个单独的网络区域进行受限的网络访问。或者如果终端安全状况检查（如防病毒软件、安全补丁等）没有达标，则交换机可以根据准入网关的指令，将其隔离到一个修复区，修复安全状况，一旦安全修复完成，准入网关会通知交换机将该终端从修复区切换到正常工作的VLAN之中。在接入终端安全状况检查通过后，准入网关将根据用户所属角色或所具备的权限来动态分配其工作VLAN。准入网关也支持对私自修改IP地址的行为进行实时监视和阻断，防止内网IP地址滥用影响正常网络通信。</w:t>
      </w:r>
    </w:p>
    <w:p w14:paraId="7641E73F">
      <w:pPr>
        <w:pStyle w:val="254"/>
        <w:jc w:val="both"/>
        <w:rPr>
          <w:rFonts w:hint="eastAsia" w:ascii="宋体" w:hAnsi="宋体" w:eastAsia="宋体" w:cs="宋体"/>
          <w:color w:val="auto"/>
        </w:rPr>
      </w:pPr>
      <w:r>
        <w:rPr>
          <w:rFonts w:hint="eastAsia" w:ascii="宋体" w:hAnsi="宋体" w:eastAsia="宋体" w:cs="宋体"/>
          <w:color w:val="auto"/>
        </w:rPr>
        <w:t>网络准入控制系统提供以下功能：</w:t>
      </w:r>
    </w:p>
    <w:p w14:paraId="48A9D0D9">
      <w:pPr>
        <w:pStyle w:val="254"/>
        <w:ind w:firstLine="480" w:firstLineChars="200"/>
        <w:rPr>
          <w:rFonts w:hint="eastAsia" w:ascii="宋体" w:hAnsi="宋体" w:eastAsia="宋体" w:cs="宋体"/>
          <w:color w:val="auto"/>
        </w:rPr>
      </w:pPr>
      <w:r>
        <w:rPr>
          <w:rFonts w:hint="eastAsia" w:ascii="宋体" w:hAnsi="宋体" w:eastAsia="宋体" w:cs="宋体"/>
          <w:color w:val="auto"/>
        </w:rPr>
        <w:t>网络准入身份认证：基于802.1X方式实现准入，通过对支持此协议的交换机进行管理，利用交换机LAN架构的物理特性，实现LAN端口的设备认证。只有安装客户端且具有合法账号的终端计算机才能通过认证。</w:t>
      </w:r>
    </w:p>
    <w:p w14:paraId="3AD910EE">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合规性健康检查：终端计算机在入网身份认证通过后，进入终端安全合规检测环节，并通过评分制的形式对终端的健康状况做最后的评估。只有通过合规检测的，才能顺利通过入网认证管理，否则隔离处理，即入网必合规。可以参考的合规检测项目：系统时间、系统运行时长、Guest用户、Windows文件共享、Windows防火墙、必须运行的进程、必须运行的服务、必须安装的软件、禁止安装的软件、是否安装防病毒软件及病毒库是否为最新版本、是否安装最新的系统和软件补丁等。</w:t>
      </w:r>
    </w:p>
    <w:p w14:paraId="258040E5">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接入管理：结合健康检查结果，通过服务器和网络设备以及终端PC联动来决定，包括：拒绝终端/用户接入；允许终端/用户接入；隔离终端/用户（终端IP管理，VLAN隔离）；限制终端/用户访问权限。</w:t>
      </w:r>
    </w:p>
    <w:p w14:paraId="66EF3ADB">
      <w:pPr>
        <w:pStyle w:val="254"/>
        <w:jc w:val="both"/>
        <w:rPr>
          <w:rFonts w:hint="eastAsia" w:ascii="宋体" w:hAnsi="宋体" w:eastAsia="宋体" w:cs="宋体"/>
          <w:color w:val="auto"/>
        </w:rPr>
      </w:pPr>
      <w:r>
        <w:rPr>
          <w:rFonts w:hint="eastAsia" w:ascii="宋体" w:hAnsi="宋体" w:eastAsia="宋体" w:cs="宋体"/>
          <w:color w:val="auto"/>
        </w:rPr>
        <w:t>隔离修复：在隔离或者限制接入的情况下，还可以通过修复向导来恢复正常的网络访问权限。修复向导提供安全修复页面，客户端根据修复向导进行安全修复。</w:t>
      </w:r>
    </w:p>
    <w:p w14:paraId="5DAF9F33">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终端软硬件资产管理：对终端的软硬件资产信息进行采集，并对资产变化进行监测、报警，全面统计资产信息。</w:t>
      </w:r>
    </w:p>
    <w:p w14:paraId="252FEEFA">
      <w:pPr>
        <w:pStyle w:val="254"/>
        <w:jc w:val="both"/>
        <w:rPr>
          <w:rFonts w:hint="eastAsia" w:ascii="宋体" w:hAnsi="宋体" w:eastAsia="宋体" w:cs="宋体"/>
          <w:b/>
          <w:bCs/>
          <w:color w:val="auto"/>
        </w:rPr>
      </w:pPr>
      <w:r>
        <w:rPr>
          <w:rFonts w:hint="eastAsia" w:ascii="宋体" w:hAnsi="宋体" w:eastAsia="宋体" w:cs="宋体"/>
          <w:b/>
          <w:bCs/>
          <w:color w:val="auto"/>
        </w:rPr>
        <w:t>3）非法外联监控（终端安全管理）</w:t>
      </w:r>
    </w:p>
    <w:p w14:paraId="2C6DD76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终端安全管理</w:t>
      </w:r>
      <w:r>
        <w:rPr>
          <w:rFonts w:hint="eastAsia" w:ascii="宋体" w:hAnsi="宋体" w:eastAsia="宋体" w:cs="宋体"/>
          <w:color w:val="auto"/>
          <w:lang w:val="en-US" w:eastAsia="zh-CN"/>
        </w:rPr>
        <w:t>是</w:t>
      </w:r>
      <w:r>
        <w:rPr>
          <w:rFonts w:hint="eastAsia" w:ascii="宋体" w:hAnsi="宋体" w:eastAsia="宋体" w:cs="宋体"/>
          <w:color w:val="auto"/>
        </w:rPr>
        <w:t>在医院信息系统所有内部用户终端上部署非法外联监控（集成于终端安全管理系统中）代理软件，并在安全管理区部署相应的管理服务器，通过集中定制、强制执行的安全策略来监控和防范终端绕过边界安全防护机制私自利用双网卡、无线、拨号等手段非法连接外部网络。一旦发现被监控终端有违规外联行为，可依据预置的策略采取提示、报警、记录、断网或重启等处理动作。</w:t>
      </w:r>
    </w:p>
    <w:p w14:paraId="431EB316">
      <w:pPr>
        <w:pStyle w:val="254"/>
        <w:numPr>
          <w:ilvl w:val="0"/>
          <w:numId w:val="243"/>
        </w:numPr>
        <w:ind w:left="0" w:leftChars="0" w:firstLine="420" w:firstLineChars="0"/>
        <w:jc w:val="both"/>
        <w:rPr>
          <w:rFonts w:hint="eastAsia" w:ascii="宋体" w:hAnsi="宋体" w:eastAsia="宋体" w:cs="宋体"/>
          <w:b/>
          <w:bCs/>
          <w:color w:val="auto"/>
        </w:rPr>
      </w:pPr>
      <w:bookmarkStart w:id="455" w:name="_Toc33101846"/>
      <w:r>
        <w:rPr>
          <w:rFonts w:hint="eastAsia" w:ascii="宋体" w:hAnsi="宋体" w:eastAsia="宋体" w:cs="宋体"/>
          <w:b/>
          <w:bCs/>
          <w:color w:val="auto"/>
        </w:rPr>
        <w:t>访问控制</w:t>
      </w:r>
      <w:bookmarkEnd w:id="455"/>
    </w:p>
    <w:p w14:paraId="4365CBB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由于医院信息系统是面向Internet提供开放服务，很容易受到来自外部网络的非法访问和恶意攻击。借助基于深度包检测技术的网络访问控制机制，可对进出网络边界的通信报文、应用会话和数据内容进行检查，拦截非授权访问行为和非法数据通信。</w:t>
      </w:r>
    </w:p>
    <w:p w14:paraId="742208FF">
      <w:pPr>
        <w:pStyle w:val="254"/>
        <w:jc w:val="both"/>
        <w:rPr>
          <w:rFonts w:hint="eastAsia" w:ascii="宋体" w:hAnsi="宋体" w:eastAsia="宋体" w:cs="宋体"/>
          <w:b/>
          <w:bCs/>
          <w:color w:val="auto"/>
        </w:rPr>
      </w:pPr>
      <w:r>
        <w:rPr>
          <w:rFonts w:hint="eastAsia" w:ascii="宋体" w:hAnsi="宋体" w:eastAsia="宋体" w:cs="宋体"/>
          <w:b/>
          <w:bCs/>
          <w:color w:val="auto"/>
        </w:rPr>
        <w:t>1）协议级访问控制（下一代防火墙）</w:t>
      </w:r>
    </w:p>
    <w:p w14:paraId="3A0C1517">
      <w:pPr>
        <w:pStyle w:val="254"/>
        <w:ind w:firstLine="482" w:firstLineChars="200"/>
        <w:jc w:val="both"/>
        <w:rPr>
          <w:rFonts w:hint="eastAsia" w:ascii="宋体" w:hAnsi="宋体" w:eastAsia="宋体" w:cs="宋体"/>
          <w:b/>
          <w:bCs/>
          <w:color w:val="auto"/>
          <w:lang w:eastAsia="zh-CN"/>
        </w:rPr>
      </w:pPr>
      <w:r>
        <w:rPr>
          <w:rFonts w:hint="eastAsia" w:ascii="宋体" w:hAnsi="宋体" w:eastAsia="宋体" w:cs="宋体"/>
          <w:b/>
          <w:bCs/>
          <w:color w:val="auto"/>
          <w:lang w:val="en-US" w:eastAsia="zh-CN"/>
        </w:rPr>
        <w:t>本项目部署的</w:t>
      </w:r>
      <w:r>
        <w:rPr>
          <w:rFonts w:hint="eastAsia" w:ascii="宋体" w:hAnsi="宋体" w:eastAsia="宋体" w:cs="宋体"/>
          <w:b/>
          <w:bCs/>
          <w:color w:val="auto"/>
        </w:rPr>
        <w:t>下一代防火墙具备以下基本功能</w:t>
      </w: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同时集成av、ips、漏扫、VPN、防ddos模块</w:t>
      </w:r>
      <w:r>
        <w:rPr>
          <w:rFonts w:hint="eastAsia" w:ascii="宋体" w:hAnsi="宋体" w:eastAsia="宋体" w:cs="宋体"/>
          <w:b/>
          <w:bCs/>
          <w:color w:val="auto"/>
          <w:lang w:eastAsia="zh-CN"/>
        </w:rPr>
        <w:t>。</w:t>
      </w:r>
    </w:p>
    <w:p w14:paraId="2273918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安全隔离：防火墙串接部署在核心交换机与互联网接入链路、各网络区域接入交换机之间，实现内外网安全隔离和内部不同网络区域之间的安全隔离。 </w:t>
      </w:r>
    </w:p>
    <w:p w14:paraId="4B73EFCC">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网络访问控制：防火墙工作在网络出口及不同网络区域之间，对内外网络之间及内部各个网络区域之间流转的数据进行深度分析，依据数据包的源地址、目的地址、通信协议、端口、流量、用户、通信时间等信息进行判断，确定是否存在非法或违规的操作，对不符合允许转发策略的流量进行阻断，从而有效保障网络安全。</w:t>
      </w:r>
    </w:p>
    <w:p w14:paraId="301176F7">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会话监控：在防火墙配置会话监控策略，当会话处于非活跃一定时间或会话结束后，防火墙自动将会话丢弃，访问来源必须重新建立会话才能继续访问资源。</w:t>
      </w:r>
    </w:p>
    <w:p w14:paraId="54C69D0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防范带宽滥用：可基于应用内容而非协议端口识别包括传统协议、P2P下载、股票交易、即时通讯、流媒体、网络游戏、网络视频等常见网络应用，并能够详细统计每一种应用的流量、连接数和累积传输字节数，判断网络中的各种带宽滥用行为，继而采取包括阻断、限制连接数、限制流量等各种控制手段对网络应用访问流量进行精细化管理，确保关键应用或重要用户的带宽使用，确保网络业务通畅，满足业务高峰期带宽需要。</w:t>
      </w:r>
    </w:p>
    <w:p w14:paraId="4C02E270">
      <w:pPr>
        <w:pStyle w:val="254"/>
        <w:numPr>
          <w:ilvl w:val="0"/>
          <w:numId w:val="243"/>
        </w:numPr>
        <w:ind w:left="0" w:leftChars="0" w:firstLine="420" w:firstLineChars="0"/>
        <w:jc w:val="both"/>
        <w:rPr>
          <w:rFonts w:hint="eastAsia" w:ascii="宋体" w:hAnsi="宋体" w:eastAsia="宋体" w:cs="宋体"/>
          <w:b/>
          <w:bCs/>
          <w:color w:val="auto"/>
        </w:rPr>
      </w:pPr>
      <w:bookmarkStart w:id="456" w:name="_Toc33101847"/>
      <w:r>
        <w:rPr>
          <w:rFonts w:hint="eastAsia" w:ascii="宋体" w:hAnsi="宋体" w:eastAsia="宋体" w:cs="宋体"/>
          <w:b/>
          <w:bCs/>
          <w:color w:val="auto"/>
        </w:rPr>
        <w:t>入侵防范</w:t>
      </w:r>
      <w:bookmarkEnd w:id="456"/>
    </w:p>
    <w:p w14:paraId="1413C8DE">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针对互联网上常见的漏洞利用攻击、SQL注入攻击、XSS、缓冲区溢出</w:t>
      </w:r>
      <w:r>
        <w:rPr>
          <w:rFonts w:hint="eastAsia" w:ascii="宋体" w:hAnsi="宋体" w:eastAsia="宋体" w:cs="宋体"/>
          <w:color w:val="auto"/>
          <w:lang w:eastAsia="zh-CN"/>
        </w:rPr>
        <w:t>、</w:t>
      </w:r>
      <w:r>
        <w:rPr>
          <w:rFonts w:hint="eastAsia" w:ascii="宋体" w:hAnsi="宋体" w:eastAsia="宋体" w:cs="宋体"/>
          <w:color w:val="auto"/>
        </w:rPr>
        <w:t>DOS/DDOS攻击等恶意破坏方式，综合采用入侵检测和防御、异常流量管理与抗拒绝服务攻击、未知威胁防御等安全机制，阻断恶意的网络数据包，有效保证网站服务器正常提供服务。</w:t>
      </w:r>
    </w:p>
    <w:p w14:paraId="1A3D0A26">
      <w:pPr>
        <w:pStyle w:val="254"/>
        <w:jc w:val="both"/>
        <w:rPr>
          <w:rFonts w:hint="eastAsia" w:ascii="宋体" w:hAnsi="宋体" w:eastAsia="宋体" w:cs="宋体"/>
          <w:b/>
          <w:bCs/>
          <w:color w:val="auto"/>
        </w:rPr>
      </w:pPr>
      <w:r>
        <w:rPr>
          <w:rFonts w:hint="eastAsia" w:ascii="宋体" w:hAnsi="宋体" w:eastAsia="宋体" w:cs="宋体"/>
          <w:b/>
          <w:bCs/>
          <w:color w:val="auto"/>
        </w:rPr>
        <w:t>1）网络入侵防御（下一代防火墙）</w:t>
      </w:r>
    </w:p>
    <w:p w14:paraId="1C7D22DC">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rPr>
        <w:t>在医院信息系统的互联网接入边界防火墙上启用入侵防御功能</w:t>
      </w:r>
      <w:r>
        <w:rPr>
          <w:rFonts w:hint="eastAsia" w:ascii="宋体" w:hAnsi="宋体" w:eastAsia="宋体" w:cs="宋体"/>
          <w:b w:val="0"/>
          <w:bCs w:val="0"/>
          <w:color w:val="auto"/>
        </w:rPr>
        <w:t>，</w:t>
      </w:r>
      <w:r>
        <w:rPr>
          <w:rFonts w:hint="eastAsia" w:ascii="宋体" w:hAnsi="宋体" w:eastAsia="宋体" w:cs="宋体"/>
          <w:color w:val="auto"/>
        </w:rPr>
        <w:t>实时发现和阻止从外部网络发起的网络攻击行为；同时可在各种专线接入区和数据中心接入区上均启用入侵防御功能，阻止来自其它网络区域的攻击流量。</w:t>
      </w:r>
    </w:p>
    <w:p w14:paraId="0516B877">
      <w:pPr>
        <w:pStyle w:val="254"/>
        <w:ind w:firstLine="422" w:firstLineChars="200"/>
        <w:jc w:val="both"/>
        <w:rPr>
          <w:rFonts w:hint="eastAsia" w:ascii="宋体" w:hAnsi="宋体" w:eastAsia="宋体" w:cs="宋体"/>
          <w:b/>
          <w:bCs/>
          <w:color w:val="auto"/>
        </w:rPr>
      </w:pPr>
      <w:r>
        <w:rPr>
          <w:rFonts w:hint="eastAsia" w:ascii="宋体" w:hAnsi="宋体" w:eastAsia="宋体" w:cs="宋体"/>
          <w:b/>
          <w:bCs/>
          <w:color w:val="auto"/>
          <w:sz w:val="21"/>
          <w:szCs w:val="21"/>
          <w:lang w:val="en-US" w:eastAsia="zh-CN"/>
        </w:rPr>
        <w:t>人民医院</w:t>
      </w:r>
      <w:r>
        <w:rPr>
          <w:rFonts w:hint="default" w:ascii="宋体" w:hAnsi="宋体" w:eastAsia="宋体" w:cs="宋体"/>
          <w:b/>
          <w:bCs/>
          <w:color w:val="auto"/>
          <w:sz w:val="21"/>
          <w:szCs w:val="21"/>
          <w:lang w:val="en-US" w:eastAsia="zh-CN"/>
        </w:rPr>
        <w:t>互联网接入边界防火墙</w:t>
      </w:r>
      <w:r>
        <w:rPr>
          <w:rFonts w:hint="eastAsia" w:ascii="宋体" w:hAnsi="宋体" w:eastAsia="宋体" w:cs="宋体"/>
          <w:b/>
          <w:bCs/>
          <w:color w:val="auto"/>
          <w:sz w:val="21"/>
          <w:szCs w:val="21"/>
          <w:lang w:val="en-US" w:eastAsia="zh-CN"/>
        </w:rPr>
        <w:t>含</w:t>
      </w:r>
      <w:r>
        <w:rPr>
          <w:rFonts w:hint="default" w:ascii="宋体" w:hAnsi="宋体" w:eastAsia="宋体" w:cs="宋体"/>
          <w:b/>
          <w:bCs/>
          <w:color w:val="auto"/>
          <w:sz w:val="21"/>
          <w:szCs w:val="21"/>
          <w:lang w:val="en-US" w:eastAsia="zh-CN"/>
        </w:rPr>
        <w:t>入侵防御功能</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rPr>
        <w:t>下一代防火墙可实现以下入侵防御功能</w:t>
      </w:r>
      <w:r>
        <w:rPr>
          <w:rFonts w:hint="eastAsia" w:ascii="宋体" w:hAnsi="宋体" w:eastAsia="宋体" w:cs="宋体"/>
          <w:b/>
          <w:bCs/>
          <w:color w:val="auto"/>
        </w:rPr>
        <w:t>：</w:t>
      </w:r>
    </w:p>
    <w:p w14:paraId="4176E9D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防范网络攻击：综合采用模式匹配、协议分析、统计分析、流量异常检测、会话关联分析以及防逃逸等技术手段准确识别入侵攻击行为，为用户提供2~7层深度入侵检测能力。支持发现并阻断包括溢出攻击类、RPC攻击类、WEBCGI攻击类、拒绝服务类、木马类、蠕虫类、扫描类、网络访问类、HTTP攻击类、系统漏洞类等在内的各种网络恶意攻击。</w:t>
      </w:r>
    </w:p>
    <w:p w14:paraId="6EF7D0A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防范拒绝服务攻击：通过构建统计性攻击模型和异常包攻击模型，可以全面防御SYN flood、ICMP flood、UDP flood、ARP Flood、DNS Flood、DHCP flood、Winnuke、TcpScan以及CC等常见DOS/DDOS攻击行为。</w:t>
      </w:r>
    </w:p>
    <w:p w14:paraId="66648E2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防范带宽滥用行为：可根据数据内容而非端口智能识别包括传统协议、P2P下载、股票交易、即时通讯、流媒体、网络游戏、网络视频等常见网络应用，并能够详细统计每一种应用的流量、连接数和累积传输字节数，判断网络中的各种带宽滥用行为，继而采取包括阻断、限制连接数、限制流量等各种控制手段，确保网络业务通畅。</w:t>
      </w:r>
    </w:p>
    <w:p w14:paraId="38D8E24A">
      <w:pPr>
        <w:pStyle w:val="254"/>
        <w:numPr>
          <w:ilvl w:val="0"/>
          <w:numId w:val="243"/>
        </w:numPr>
        <w:ind w:left="0" w:leftChars="0" w:firstLine="420" w:firstLineChars="0"/>
        <w:jc w:val="both"/>
        <w:rPr>
          <w:rFonts w:hint="eastAsia" w:ascii="宋体" w:hAnsi="宋体" w:eastAsia="宋体" w:cs="宋体"/>
          <w:b/>
          <w:bCs/>
          <w:color w:val="auto"/>
        </w:rPr>
      </w:pPr>
      <w:r>
        <w:rPr>
          <w:rFonts w:hint="eastAsia" w:ascii="宋体" w:hAnsi="宋体" w:eastAsia="宋体" w:cs="宋体"/>
          <w:b/>
          <w:bCs/>
          <w:color w:val="auto"/>
        </w:rPr>
        <w:t>病毒过滤网关（下一代防火墙）</w:t>
      </w:r>
    </w:p>
    <w:p w14:paraId="458F42A1">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rPr>
        <w:t>在</w:t>
      </w:r>
      <w:r>
        <w:rPr>
          <w:rFonts w:hint="eastAsia" w:ascii="宋体" w:hAnsi="宋体" w:eastAsia="宋体" w:cs="宋体"/>
          <w:b/>
          <w:bCs/>
          <w:color w:val="auto"/>
          <w:lang w:val="en-US" w:eastAsia="zh-CN"/>
        </w:rPr>
        <w:t>数据中心</w:t>
      </w:r>
      <w:r>
        <w:rPr>
          <w:rFonts w:hint="eastAsia" w:ascii="宋体" w:hAnsi="宋体" w:eastAsia="宋体" w:cs="宋体"/>
          <w:b/>
          <w:bCs/>
          <w:color w:val="auto"/>
        </w:rPr>
        <w:t>的互联网出口、专网接入区的下一代防火墙上开启病毒过滤网关功能，</w:t>
      </w:r>
      <w:r>
        <w:rPr>
          <w:rFonts w:hint="eastAsia" w:ascii="宋体" w:hAnsi="宋体" w:eastAsia="宋体" w:cs="宋体"/>
          <w:b w:val="0"/>
          <w:bCs w:val="0"/>
          <w:color w:val="auto"/>
        </w:rPr>
        <w:t>对</w:t>
      </w:r>
      <w:r>
        <w:rPr>
          <w:rFonts w:hint="eastAsia" w:ascii="宋体" w:hAnsi="宋体" w:eastAsia="宋体" w:cs="宋体"/>
          <w:color w:val="auto"/>
        </w:rPr>
        <w:t>进出的网络数据流进行病毒、恶意代码扫描和和过滤处理，并提供病毒代码库的自动或手动升级，彻底阻断外部网络的病毒、蠕虫、木马及各种恶意代码向网络内部传播。</w:t>
      </w:r>
    </w:p>
    <w:p w14:paraId="02EA5FC3">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病毒过滤网关与部署在终端、服务器上的防病毒软件相配合，从而形成覆盖全面，分层防护的多级病毒过滤系统。作为边界防护设备，病毒过滤网关提供以下的安全功能：</w:t>
      </w:r>
    </w:p>
    <w:p w14:paraId="223406E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网络病毒过滤：对SMTP、POP3、IMAP、HTTP和FTP等应用协议进行病毒扫描和过滤，通过恶意代码特征过滤，对病毒、木马、蠕虫以及移动代码进行过滤、清除和隔离，有效地防止可能的病毒威胁，将病毒阻断在进入网络之前。</w:t>
      </w:r>
    </w:p>
    <w:p w14:paraId="1F51862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内容过滤：对数据内容进行检查，可以采用关键字过滤，URL过滤等方式来阻止非法数据进入网络。支持通过文件内容识别文件类型，有效的阻断非法类型的文件进入网络。</w:t>
      </w:r>
    </w:p>
    <w:p w14:paraId="01203A7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恶意代码防护：支持对移动代码如Vbscript、JAVA script、ActiveX、Applet的过滤，能够防范利用上述代码编写的恶意脚本进入网络。</w:t>
      </w:r>
    </w:p>
    <w:p w14:paraId="14F8ABB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蠕虫防范：可以实时检测到日益泛滥的蠕虫攻击，并对其进行实时阻断，从而有效防止信息网络因遭受蠕虫攻击而陷于瘫痪。</w:t>
      </w:r>
    </w:p>
    <w:p w14:paraId="67D667A1">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病毒库升级：病毒过滤网关支持自动和手动两种升级方式，在自动方式下，系统可自动到互联网上的厂家网站搜索最新的病毒库和病毒引擎，进行及时的升级。</w:t>
      </w:r>
    </w:p>
    <w:p w14:paraId="10CFB28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日志记录：提供完整的病毒日志、访问日志和系统日志等记录，并支持发送给集中的日志审计服务器。</w:t>
      </w:r>
    </w:p>
    <w:p w14:paraId="6F7F88F5">
      <w:pPr>
        <w:pStyle w:val="254"/>
        <w:numPr>
          <w:ilvl w:val="0"/>
          <w:numId w:val="243"/>
        </w:numPr>
        <w:ind w:left="0" w:leftChars="0" w:firstLine="420" w:firstLineChars="0"/>
        <w:jc w:val="both"/>
        <w:rPr>
          <w:rFonts w:hint="eastAsia" w:ascii="宋体" w:hAnsi="宋体" w:eastAsia="宋体" w:cs="宋体"/>
          <w:b/>
          <w:bCs/>
          <w:color w:val="auto"/>
        </w:rPr>
      </w:pPr>
      <w:bookmarkStart w:id="457" w:name="_Toc33101849"/>
      <w:r>
        <w:rPr>
          <w:rFonts w:hint="eastAsia" w:ascii="宋体" w:hAnsi="宋体" w:eastAsia="宋体" w:cs="宋体"/>
          <w:b/>
          <w:bCs/>
          <w:color w:val="auto"/>
        </w:rPr>
        <w:t>安全审计</w:t>
      </w:r>
      <w:bookmarkEnd w:id="457"/>
    </w:p>
    <w:p w14:paraId="6FFA31D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安全审计通过收集并分析系统日志等数据，从而发现违反安全策略的行为。与入侵检测相比，安全审计主要侧重于事后分析，即当发生安全事故或者发生违反安全策略的行为之后，通过检查、分析、比较审计系统收集的数据，从中发现违反安全策略行为。</w:t>
      </w:r>
    </w:p>
    <w:p w14:paraId="4F46BD0F">
      <w:pPr>
        <w:pStyle w:val="254"/>
        <w:jc w:val="both"/>
        <w:rPr>
          <w:rFonts w:hint="eastAsia" w:ascii="宋体" w:hAnsi="宋体" w:eastAsia="宋体" w:cs="宋体"/>
          <w:b/>
          <w:bCs/>
          <w:color w:val="auto"/>
        </w:rPr>
      </w:pPr>
      <w:r>
        <w:rPr>
          <w:rFonts w:hint="eastAsia" w:ascii="宋体" w:hAnsi="宋体" w:eastAsia="宋体" w:cs="宋体"/>
          <w:b/>
          <w:bCs/>
          <w:color w:val="auto"/>
        </w:rPr>
        <w:t>1）上网行为管理</w:t>
      </w:r>
    </w:p>
    <w:p w14:paraId="5D5B4195">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rPr>
        <w:t>在医院信息系统的互联网出口边界部署上网行为管理设备，对内网用户访问互联网的行为进行分析和审计，</w:t>
      </w:r>
      <w:r>
        <w:rPr>
          <w:rFonts w:hint="eastAsia" w:ascii="宋体" w:hAnsi="宋体" w:eastAsia="宋体" w:cs="宋体"/>
          <w:color w:val="auto"/>
        </w:rPr>
        <w:t>防止内部员工上班时间违规上网或在网上发表违规言论，</w:t>
      </w:r>
      <w:r>
        <w:rPr>
          <w:rFonts w:hint="eastAsia" w:ascii="宋体" w:hAnsi="宋体" w:eastAsia="宋体" w:cs="宋体"/>
          <w:b/>
          <w:bCs/>
          <w:color w:val="auto"/>
        </w:rPr>
        <w:t>同时保存至少6个月的访问日志</w:t>
      </w:r>
      <w:r>
        <w:rPr>
          <w:rFonts w:hint="eastAsia" w:ascii="宋体" w:hAnsi="宋体" w:eastAsia="宋体" w:cs="宋体"/>
          <w:color w:val="auto"/>
        </w:rPr>
        <w:t>，以便协助公安调查取证。</w:t>
      </w:r>
    </w:p>
    <w:p w14:paraId="0F0C74B1">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具体实现功能：</w:t>
      </w:r>
    </w:p>
    <w:p w14:paraId="6866E07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URL 过滤：上网行为管理设备中内置千万级URL列表，将 URL 按照一定的标准进行预分类，然后依据策略对内部用户访问的各种类别网页进行过滤。在过滤URL记录的同时，可以对网络中所访问的URL 进行记录和统计排名，以实现对URL访问的监控和控制。员工依然可以上网浏览网页，但其访问时间和内容将受到一定监控。</w:t>
      </w:r>
    </w:p>
    <w:p w14:paraId="7524F7A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关键字过滤：上网行为管理设备提供对发帖的内容启用关键词过滤，对含有攻击国家领导人、分裂国家言论、下流词汇，或者伤害公司利益的帖子进行审计和过滤处理，并能对所有成功上传的内容进行详细记录以便事后查验。从而帮助员工养成远离低俗内容的上网习惯，协助推动“互联网低俗内容整治”，帮助企事业单位建立健康、规范、有序的上网环境。 </w:t>
      </w:r>
    </w:p>
    <w:p w14:paraId="34B7FE3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黑名单控制：为了防止网络资源的滥用和方便管理员管理用户，上网行为管理设备支持将用户加入黑名单的功能。对进入黑名单的用户可以采取惩罚机制，惩罚期限到了之后，该用户又可以正常使用网络。用户一旦进入黑名单，当再次上网时，网页回弹出已经进入黑名单、是什么原因进入黑名单的。灵活的黑名单功能可以帮助管理员快速、准确的定位出谁肆意占有网络资源。对黑名单的控制，有一个生效时间，在生效时间内才进行黑名单的控制。在生效时间外，不对用户的速率和会话进行限制，用户产生的流量也不记入黑名单的流量配额内。 </w:t>
      </w:r>
    </w:p>
    <w:p w14:paraId="56ED253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白名单管理：对于公司领导或者重要的用户，他们的上网不希望受到各种控制策略的限制，也不希望上网的内容被记录。设备的白名单功能可以很好的满足这些需求。符合白名单规则的流量，将不受“防火墙规则、流控规则、认证策略规则、上网策略对象规则、黑名单规则”的控制；同时上网的流量和上网行为的内容（如发送的邮件、发送的帖子、访问的网页、即时通讯记录等）将全部不记录。 </w:t>
      </w:r>
    </w:p>
    <w:p w14:paraId="337DDC6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统计与报表系统：提供完整的互联网访问记录，根据IP/用户、应用、时间、线路等参数对上网流量及行为进行全方位的记录，内容涵盖网络流量、带宽速率、新建会话、活跃会话、Web 访问、邮件收发、IM 聊天、论坛发帖、P2P 下载等各种网络行为。从而帮助管理者了解网络整体使用情况，防止出现滥用、误用、盗用的行为。 </w:t>
      </w:r>
    </w:p>
    <w:p w14:paraId="41542F1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上网行为监控：支持制定精细化的信息收发监控策略，有效控制信息的传播范围，上网行为管理设备能够对以下信息发送进行监控与控制：WEB访问记录、论坛发帖、电子邮件、即时通讯软件、FTP 记录、 Telnet 记录。</w:t>
      </w:r>
    </w:p>
    <w:p w14:paraId="3264D19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上网行为审计：上网行为管理设备可记录全部的会话日志。通过检查完整的会话日志，管理者可以跟踪网络中的任何操作，尤其可帮助公安部门稽查案件。上网行为管理设备的会话记录包括：源 IP、目的 IP、协议类型、七层应用名称、源端口、目的端口、是否进行 NAT 转换(可显示转换后的 IP 和端口)、会话产生的时间和会话持续时间。</w:t>
      </w:r>
    </w:p>
    <w:p w14:paraId="5F91BE93">
      <w:pPr>
        <w:pStyle w:val="254"/>
        <w:jc w:val="both"/>
        <w:rPr>
          <w:rFonts w:hint="eastAsia" w:ascii="宋体" w:hAnsi="宋体" w:eastAsia="宋体" w:cs="宋体"/>
          <w:b/>
          <w:bCs/>
          <w:color w:val="auto"/>
        </w:rPr>
      </w:pPr>
      <w:r>
        <w:rPr>
          <w:rFonts w:hint="eastAsia" w:ascii="宋体" w:hAnsi="宋体" w:eastAsia="宋体" w:cs="宋体"/>
          <w:b/>
          <w:bCs/>
          <w:color w:val="auto"/>
        </w:rPr>
        <w:t>2）日志审计</w:t>
      </w:r>
    </w:p>
    <w:p w14:paraId="69604998">
      <w:pPr>
        <w:pStyle w:val="254"/>
        <w:ind w:firstLine="482" w:firstLineChars="200"/>
        <w:jc w:val="both"/>
        <w:rPr>
          <w:rFonts w:hint="eastAsia" w:ascii="宋体" w:hAnsi="宋体" w:eastAsia="宋体" w:cs="宋体"/>
          <w:b/>
          <w:bCs/>
          <w:color w:val="auto"/>
        </w:rPr>
      </w:pPr>
      <w:r>
        <w:rPr>
          <w:rFonts w:hint="eastAsia" w:ascii="宋体" w:hAnsi="宋体" w:eastAsia="宋体" w:cs="宋体"/>
          <w:b/>
          <w:bCs/>
          <w:color w:val="auto"/>
          <w:lang w:val="en-US" w:eastAsia="zh-CN"/>
        </w:rPr>
        <w:t>目前人民医院已配备一套日志审计系统</w:t>
      </w:r>
      <w:r>
        <w:rPr>
          <w:rFonts w:hint="eastAsia" w:ascii="宋体" w:hAnsi="宋体" w:eastAsia="宋体" w:cs="宋体"/>
          <w:color w:val="auto"/>
          <w:lang w:val="en-US" w:eastAsia="zh-CN"/>
        </w:rPr>
        <w:t>，</w:t>
      </w:r>
      <w:r>
        <w:rPr>
          <w:rFonts w:hint="eastAsia" w:ascii="宋体" w:hAnsi="宋体" w:eastAsia="宋体" w:cs="宋体"/>
          <w:color w:val="auto"/>
        </w:rPr>
        <w:t>在医院信息系统网络中所有网络设备和新增的边界安全设备上均开启完整的日志记录功能，对重要的用户行为和重要安全事件进行审计，并将审计记录实时发送给集中的日志审计设备，便于长期存储保护和分析使用。</w:t>
      </w:r>
      <w:r>
        <w:rPr>
          <w:rFonts w:hint="eastAsia" w:ascii="宋体" w:hAnsi="宋体" w:eastAsia="宋体" w:cs="宋体"/>
          <w:b/>
          <w:bCs/>
          <w:color w:val="auto"/>
        </w:rPr>
        <w:t>日志至少需要保留6个月。</w:t>
      </w:r>
    </w:p>
    <w:p w14:paraId="7007E794">
      <w:pPr>
        <w:pStyle w:val="254"/>
        <w:jc w:val="both"/>
        <w:rPr>
          <w:rFonts w:hint="eastAsia" w:ascii="宋体" w:hAnsi="宋体" w:eastAsia="宋体" w:cs="宋体"/>
          <w:b/>
          <w:bCs/>
          <w:color w:val="auto"/>
        </w:rPr>
      </w:pPr>
      <w:bookmarkStart w:id="458" w:name="_Toc33101850"/>
      <w:r>
        <w:rPr>
          <w:rFonts w:hint="eastAsia" w:ascii="宋体" w:hAnsi="宋体" w:eastAsia="宋体" w:cs="宋体"/>
          <w:b/>
          <w:bCs/>
          <w:color w:val="auto"/>
        </w:rPr>
        <w:t>3）可信验证</w:t>
      </w:r>
      <w:bookmarkEnd w:id="458"/>
    </w:p>
    <w:p w14:paraId="518BE461">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在医院信息系统网络中的下一代防火墙、网络准入控制、上网行为管理等边界安全设备的主板上集成独立的主动度量控制芯片（TPCM芯片）或通过Ukey接入、可信插卡的方式实现，对边界设备的系统引导程序、系统程序、重要配置参数和边界防护应用程序等进行可信验证，并在应用程序的所有执行环节进行动态可信验证，在检测到其可信性受到破坏后进行报警，并将验证结果形成审计记录送至安全管理中心，并进行动态关联感知。</w:t>
      </w:r>
    </w:p>
    <w:p w14:paraId="3740AA05">
      <w:pPr>
        <w:pStyle w:val="10"/>
        <w:bidi w:val="0"/>
        <w:ind w:left="720" w:leftChars="0" w:hanging="720" w:firstLineChars="0"/>
        <w:rPr>
          <w:rFonts w:hint="eastAsia"/>
          <w:color w:val="auto"/>
        </w:rPr>
      </w:pPr>
      <w:bookmarkStart w:id="459" w:name="_Toc15161"/>
      <w:r>
        <w:rPr>
          <w:rFonts w:hint="eastAsia"/>
          <w:color w:val="auto"/>
        </w:rPr>
        <w:t>安全计算环境设计</w:t>
      </w:r>
      <w:bookmarkEnd w:id="440"/>
      <w:bookmarkEnd w:id="459"/>
    </w:p>
    <w:bookmarkEnd w:id="441"/>
    <w:bookmarkEnd w:id="442"/>
    <w:bookmarkEnd w:id="443"/>
    <w:bookmarkEnd w:id="444"/>
    <w:bookmarkEnd w:id="445"/>
    <w:bookmarkEnd w:id="446"/>
    <w:p w14:paraId="0173D93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计算环境是应用系统的运行环境，包括应用系统正常运行所必须的主机（终端、服务器、网络设备等）、应用系统、数据、存储与备份等，计算环境安全是应用系统安全的根本。</w:t>
      </w:r>
    </w:p>
    <w:p w14:paraId="257F2E9C">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计算环境的安全设计如下：</w:t>
      </w:r>
    </w:p>
    <w:p w14:paraId="4F7AA736">
      <w:pPr>
        <w:pStyle w:val="254"/>
        <w:numPr>
          <w:ilvl w:val="0"/>
          <w:numId w:val="244"/>
        </w:numPr>
        <w:ind w:left="0" w:leftChars="0" w:firstLine="420" w:firstLineChars="0"/>
        <w:jc w:val="both"/>
        <w:rPr>
          <w:rFonts w:hint="eastAsia" w:ascii="宋体" w:hAnsi="宋体" w:eastAsia="宋体" w:cs="宋体"/>
          <w:b/>
          <w:bCs/>
          <w:color w:val="auto"/>
        </w:rPr>
      </w:pPr>
      <w:bookmarkStart w:id="460" w:name="_Toc33101852"/>
      <w:r>
        <w:rPr>
          <w:rFonts w:hint="eastAsia" w:ascii="宋体" w:hAnsi="宋体" w:eastAsia="宋体" w:cs="宋体"/>
          <w:b/>
          <w:bCs/>
          <w:color w:val="auto"/>
        </w:rPr>
        <w:t>主机安全</w:t>
      </w:r>
      <w:bookmarkEnd w:id="460"/>
    </w:p>
    <w:p w14:paraId="376533B1">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主机系统安全是包括服务器、终端/工作站等在内的计算机设备、网络设备自身等在操作系统及数据库系统层面的安全。终端/工作站是带外式的台式机与笔记本计算机，服务器则包括应用程序、网络、web、文件与通信等服务器，网络设备则包括路由器、交换机、防火墙等。主机系统是构成信息系统的主要部分，其上承载着各种应用。因此，主机系统安全是保护信息系统安全的中坚力量。</w:t>
      </w:r>
    </w:p>
    <w:p w14:paraId="2773203E">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主机系统安全可从：身份鉴别、访问控制、安全审计、入侵防范、恶意代码防范、可信验证等方面进行安全建设。</w:t>
      </w:r>
    </w:p>
    <w:p w14:paraId="4F8C6928">
      <w:pPr>
        <w:pStyle w:val="254"/>
        <w:jc w:val="both"/>
        <w:rPr>
          <w:rFonts w:hint="eastAsia" w:ascii="宋体" w:hAnsi="宋体" w:eastAsia="宋体" w:cs="宋体"/>
          <w:b/>
          <w:bCs/>
          <w:color w:val="auto"/>
        </w:rPr>
      </w:pPr>
      <w:r>
        <w:rPr>
          <w:rFonts w:hint="eastAsia" w:ascii="宋体" w:hAnsi="宋体" w:eastAsia="宋体" w:cs="宋体"/>
          <w:b/>
          <w:bCs/>
          <w:color w:val="auto"/>
        </w:rPr>
        <w:t>1）运维安全管控和审计（</w:t>
      </w:r>
      <w:r>
        <w:rPr>
          <w:rFonts w:hint="eastAsia" w:ascii="宋体" w:hAnsi="宋体" w:eastAsia="宋体" w:cs="宋体"/>
          <w:b/>
          <w:bCs/>
          <w:color w:val="auto"/>
          <w:lang w:val="en-US" w:eastAsia="zh-CN"/>
        </w:rPr>
        <w:t>运维安全网关系统</w:t>
      </w:r>
      <w:r>
        <w:rPr>
          <w:rFonts w:hint="eastAsia" w:ascii="宋体" w:hAnsi="宋体" w:eastAsia="宋体" w:cs="宋体"/>
          <w:b/>
          <w:bCs/>
          <w:color w:val="auto"/>
        </w:rPr>
        <w:t>）</w:t>
      </w:r>
    </w:p>
    <w:p w14:paraId="6C4C5B33">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rPr>
        <w:t>在医院信息系统网络的安全管理区部署一套运维安全网关系统（堡垒机）</w:t>
      </w:r>
      <w:r>
        <w:rPr>
          <w:rFonts w:hint="eastAsia" w:ascii="宋体" w:hAnsi="宋体" w:eastAsia="宋体" w:cs="宋体"/>
          <w:color w:val="auto"/>
        </w:rPr>
        <w:t>，在系统运维人员和信息系统（网络、主机、数据库、应用等）之间搭建一个唯一的入口和统一的交互的界面，针对信息系统中关键软硬件设备运维的行为进行管控及审计。通过将各设备、应用系统的管理接口，通过强制策略路由的方式，转发至堡垒主机，从而完成反向代理的部署模式，实现对管理用户的身份鉴别。通过“数字证书”认证方式作为“用户名+口令”验证身份的有效补充和增强，实现等级保护三级要求的双因素身份认证。</w:t>
      </w:r>
    </w:p>
    <w:p w14:paraId="22765021">
      <w:pPr>
        <w:pStyle w:val="254"/>
        <w:jc w:val="both"/>
        <w:rPr>
          <w:rFonts w:hint="eastAsia" w:ascii="宋体" w:hAnsi="宋体" w:eastAsia="宋体" w:cs="宋体"/>
          <w:color w:val="auto"/>
        </w:rPr>
      </w:pPr>
      <w:r>
        <w:rPr>
          <w:rFonts w:hint="eastAsia" w:ascii="宋体" w:hAnsi="宋体" w:eastAsia="宋体" w:cs="宋体"/>
          <w:color w:val="auto"/>
        </w:rPr>
        <w:t>运维安全网关系统主要实现功能包括：</w:t>
      </w:r>
    </w:p>
    <w:p w14:paraId="17F9A3F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单点登录：提供基于 B/S 的单点登录系统，用户通过一次登录系统后，就可以无需认证的访问包括被授权的多种基于 B/S的应用系统，使用户无需记忆多种登录用户ID和口令。单点登录可以实现与用户授权管理的无缝链接，可以通过对用户、角色、行为和资源的授权，增加对资源的保护和对用户行为的监控及审计。</w:t>
      </w:r>
    </w:p>
    <w:p w14:paraId="6992E63C">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集中账户管理：支持对所有服务器、网络设备登录帐号的集中管理，是集中授权、认证和审计的基础，降低了管理大量用户帐号的难度和工作量。同时，还能够制定统一的、标准的用户帐号安全策略。集中帐号管理可以实现将帐号与具体的自然人相关联，从而实现针对自然人的行为审计。</w:t>
      </w:r>
    </w:p>
    <w:p w14:paraId="670346F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统一身份认证：为用户提供统一的认证接口。采用统一的认证接口不但便于对用户认证的管理，而且能够采用更加安全的认证模式，提高认证的安全性和可靠性，同时又避免了直接在业务服务器上安装认证代理软件所带来的额外开销。集中身份认证提供静态密码、数字证书、一次性口令和生物特征等多种认证方式，而且提供接口，可以方便地与第三方认证服务对接。建议采用基于静态密码+数字证书的双因素认证方式。</w:t>
      </w:r>
    </w:p>
    <w:p w14:paraId="348B547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统一资源授权：提供统一的界面，对用户、角色及行为和资源进行授权，以达到对权限的细粒度控制，最大限度保护用户资源的安全。通过集中访问授权和访问控制可以对用户通过B/S、C/S对服务器主机、网络设备的访问进行审计和阻断。授权的对象包括用户、用户角色、资源和用户行为。系统不但能够授权用户可以通过什么角色访问资源这样基于应用边界的粗粒度授权，对某些应用还可以限制用户的操作，以及在什么时间进行操作等的细粒度授权。</w:t>
      </w:r>
    </w:p>
    <w:p w14:paraId="6823556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细粒度访问控制：提供细粒度的访问控制，最大限度保护用户资源的安全。细粒度的命令策略是命令的集合，可以是一组可执行命令，也可以是一组非可执行的命令，该命令集合用来分配给具体的用户，来限制其系统行为，管理员会根据其自身的角色为其指定相应的控制策略来限定用户。访问控制策略是保护系统安全性的重要环节，制定良好的访问策略能够更好的提高系统的安全性。</w:t>
      </w:r>
    </w:p>
    <w:p w14:paraId="28FFEF8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操作审计：操作审计管理主要审计操作人员的帐号使用（登录、资源访问）情况、资源使用情况等。在各服务器主机、网络设备的访问日志记录都采用统一的帐号、资源进行标识后，操作审计能更好地对帐号的完整使用过程进行追踪。为了对字符终端、图形终端操作行为进行审计和监控，堡垒主机对各种字符终端和图形终端使用的协议进行代理，实现多平台的操作支持和审计，例如Telnet、SSH、FTP、Windows平台的RDP远程桌面协议，Linux/Unix平台的X Window图形终端访问协议等。</w:t>
      </w:r>
    </w:p>
    <w:p w14:paraId="4EBB0A22">
      <w:pPr>
        <w:pStyle w:val="254"/>
        <w:jc w:val="both"/>
        <w:rPr>
          <w:rFonts w:hint="eastAsia" w:ascii="宋体" w:hAnsi="宋体" w:eastAsia="宋体" w:cs="宋体"/>
          <w:b/>
          <w:bCs/>
          <w:color w:val="auto"/>
        </w:rPr>
      </w:pPr>
      <w:r>
        <w:rPr>
          <w:rFonts w:hint="eastAsia" w:ascii="宋体" w:hAnsi="宋体" w:eastAsia="宋体" w:cs="宋体"/>
          <w:b/>
          <w:bCs/>
          <w:color w:val="auto"/>
        </w:rPr>
        <w:t>2）用户主机监控和审计（终端安全管理</w:t>
      </w:r>
      <w:r>
        <w:rPr>
          <w:rFonts w:hint="eastAsia" w:ascii="宋体" w:hAnsi="宋体" w:eastAsia="宋体" w:cs="宋体"/>
          <w:b/>
          <w:bCs/>
          <w:color w:val="auto"/>
          <w:lang w:val="en-US" w:eastAsia="zh-CN"/>
        </w:rPr>
        <w:t>EDR</w:t>
      </w:r>
      <w:r>
        <w:rPr>
          <w:rFonts w:hint="eastAsia" w:ascii="宋体" w:hAnsi="宋体" w:eastAsia="宋体" w:cs="宋体"/>
          <w:b/>
          <w:bCs/>
          <w:color w:val="auto"/>
        </w:rPr>
        <w:t>）</w:t>
      </w:r>
    </w:p>
    <w:p w14:paraId="0FEC0D1A">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lang w:val="en-US" w:eastAsia="zh-CN"/>
        </w:rPr>
        <w:t>在</w:t>
      </w:r>
      <w:r>
        <w:rPr>
          <w:rFonts w:hint="eastAsia" w:ascii="宋体" w:hAnsi="宋体" w:eastAsia="宋体" w:cs="宋体"/>
          <w:b/>
          <w:bCs/>
          <w:color w:val="auto"/>
        </w:rPr>
        <w:t>医院信息系统内部用户终端设备（办公业务终端、管理运维终端等）上部署终端安全管理（即主机监控与审计）系统</w:t>
      </w:r>
      <w:r>
        <w:rPr>
          <w:rFonts w:hint="eastAsia" w:ascii="宋体" w:hAnsi="宋体" w:eastAsia="宋体" w:cs="宋体"/>
          <w:color w:val="auto"/>
        </w:rPr>
        <w:t>，提供针对Windows桌面终端的软硬件资产管理、终端行为监管、终端安全防护、非法接入控制、非法外联监控、补丁管理等功能，采用统一策略下发并强制策略执行的机制，实现对网络内部终端系统的管理和维护，从而有效地保护用户计算机系统安全和信息数据安全。需要在所有Windows桌面终端系统中安装终端代理软件，并在安全管理区部署一套终端管理服务器（含数据库服务器、补丁服务器等）。</w:t>
      </w:r>
    </w:p>
    <w:p w14:paraId="672C1A97">
      <w:pPr>
        <w:pStyle w:val="254"/>
        <w:jc w:val="both"/>
        <w:rPr>
          <w:rFonts w:hint="eastAsia" w:ascii="宋体" w:hAnsi="宋体" w:eastAsia="宋体" w:cs="宋体"/>
          <w:color w:val="auto"/>
        </w:rPr>
      </w:pPr>
      <w:r>
        <w:rPr>
          <w:rFonts w:hint="eastAsia" w:ascii="宋体" w:hAnsi="宋体" w:eastAsia="宋体" w:cs="宋体"/>
          <w:color w:val="auto"/>
        </w:rPr>
        <w:t>终端安全管理系统主要功能包括：桌面安全监管</w:t>
      </w:r>
      <w:r>
        <w:rPr>
          <w:rFonts w:hint="eastAsia" w:ascii="宋体" w:hAnsi="宋体" w:eastAsia="宋体" w:cs="宋体"/>
          <w:color w:val="auto"/>
          <w:lang w:eastAsia="zh-CN"/>
        </w:rPr>
        <w:t>、</w:t>
      </w:r>
      <w:r>
        <w:rPr>
          <w:rFonts w:hint="eastAsia" w:ascii="宋体" w:hAnsi="宋体" w:eastAsia="宋体" w:cs="宋体"/>
          <w:color w:val="auto"/>
        </w:rPr>
        <w:t>行为监管</w:t>
      </w:r>
      <w:r>
        <w:rPr>
          <w:rFonts w:hint="eastAsia" w:ascii="宋体" w:hAnsi="宋体" w:eastAsia="宋体" w:cs="宋体"/>
          <w:color w:val="auto"/>
          <w:lang w:eastAsia="zh-CN"/>
        </w:rPr>
        <w:t>、</w:t>
      </w:r>
      <w:r>
        <w:rPr>
          <w:rFonts w:hint="eastAsia" w:ascii="宋体" w:hAnsi="宋体" w:eastAsia="宋体" w:cs="宋体"/>
          <w:color w:val="auto"/>
        </w:rPr>
        <w:t>系统监管</w:t>
      </w:r>
      <w:r>
        <w:rPr>
          <w:rFonts w:hint="eastAsia" w:ascii="宋体" w:hAnsi="宋体" w:eastAsia="宋体" w:cs="宋体"/>
          <w:color w:val="auto"/>
          <w:lang w:eastAsia="zh-CN"/>
        </w:rPr>
        <w:t>、</w:t>
      </w:r>
      <w:r>
        <w:rPr>
          <w:rFonts w:hint="eastAsia" w:ascii="宋体" w:hAnsi="宋体" w:eastAsia="宋体" w:cs="宋体"/>
          <w:color w:val="auto"/>
        </w:rPr>
        <w:t>非法外联监控</w:t>
      </w:r>
      <w:r>
        <w:rPr>
          <w:rFonts w:hint="eastAsia" w:ascii="宋体" w:hAnsi="宋体" w:eastAsia="宋体" w:cs="宋体"/>
          <w:color w:val="auto"/>
          <w:lang w:eastAsia="zh-CN"/>
        </w:rPr>
        <w:t>、</w:t>
      </w:r>
      <w:r>
        <w:rPr>
          <w:rFonts w:hint="eastAsia" w:ascii="宋体" w:hAnsi="宋体" w:eastAsia="宋体" w:cs="宋体"/>
          <w:color w:val="auto"/>
        </w:rPr>
        <w:t>安全状态检测策略</w:t>
      </w:r>
      <w:r>
        <w:rPr>
          <w:rFonts w:hint="eastAsia" w:ascii="宋体" w:hAnsi="宋体" w:eastAsia="宋体" w:cs="宋体"/>
          <w:color w:val="auto"/>
          <w:lang w:eastAsia="zh-CN"/>
        </w:rPr>
        <w:t>、</w:t>
      </w:r>
      <w:r>
        <w:rPr>
          <w:rFonts w:hint="eastAsia" w:ascii="宋体" w:hAnsi="宋体" w:eastAsia="宋体" w:cs="宋体"/>
          <w:color w:val="auto"/>
        </w:rPr>
        <w:t>补丁自动升级</w:t>
      </w:r>
      <w:r>
        <w:rPr>
          <w:rFonts w:hint="eastAsia" w:ascii="宋体" w:hAnsi="宋体" w:eastAsia="宋体" w:cs="宋体"/>
          <w:color w:val="auto"/>
          <w:lang w:val="en-US" w:eastAsia="zh-CN"/>
        </w:rPr>
        <w:t>等</w:t>
      </w:r>
      <w:r>
        <w:rPr>
          <w:rFonts w:hint="eastAsia" w:ascii="宋体" w:hAnsi="宋体" w:eastAsia="宋体" w:cs="宋体"/>
          <w:color w:val="auto"/>
        </w:rPr>
        <w:t>。</w:t>
      </w:r>
    </w:p>
    <w:p w14:paraId="77CD7F08">
      <w:pPr>
        <w:pStyle w:val="254"/>
        <w:jc w:val="both"/>
        <w:rPr>
          <w:rFonts w:hint="eastAsia" w:ascii="宋体" w:hAnsi="宋体" w:eastAsia="宋体" w:cs="宋体"/>
          <w:b/>
          <w:bCs/>
          <w:color w:val="auto"/>
        </w:rPr>
      </w:pPr>
      <w:r>
        <w:rPr>
          <w:rFonts w:hint="eastAsia" w:ascii="宋体" w:hAnsi="宋体" w:eastAsia="宋体" w:cs="宋体"/>
          <w:b/>
          <w:bCs/>
          <w:color w:val="auto"/>
        </w:rPr>
        <w:t>3）日志审计</w:t>
      </w:r>
    </w:p>
    <w:p w14:paraId="10DBD910">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lang w:val="en-US" w:eastAsia="zh-CN"/>
        </w:rPr>
        <w:t>本项目在安全运维管理区部署日志审计系统</w:t>
      </w:r>
      <w:r>
        <w:rPr>
          <w:rFonts w:hint="eastAsia" w:ascii="宋体" w:hAnsi="宋体" w:eastAsia="宋体" w:cs="宋体"/>
          <w:b w:val="0"/>
          <w:bCs w:val="0"/>
          <w:color w:val="auto"/>
          <w:lang w:val="en-US" w:eastAsia="zh-CN"/>
        </w:rPr>
        <w:t>，</w:t>
      </w:r>
      <w:r>
        <w:rPr>
          <w:rFonts w:hint="eastAsia" w:ascii="宋体" w:hAnsi="宋体" w:eastAsia="宋体" w:cs="宋体"/>
          <w:color w:val="auto"/>
        </w:rPr>
        <w:t>在医院信息系统的所有服务器操作系统、应用系统和新增的各种安全系统均开启完整的日志记录功能，对重要的用户行为和重要安全事件进行审计，并将审计记录实时发送给集中的日志审计设备，便于长期存储保护和分析使用。</w:t>
      </w:r>
      <w:r>
        <w:rPr>
          <w:rFonts w:hint="eastAsia" w:ascii="宋体" w:hAnsi="宋体" w:eastAsia="宋体" w:cs="宋体"/>
          <w:b/>
          <w:bCs/>
          <w:color w:val="auto"/>
        </w:rPr>
        <w:t>日志至少需要保留6个月。</w:t>
      </w:r>
    </w:p>
    <w:p w14:paraId="2D0C4D9B">
      <w:pPr>
        <w:pStyle w:val="254"/>
        <w:jc w:val="both"/>
        <w:rPr>
          <w:rFonts w:hint="eastAsia" w:ascii="宋体" w:hAnsi="宋体" w:eastAsia="宋体" w:cs="宋体"/>
          <w:b/>
          <w:bCs/>
          <w:color w:val="auto"/>
        </w:rPr>
      </w:pPr>
      <w:r>
        <w:rPr>
          <w:rFonts w:hint="eastAsia" w:ascii="宋体" w:hAnsi="宋体" w:eastAsia="宋体" w:cs="宋体"/>
          <w:b/>
          <w:bCs/>
          <w:color w:val="auto"/>
        </w:rPr>
        <w:t>4）网络漏洞扫描</w:t>
      </w:r>
    </w:p>
    <w:p w14:paraId="53280784">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lang w:val="en-US" w:eastAsia="zh-CN"/>
        </w:rPr>
        <w:t>漏洞扫描功能集成在下一代防火墙中</w:t>
      </w:r>
      <w:r>
        <w:rPr>
          <w:rFonts w:hint="eastAsia" w:ascii="宋体" w:hAnsi="宋体" w:eastAsia="宋体" w:cs="宋体"/>
          <w:b w:val="0"/>
          <w:bCs w:val="0"/>
          <w:color w:val="auto"/>
          <w:lang w:val="en-US" w:eastAsia="zh-CN"/>
        </w:rPr>
        <w:t>，</w:t>
      </w:r>
      <w:r>
        <w:rPr>
          <w:rFonts w:hint="eastAsia" w:ascii="宋体" w:hAnsi="宋体" w:eastAsia="宋体" w:cs="宋体"/>
          <w:color w:val="auto"/>
        </w:rPr>
        <w:t>网络漏洞扫描系统基于网络，通过远程检测目标系统TCP/IP不同端口所提供的服务，分析目标给予的应答，以搜集目标系统上的各种信息，然后与系统内置的漏洞库进行匹配，如果满足匹配条件，则认为安全弱点存在。</w:t>
      </w:r>
    </w:p>
    <w:p w14:paraId="51A5BDA6">
      <w:pPr>
        <w:pStyle w:val="254"/>
        <w:numPr>
          <w:ilvl w:val="0"/>
          <w:numId w:val="244"/>
        </w:numPr>
        <w:ind w:left="0" w:leftChars="0" w:firstLine="420" w:firstLineChars="0"/>
        <w:jc w:val="both"/>
        <w:rPr>
          <w:rFonts w:hint="eastAsia" w:ascii="宋体" w:hAnsi="宋体" w:eastAsia="宋体" w:cs="宋体"/>
          <w:b/>
          <w:bCs/>
          <w:color w:val="auto"/>
        </w:rPr>
      </w:pPr>
      <w:bookmarkStart w:id="461" w:name="_Toc33101853"/>
      <w:r>
        <w:rPr>
          <w:rFonts w:hint="eastAsia" w:ascii="宋体" w:hAnsi="宋体" w:eastAsia="宋体" w:cs="宋体"/>
          <w:b/>
          <w:bCs/>
          <w:color w:val="auto"/>
        </w:rPr>
        <w:t>应用安全</w:t>
      </w:r>
      <w:bookmarkEnd w:id="461"/>
    </w:p>
    <w:p w14:paraId="46DF13D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通过网络、主机系统的安全防护，最终应用安全成为信息系统整体防御的最后一道防线。在应用层面运行着信息系统的基于网络的应用以及特定业务应用。基于网络的应用是形成其他应用的基础，包括消息发送、web浏览等，可以说是基本的应用。业务应用采纳基本应用的功能以满足特定业务的要求，如电子商务、电子政务等。由于各种基本应用最终是为业务应用服务的，因此对应用系统的安全保护最终就是如何保护系统的各种业务应用程序安全运行。</w:t>
      </w:r>
    </w:p>
    <w:p w14:paraId="57D3F8F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因此在网站系统应用软件的安全方面要考虑：身份鉴别、访问控制、安全审计、入侵防范方面的安全问题，这些问题在很大程度上由网站系统应用软件的开发商在应用软件的设计和开发阶段就需要考虑。</w:t>
      </w:r>
    </w:p>
    <w:p w14:paraId="2B62433A">
      <w:pPr>
        <w:pStyle w:val="254"/>
        <w:jc w:val="both"/>
        <w:rPr>
          <w:rFonts w:hint="eastAsia" w:ascii="宋体" w:hAnsi="宋体" w:eastAsia="宋体" w:cs="宋体"/>
          <w:b/>
          <w:bCs/>
          <w:color w:val="auto"/>
        </w:rPr>
      </w:pPr>
      <w:r>
        <w:rPr>
          <w:rFonts w:hint="eastAsia" w:ascii="宋体" w:hAnsi="宋体" w:eastAsia="宋体" w:cs="宋体"/>
          <w:b/>
          <w:bCs/>
          <w:color w:val="auto"/>
        </w:rPr>
        <w:t>1）统一身份鉴别和授权管理</w:t>
      </w:r>
    </w:p>
    <w:p w14:paraId="4826E85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医院信息系统应用系统部署统一身份鉴别与授权管理系统，为各类应用系统实现集中的帐户管理、认证管理、授权管理和业务审计等功能，为多业务系统统一进行用户账号管理、用户角色授权管理、用户登录应用审计。</w:t>
      </w:r>
    </w:p>
    <w:p w14:paraId="1DD6BF2B">
      <w:pPr>
        <w:pStyle w:val="254"/>
        <w:jc w:val="both"/>
        <w:rPr>
          <w:rFonts w:hint="eastAsia" w:ascii="宋体" w:hAnsi="宋体" w:eastAsia="宋体" w:cs="宋体"/>
          <w:color w:val="auto"/>
        </w:rPr>
      </w:pPr>
      <w:r>
        <w:rPr>
          <w:rFonts w:hint="eastAsia" w:ascii="宋体" w:hAnsi="宋体" w:eastAsia="宋体" w:cs="宋体"/>
          <w:color w:val="auto"/>
        </w:rPr>
        <w:t>统一身份鉴别与授权管理系统主要功能如下：</w:t>
      </w:r>
    </w:p>
    <w:p w14:paraId="7EE5F30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账号管理：账号管理是对用户身份信息进行统一的管理。不仅管理方便，也可防止过期的用户身份信息未及时删除给企业资产带来的安全风险。在人员离职、岗位变动时，只需在管理中心一处更改，即可限制其访问权限，消除对后台系统非法访问的威胁。账号管理的管理范围为主账号和从账号。</w:t>
      </w:r>
    </w:p>
    <w:p w14:paraId="08F48D3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认证管理：统一身份鉴别与授权管理平台自身采用轻量目录存取服务LDAP来建构统一用户信息数据库，它以树状的层次结构来存储数据，实现对服务、组织、人员、组、策略以及其他资源的集中、分层、分组管理。统一身份鉴别与授权管理平台提供开发接口给新建系统，可为后续新的应用系统开发提供了统一的身份认证平台和标准。</w:t>
      </w:r>
    </w:p>
    <w:p w14:paraId="336672A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授权管理：统一身份鉴别与授权管理平台可以授权指定的应用系统给指定的人员访问或使用。授权后，在单点登录平台上将只会显示其有权访问的系统。同时，还可针对其访问权限进行时间、网段等策略级别控制。</w:t>
      </w:r>
    </w:p>
    <w:p w14:paraId="23561B0C">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审计管理：统一身份鉴别与授权管理平台提供了统一审计功能，审计用户对应用系统访问的情况，为后续发生事件后时提供了一个可追查的机制。为管理员提供了一个统一的查询平台，对使用过程进行追踪。管理平台提供强大的审计信息查询，管理人员可根据审计信息的各种属性进行查询。管理平台提供审计报表处理能力，可根据管理人员的定义生成报表。</w:t>
      </w:r>
    </w:p>
    <w:p w14:paraId="525E79A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单点登录：统一身份鉴别与授权管理平台实现了SSO单点登录，用户登录系统后，无需再次认证直接访问被授权的多种基于B/S和C/S的应用系统。</w:t>
      </w:r>
    </w:p>
    <w:p w14:paraId="538E086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强身份认证：通过与CA数字证书的结合，形成双因素身份鉴别的强身份认证。</w:t>
      </w:r>
    </w:p>
    <w:p w14:paraId="4368847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授权粒度控制：统一身份鉴别与授权管理平台解决方案可实现完善的授权管理功能，从用户、角色和资源进行用户授权管理。可以制定到资源边界的粗粒度授权，即，用户按照权限和管理范围的不同，能够访问不同的资源；也可以制定针对资源操作的细粒度授权，系统能够根据用户管理权限的大小为用户分配相关的访问资源的角色以及具体操作，例如，定义某个用户访问的角色是管理员，还是普通使用者等。</w:t>
      </w:r>
    </w:p>
    <w:p w14:paraId="22351AE9">
      <w:pPr>
        <w:pStyle w:val="254"/>
        <w:jc w:val="both"/>
        <w:rPr>
          <w:rFonts w:hint="eastAsia" w:ascii="宋体" w:hAnsi="宋体" w:eastAsia="宋体" w:cs="宋体"/>
          <w:color w:val="auto"/>
        </w:rPr>
      </w:pPr>
      <w:r>
        <w:rPr>
          <w:rFonts w:hint="eastAsia" w:ascii="宋体" w:hAnsi="宋体" w:eastAsia="宋体" w:cs="宋体"/>
          <w:color w:val="auto"/>
        </w:rPr>
        <w:t>用户身份生命周期管理：统一身份鉴别与授权管理平台解决方案可实现完整的用户身份生命周期管理。从员工入职、岗位变动到员工离职，期间使用的账号进行全面的监督、维护和管理，每个管理过程都有相关的管理流程，包括审计，审批，执行和审计等关键环节。基于用户生命周期的用户管理是可配置、可订制的用户管理流程，能够按照企业的实际用户管理流程进行的选择和定制，以符合企业的用户管理需要和用户管理流程。</w:t>
      </w:r>
    </w:p>
    <w:p w14:paraId="7F11CBC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用户树、资源树与分级管理：统一身份鉴别与授权管理平台解决方案为大型企业的上下级单位分别建设用户树、资源树，并且建立各级用户树与各级资源树之间的管理关系，实现完善的分级管理。资源树与用户树可以按照部门、业务和地域进行划分。资源树每个节点作为资源的管理单元，由若干资源和资源从账号组成。用户树的每个节点作为用户的管理单元，由若干用户、主账号和用户策略组成，用户策略包括用户认证策略、登录失败控制策略、登录时间策略以及资源访问策略等。对于资源树和用户树的每个节点，可以指定其下的一个或多个用户为管理员，管理员对这个节点下的子节点，以及节点和子节点下的用户进行管理，如增删改节点和子节点，为节点设置策略等。</w:t>
      </w:r>
    </w:p>
    <w:p w14:paraId="73EAF37F">
      <w:pPr>
        <w:pStyle w:val="254"/>
        <w:jc w:val="both"/>
        <w:rPr>
          <w:rFonts w:hint="eastAsia" w:ascii="宋体" w:hAnsi="宋体" w:eastAsia="宋体" w:cs="宋体"/>
          <w:b/>
          <w:bCs/>
          <w:color w:val="auto"/>
        </w:rPr>
      </w:pPr>
      <w:r>
        <w:rPr>
          <w:rFonts w:hint="eastAsia" w:ascii="宋体" w:hAnsi="宋体" w:eastAsia="宋体" w:cs="宋体"/>
          <w:b/>
          <w:bCs/>
          <w:color w:val="auto"/>
        </w:rPr>
        <w:t>2）下一代防火墙（开启WAF防御）</w:t>
      </w:r>
    </w:p>
    <w:p w14:paraId="480856EB">
      <w:pPr>
        <w:pStyle w:val="254"/>
        <w:ind w:firstLine="482" w:firstLineChars="200"/>
        <w:jc w:val="both"/>
        <w:rPr>
          <w:rFonts w:hint="eastAsia" w:ascii="宋体" w:hAnsi="宋体" w:eastAsia="宋体" w:cs="宋体"/>
          <w:color w:val="auto"/>
        </w:rPr>
      </w:pPr>
      <w:r>
        <w:rPr>
          <w:rFonts w:hint="eastAsia" w:ascii="宋体" w:hAnsi="宋体" w:eastAsia="宋体" w:cs="宋体"/>
          <w:b/>
          <w:bCs/>
          <w:color w:val="auto"/>
        </w:rPr>
        <w:t>在数据中心区防火墙上开启WAF防御功能，对WEB应用服务和网页内容进行防护，</w:t>
      </w:r>
      <w:r>
        <w:rPr>
          <w:rFonts w:hint="eastAsia" w:ascii="宋体" w:hAnsi="宋体" w:eastAsia="宋体" w:cs="宋体"/>
          <w:color w:val="auto"/>
        </w:rPr>
        <w:t>屏蔽对网站的攻击和篡改行为，实现防跨站攻击、防SQL注入、防止黑客入侵、网页防篡改等功能，从而更有效地对网站服务器系统及网页内容进行安全保护，从应用和业务逻辑层面真正解决WEB网站安全问题。</w:t>
      </w:r>
    </w:p>
    <w:p w14:paraId="25DE0816">
      <w:pPr>
        <w:pStyle w:val="254"/>
        <w:jc w:val="both"/>
        <w:rPr>
          <w:rFonts w:hint="eastAsia" w:ascii="宋体" w:hAnsi="宋体" w:eastAsia="宋体" w:cs="宋体"/>
          <w:color w:val="auto"/>
        </w:rPr>
      </w:pPr>
      <w:r>
        <w:rPr>
          <w:rFonts w:hint="eastAsia" w:ascii="宋体" w:hAnsi="宋体" w:eastAsia="宋体" w:cs="宋体"/>
          <w:color w:val="auto"/>
        </w:rPr>
        <w:t>WEB防御应能提供以下主要功能：</w:t>
      </w:r>
    </w:p>
    <w:p w14:paraId="3030515C">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支持对HTTP数据流进行深度分析，内置针对WEB攻击防护的专用特征规则库，规则涵盖诸如SQL注入、XSS（跨站脚本攻击）等OWASP TOP10中的WEB应用安全风险，及远程文件包含漏洞利用、目录遍历、OS命令注入等当今黑客常用的针对WEB基础架构的攻击手段。</w:t>
      </w:r>
    </w:p>
    <w:p w14:paraId="0C562F0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对于HTTP数据包内容具有完全的访问控制权限，检查所有经过网络的HTTP 流量，回应请求并建立安全规则。一旦某个会话被控制，WAF能对内外双向流量进行多重检查，以阻止内嵌的攻击，保证数据不被窃取。网站管理者也可以指定各种策略对URL、参数和格式等进行安全检查。 </w:t>
      </w:r>
    </w:p>
    <w:p w14:paraId="49702BA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WAF应能够监控网页请求的合法性，实时拦截篡改攻击。同时，通过比对请求页面的哈希指纹，校验被请求的网页是否被篡改。一旦检测到发生网页篡改紧急事件时，WAF会将用户请求重定向到默认页面或指定的正常页面，使篡改攻击者的意图不能得逞。</w:t>
      </w:r>
    </w:p>
    <w:p w14:paraId="605A317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视篡改的程度或网站特殊需求，启动专业的应急机制。一方面支持对网络流量进行有效控制，及时阻止篡改攻击行为，保证网站形象。另一方面可提供多种形式的告警机制，通知网站管理者进行事件分析和历史追溯，从而完成WEB服务器的配置及数据恢复，杜绝网页内容连续被篡改。</w:t>
      </w:r>
    </w:p>
    <w:p w14:paraId="08A96CB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WAF系统中集成抗拒绝服务攻击功能，能够防御迄今已知的所有种类DDoS攻击，如SYN Flood、UDP Flood、ICMP Flood、ping of Death、Smurf、HTTP-get Flood 等。同时对未知攻击也能进行有效防护。主要技术包括：</w:t>
      </w:r>
    </w:p>
    <w:p w14:paraId="0A3413D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攻击指纹识别：利用多种技术手段对网络数据包进行特征统计和发现，能够准确定位当前的攻击类型，并触发不同的防御机制，在提高效率的同时确保防护准确度。</w:t>
      </w:r>
    </w:p>
    <w:p w14:paraId="4844BE6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异常流量识别：支持基于数据挖掘的DDoS攻击盲检测技术。利用关联算法和聚类算法自适应的产生检测模型，任何偏离这些正常状态的流量特征都可以被捕获，从而可以实时、自动、有效地识别出异常流量。</w:t>
      </w:r>
    </w:p>
    <w:p w14:paraId="588C1DD7">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攻击特征挖掘：具备高效的攻击特征挖掘能力。系统通过对网络流量的显微分析，挖掘出攻击特征，并将攻击特征移交给规则执行机进行高效执行。</w:t>
      </w:r>
    </w:p>
    <w:p w14:paraId="03DC115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攻击流量过滤：针对检测出的攻击流量，采用规则执行机技术，准确彻底地过滤攻击流量，放行正常流量，保证网站服务的正常进行。</w:t>
      </w:r>
    </w:p>
    <w:p w14:paraId="4067B4B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WAF提供对网站应用漏洞的扫描功能。该功能基于先进的漏洞扫描引擎及庞大漏洞信息库。扫描内容涵盖： SQL注入、跨站脚本编制及操作系统命令注入等WEB常见漏洞。扫描任务支持单任务及批量任务。执行方式可按时间周期进行灵活设置。扫描结束后，自动生成全中文网站漏洞分析报告。此功能可以使网站管理者在不需要安装任何漏洞扫描软件的情况下，直观地了解到网站存在的安全漏洞情况，以及时进行相关修补工作。</w:t>
      </w:r>
    </w:p>
    <w:p w14:paraId="3BE9AA3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WAF在对网站进行全面的安全防护的同时，通过连接池、缓存等机制，实现应用加速，优化网站性能的功效。</w:t>
      </w:r>
    </w:p>
    <w:p w14:paraId="22DC9FF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WEB应用加速功能通过高性能的硬件平台及软件加速算法，可以将用户的WEB请求响应速度提高数倍，大幅提升网站系统的可用性。</w:t>
      </w:r>
    </w:p>
    <w:p w14:paraId="08C15E6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WAF提供强大的网站业务智能分析功能。内容丰富，涵盖网站业务数据智能分析、网站安全数据智能分析以及网站管理数据智能分析三大模块。展现形式为数据表格搭配统计图示，效果清晰、直观。为网站管理者提供有针对性的决策依据。</w:t>
      </w:r>
    </w:p>
    <w:p w14:paraId="67FAE2E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网站业务数据智能分析：提供强大的网站业务统计分析功能。针对网站管理者希望了解到的网站业务参数指标，TopWAF按照不同时间段、不同地区及不同内容，分别对网站流量、网站访问者以及网站内容进行统计分析。统计内容专业、准确，完全可以替代市面上的网站业务监测软件。</w:t>
      </w:r>
    </w:p>
    <w:p w14:paraId="4856D00E">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网站安全数据智能分析：对来自于互联网的各种攻击行为进行详细记录。通过WEB攻击日志、DDOS攻击日志、网页防篡改日志及网页敏感关键字过滤日志，将网站的安全现状直观的展现给网站管理者。统计类型包括时间段、地址来源及攻击种类等，管理者可以通过分析相关数据对网站实施更有针对性的安全策略</w:t>
      </w:r>
    </w:p>
    <w:p w14:paraId="73CEA69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网站管理数据智能分析：管理员操作记录是安全产品不可或缺的功能，WAF应提供告警统计及监控统计报表功能。系统会自动记录所有的报警事件及监控状态，为网站管理者提供良好的管理凭证。</w:t>
      </w:r>
    </w:p>
    <w:p w14:paraId="6ABDA87C">
      <w:pPr>
        <w:pStyle w:val="254"/>
        <w:numPr>
          <w:ilvl w:val="0"/>
          <w:numId w:val="244"/>
        </w:numPr>
        <w:ind w:left="0" w:leftChars="0" w:firstLine="420" w:firstLineChars="0"/>
        <w:jc w:val="both"/>
        <w:rPr>
          <w:rFonts w:hint="eastAsia" w:ascii="宋体" w:hAnsi="宋体" w:eastAsia="宋体" w:cs="宋体"/>
          <w:b/>
          <w:bCs/>
          <w:color w:val="auto"/>
        </w:rPr>
      </w:pPr>
      <w:bookmarkStart w:id="462" w:name="_Toc33101854"/>
      <w:r>
        <w:rPr>
          <w:rFonts w:hint="eastAsia" w:ascii="宋体" w:hAnsi="宋体" w:eastAsia="宋体" w:cs="宋体"/>
          <w:b/>
          <w:bCs/>
          <w:color w:val="auto"/>
        </w:rPr>
        <w:t>数据安全及备份恢复</w:t>
      </w:r>
      <w:bookmarkEnd w:id="462"/>
    </w:p>
    <w:p w14:paraId="36CC5793">
      <w:pPr>
        <w:pStyle w:val="254"/>
        <w:ind w:firstLine="482" w:firstLineChars="200"/>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本项目在数据中心配置备份一体机满足备份需求。</w:t>
      </w:r>
    </w:p>
    <w:p w14:paraId="37BEA9B3">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信息系统处理的各种数据（用户数据、系统数据、业务数据等）在维持系统正常运行上起着至关重要的作用。一旦数据遭到破坏（泄漏、修改、毁坏），都会在不同程度上造成影响，从而危害到系统的正常运行。由于信息系统的各个层面（网络、主机、应用等）都对各类数据进行传输、存储和处理等，因此，对数据的保护需要物理环境、网络、数据库和操作系统、应用程序等提供支持。各个“关口”把好了，数据本身再具有一些防御和修复手段，必然将对数据造成的损害降至最小。</w:t>
      </w:r>
    </w:p>
    <w:p w14:paraId="27F1650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另外，数据备份也是防止数据被破坏后无法恢复的重要手段，而硬件备份等更是保证系统可用的重要内容，在高级别的信息系统中采用异地适时备份会有效的防治灾难发生时可能造成的系统危害。</w:t>
      </w:r>
    </w:p>
    <w:p w14:paraId="482D8A0D">
      <w:pPr>
        <w:pStyle w:val="254"/>
        <w:jc w:val="both"/>
        <w:rPr>
          <w:rFonts w:hint="eastAsia" w:ascii="宋体" w:hAnsi="宋体" w:eastAsia="宋体" w:cs="宋体"/>
          <w:color w:val="auto"/>
        </w:rPr>
      </w:pPr>
      <w:r>
        <w:rPr>
          <w:rFonts w:hint="eastAsia" w:ascii="宋体" w:hAnsi="宋体" w:eastAsia="宋体" w:cs="宋体"/>
          <w:color w:val="auto"/>
        </w:rPr>
        <w:t>保证数据安全和备份恢复主要从：数据完整性、数据保密性、数据备份恢复、剩余信息保护和个人信息保护等方面予以考虑。</w:t>
      </w:r>
    </w:p>
    <w:p w14:paraId="6DCE3F5F">
      <w:pPr>
        <w:pStyle w:val="254"/>
        <w:jc w:val="both"/>
        <w:rPr>
          <w:rFonts w:hint="eastAsia" w:ascii="宋体" w:hAnsi="宋体" w:eastAsia="宋体" w:cs="宋体"/>
          <w:b/>
          <w:bCs/>
          <w:color w:val="auto"/>
        </w:rPr>
      </w:pPr>
      <w:r>
        <w:rPr>
          <w:rFonts w:hint="eastAsia" w:ascii="宋体" w:hAnsi="宋体" w:eastAsia="宋体" w:cs="宋体"/>
          <w:b/>
          <w:bCs/>
          <w:color w:val="auto"/>
        </w:rPr>
        <w:t>1）数据传输完整性和保密性（VPN）</w:t>
      </w:r>
    </w:p>
    <w:p w14:paraId="10C73D1E">
      <w:pPr>
        <w:pStyle w:val="254"/>
        <w:ind w:firstLine="480" w:firstLineChars="200"/>
        <w:jc w:val="both"/>
        <w:rPr>
          <w:rFonts w:hint="eastAsia" w:ascii="宋体" w:hAnsi="宋体" w:eastAsia="宋体" w:cs="宋体"/>
          <w:color w:val="auto"/>
        </w:rPr>
      </w:pPr>
      <w:r>
        <w:rPr>
          <w:rFonts w:hint="eastAsia" w:ascii="宋体" w:hAnsi="宋体" w:eastAsia="宋体" w:cs="宋体"/>
          <w:color w:val="auto"/>
          <w:lang w:val="en-US" w:eastAsia="zh-CN"/>
        </w:rPr>
        <w:t>VPN功能集成在下一代防火墙中实现</w:t>
      </w:r>
      <w:r>
        <w:rPr>
          <w:rFonts w:hint="eastAsia" w:ascii="宋体" w:hAnsi="宋体" w:eastAsia="宋体" w:cs="宋体"/>
          <w:color w:val="auto"/>
        </w:rPr>
        <w:t>。</w:t>
      </w:r>
    </w:p>
    <w:p w14:paraId="55821430">
      <w:pPr>
        <w:pStyle w:val="254"/>
        <w:jc w:val="both"/>
        <w:rPr>
          <w:rFonts w:hint="eastAsia" w:ascii="宋体" w:hAnsi="宋体" w:eastAsia="宋体" w:cs="宋体"/>
          <w:b/>
          <w:bCs/>
          <w:color w:val="auto"/>
        </w:rPr>
      </w:pPr>
      <w:r>
        <w:rPr>
          <w:rFonts w:hint="eastAsia" w:ascii="宋体" w:hAnsi="宋体" w:eastAsia="宋体" w:cs="宋体"/>
          <w:b/>
          <w:bCs/>
          <w:color w:val="auto"/>
        </w:rPr>
        <w:t>2）数据存储完整性和保密性（数据加密）</w:t>
      </w:r>
    </w:p>
    <w:p w14:paraId="3DDC083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针对存储在不同位置的数据，分别采用磁盘加密、数据库加密、文件加密等手段保证重要数据在存储过程中的完整性和保密性。本方案重点介绍文件加密机制。</w:t>
      </w:r>
    </w:p>
    <w:p w14:paraId="2283C64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建议在本地用户终端和文件服务器上部署文档安全管理系统，并在安全管理区部署一套文档安全管理系统服务器，实现重要文档的加密保护和访问权限管理。文档依据实名认证进行访问控制，通过与实名认证基础设施（如LDAP、PKI/CA等）的对接，获取用户信息和认证因素。终端上安装的文档管理客户端将根据使用者实名权限，对文档打开、编辑、外发（通过QQ、邮件等方式）、打印等操作进行严格控制。</w:t>
      </w:r>
    </w:p>
    <w:p w14:paraId="7862545B">
      <w:pPr>
        <w:pStyle w:val="254"/>
        <w:jc w:val="both"/>
        <w:rPr>
          <w:rFonts w:hint="eastAsia" w:ascii="宋体" w:hAnsi="宋体" w:eastAsia="宋体" w:cs="宋体"/>
          <w:color w:val="auto"/>
        </w:rPr>
      </w:pPr>
      <w:r>
        <w:rPr>
          <w:rFonts w:hint="eastAsia" w:ascii="宋体" w:hAnsi="宋体" w:eastAsia="宋体" w:cs="宋体"/>
          <w:color w:val="auto"/>
        </w:rPr>
        <w:t>文档安全管理系统主要实现如下功能：</w:t>
      </w:r>
    </w:p>
    <w:p w14:paraId="7F5E635D">
      <w:pPr>
        <w:pStyle w:val="254"/>
        <w:jc w:val="both"/>
        <w:rPr>
          <w:rFonts w:hint="eastAsia" w:ascii="宋体" w:hAnsi="宋体" w:eastAsia="宋体" w:cs="宋体"/>
          <w:b/>
          <w:bCs/>
          <w:color w:val="auto"/>
        </w:rPr>
      </w:pPr>
      <w:r>
        <w:rPr>
          <w:rFonts w:hint="eastAsia" w:ascii="宋体" w:hAnsi="宋体" w:eastAsia="宋体" w:cs="宋体"/>
          <w:b/>
          <w:bCs/>
          <w:color w:val="auto"/>
        </w:rPr>
        <w:t>文档加密与访问控制</w:t>
      </w:r>
    </w:p>
    <w:p w14:paraId="69420657">
      <w:pPr>
        <w:pStyle w:val="254"/>
        <w:jc w:val="both"/>
        <w:rPr>
          <w:rFonts w:hint="eastAsia" w:ascii="宋体" w:hAnsi="宋体" w:eastAsia="宋体" w:cs="宋体"/>
          <w:color w:val="auto"/>
        </w:rPr>
      </w:pPr>
      <w:r>
        <w:rPr>
          <w:rFonts w:hint="eastAsia" w:ascii="宋体" w:hAnsi="宋体" w:eastAsia="宋体" w:cs="宋体"/>
          <w:color w:val="auto"/>
        </w:rPr>
        <w:t>用户根据其实名认证的角色（所属部门，权限级别等），可访问权限内的文档；</w:t>
      </w:r>
    </w:p>
    <w:p w14:paraId="11469A29">
      <w:pPr>
        <w:pStyle w:val="254"/>
        <w:jc w:val="both"/>
        <w:rPr>
          <w:rFonts w:hint="eastAsia" w:ascii="宋体" w:hAnsi="宋体" w:eastAsia="宋体" w:cs="宋体"/>
          <w:color w:val="auto"/>
        </w:rPr>
      </w:pPr>
      <w:r>
        <w:rPr>
          <w:rFonts w:hint="eastAsia" w:ascii="宋体" w:hAnsi="宋体" w:eastAsia="宋体" w:cs="宋体"/>
          <w:color w:val="auto"/>
        </w:rPr>
        <w:t>通过与文档应用系统进行接口对接，实现策略联动，当文档被用户调用时，管理系统首先根据文档密级进行透明加密，加密完成后再被下载至用户终端；</w:t>
      </w:r>
    </w:p>
    <w:p w14:paraId="576B4C5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用户通过下载方式获取文档后，文档将保持加密状态，且只能在下载终端中被合法用户依据预设授权使用；</w:t>
      </w:r>
    </w:p>
    <w:p w14:paraId="634146A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对重要文档可以通过相关领导审批的方式进行手动授权使用，还可以通过细粒度的权限设置，对文档的读/写/外发/打印等动作进行控制；</w:t>
      </w:r>
    </w:p>
    <w:p w14:paraId="269FF20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终端生成的文档，使用者可根据其权限设置文档的密级，并在生成后进行相应级别的加密。</w:t>
      </w:r>
    </w:p>
    <w:p w14:paraId="1AEB7B84">
      <w:pPr>
        <w:pStyle w:val="254"/>
        <w:jc w:val="both"/>
        <w:rPr>
          <w:rFonts w:hint="eastAsia" w:ascii="宋体" w:hAnsi="宋体" w:eastAsia="宋体" w:cs="宋体"/>
          <w:b/>
          <w:bCs/>
          <w:color w:val="auto"/>
        </w:rPr>
      </w:pPr>
      <w:r>
        <w:rPr>
          <w:rFonts w:hint="eastAsia" w:ascii="宋体" w:hAnsi="宋体" w:eastAsia="宋体" w:cs="宋体"/>
          <w:b/>
          <w:bCs/>
          <w:color w:val="auto"/>
        </w:rPr>
        <w:t>文档合法出口管控</w:t>
      </w:r>
    </w:p>
    <w:p w14:paraId="118A66B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部分文档需要员工进行离线处理，可通过管理员授权相应的使用权限（如在一定时限内可以离线使用，设置相应的打开次数等等），使员工离线编辑文档；</w:t>
      </w:r>
    </w:p>
    <w:p w14:paraId="132FAE1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部分文档需要以明文方式进行外发，比如通过邮件等方式传输、打印、通过U盘等移动介质拷贝等，文档安全管理系统可对明文方式的外发行为进行管控，如通过人工审批批准外发，设置外发电子文档的打开口令，使用次数，是否可编辑，允许打开次数/期限，是否允许打印等等；</w:t>
      </w:r>
    </w:p>
    <w:p w14:paraId="5EC87C9E">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部分文档需要以密文方式进行外发，比如通过邮件等方式传输、通过U盘等移动介质拷贝等，文档安全管理系统可对密文方式的外发行为进行管控，如通过人工审批批准外发，设置外发电子文档的打开口令，使用次数，是否可编辑，允许打开次数/期限等。</w:t>
      </w:r>
    </w:p>
    <w:p w14:paraId="28BD3F7C">
      <w:pPr>
        <w:pStyle w:val="254"/>
        <w:jc w:val="both"/>
        <w:rPr>
          <w:rFonts w:hint="eastAsia" w:ascii="宋体" w:hAnsi="宋体" w:eastAsia="宋体" w:cs="宋体"/>
          <w:b/>
          <w:bCs/>
          <w:color w:val="auto"/>
        </w:rPr>
      </w:pPr>
      <w:r>
        <w:rPr>
          <w:rFonts w:hint="eastAsia" w:ascii="宋体" w:hAnsi="宋体" w:eastAsia="宋体" w:cs="宋体"/>
          <w:b/>
          <w:bCs/>
          <w:color w:val="auto"/>
        </w:rPr>
        <w:t>文档非法出口管控</w:t>
      </w:r>
    </w:p>
    <w:p w14:paraId="11511157">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文档安全管理系统可对各类文档非法出口进行控制，如员工离职拷贝、外部人员私自使用终端拷贝、内部员工私自外发文档、黑客入侵、设备丢失、非法离线等。通过人工审批、文档加密、文档权限控制等手段，杜绝文档从非法出口泄露。</w:t>
      </w:r>
    </w:p>
    <w:p w14:paraId="3ACDA555">
      <w:pPr>
        <w:pStyle w:val="254"/>
        <w:jc w:val="both"/>
        <w:rPr>
          <w:rFonts w:hint="eastAsia" w:ascii="宋体" w:hAnsi="宋体" w:eastAsia="宋体" w:cs="宋体"/>
          <w:b/>
          <w:bCs/>
          <w:color w:val="auto"/>
        </w:rPr>
      </w:pPr>
      <w:bookmarkStart w:id="463" w:name="_Toc177889959"/>
      <w:r>
        <w:rPr>
          <w:rFonts w:hint="eastAsia" w:ascii="宋体" w:hAnsi="宋体" w:eastAsia="宋体" w:cs="宋体"/>
          <w:b/>
          <w:bCs/>
          <w:color w:val="auto"/>
        </w:rPr>
        <w:t>3）数据备份恢复</w:t>
      </w:r>
      <w:bookmarkEnd w:id="463"/>
    </w:p>
    <w:p w14:paraId="48B7402C">
      <w:pPr>
        <w:pStyle w:val="254"/>
        <w:ind w:firstLine="480" w:firstLineChars="200"/>
        <w:jc w:val="both"/>
        <w:rPr>
          <w:rFonts w:hint="eastAsia" w:ascii="宋体" w:hAnsi="宋体" w:eastAsia="宋体" w:cs="宋体"/>
          <w:color w:val="auto"/>
        </w:rPr>
      </w:pPr>
      <w:bookmarkStart w:id="464" w:name="_Toc187473639"/>
      <w:bookmarkEnd w:id="464"/>
      <w:bookmarkStart w:id="465" w:name="_Toc187166599"/>
      <w:bookmarkEnd w:id="465"/>
      <w:bookmarkStart w:id="466" w:name="_Toc188604784"/>
      <w:bookmarkEnd w:id="466"/>
      <w:bookmarkStart w:id="467" w:name="_Toc187473638"/>
      <w:bookmarkEnd w:id="467"/>
      <w:bookmarkStart w:id="468" w:name="_Toc188720645"/>
      <w:bookmarkEnd w:id="468"/>
      <w:bookmarkStart w:id="469" w:name="_Toc196844916"/>
      <w:bookmarkEnd w:id="469"/>
      <w:bookmarkStart w:id="470" w:name="_Toc196843913"/>
      <w:bookmarkEnd w:id="470"/>
      <w:bookmarkStart w:id="471" w:name="_Toc187473865"/>
      <w:bookmarkEnd w:id="471"/>
      <w:bookmarkStart w:id="472" w:name="_Toc196844915"/>
      <w:bookmarkEnd w:id="472"/>
      <w:bookmarkStart w:id="473" w:name="_Toc196843914"/>
      <w:bookmarkEnd w:id="473"/>
      <w:bookmarkStart w:id="474" w:name="_Toc187331140"/>
      <w:bookmarkEnd w:id="474"/>
      <w:bookmarkStart w:id="475" w:name="_Toc188604783"/>
      <w:bookmarkEnd w:id="475"/>
      <w:bookmarkStart w:id="476" w:name="_Toc187166598"/>
      <w:bookmarkEnd w:id="476"/>
      <w:bookmarkStart w:id="477" w:name="_Toc188720646"/>
      <w:bookmarkEnd w:id="477"/>
      <w:bookmarkStart w:id="478" w:name="_Toc188720390"/>
      <w:bookmarkEnd w:id="478"/>
      <w:bookmarkStart w:id="479" w:name="_Toc187473866"/>
      <w:bookmarkEnd w:id="479"/>
      <w:bookmarkStart w:id="480" w:name="_Toc188720389"/>
      <w:bookmarkEnd w:id="480"/>
      <w:bookmarkStart w:id="481" w:name="_Toc187331139"/>
      <w:bookmarkEnd w:id="481"/>
      <w:r>
        <w:rPr>
          <w:rFonts w:hint="eastAsia" w:ascii="宋体" w:hAnsi="宋体" w:eastAsia="宋体" w:cs="宋体"/>
          <w:color w:val="auto"/>
        </w:rPr>
        <w:t>业务信息系统需要进行备份的数据包括存储在各个数据库系统中的业务应用数据、监控管理数据、日志审计数据、策略配置数据等。在医院信息系统数据容灾模式的选择上，采用以在线备份系统为主，离线备份介质为辅的方式，一方面可通过快速的数据恢复满足业务连续性的需要，另一方面也确保大量的历史数据得到经济、妥善的保存，节省在线存储设备开销。</w:t>
      </w:r>
    </w:p>
    <w:p w14:paraId="679292D1">
      <w:pPr>
        <w:pStyle w:val="254"/>
        <w:ind w:firstLine="480" w:firstLineChars="200"/>
        <w:jc w:val="both"/>
        <w:rPr>
          <w:rFonts w:hint="eastAsia" w:ascii="宋体" w:hAnsi="宋体" w:eastAsia="宋体" w:cs="宋体"/>
          <w:color w:val="auto"/>
        </w:rPr>
      </w:pPr>
      <w:r>
        <w:rPr>
          <w:rFonts w:hint="eastAsia" w:ascii="宋体" w:hAnsi="宋体" w:eastAsia="宋体" w:cs="宋体"/>
          <w:color w:val="auto"/>
          <w:lang w:val="en-US" w:eastAsia="zh-CN"/>
        </w:rPr>
        <w:t>本项目</w:t>
      </w:r>
      <w:r>
        <w:rPr>
          <w:rFonts w:hint="eastAsia" w:ascii="宋体" w:hAnsi="宋体" w:eastAsia="宋体" w:cs="宋体"/>
          <w:color w:val="auto"/>
        </w:rPr>
        <w:t>在数据中心机房设立</w:t>
      </w:r>
      <w:r>
        <w:rPr>
          <w:rFonts w:hint="eastAsia" w:ascii="宋体" w:hAnsi="宋体" w:eastAsia="宋体" w:cs="宋体"/>
          <w:color w:val="auto"/>
          <w:lang w:val="en-US" w:eastAsia="zh-CN"/>
        </w:rPr>
        <w:t>两</w:t>
      </w:r>
      <w:r>
        <w:rPr>
          <w:rFonts w:hint="eastAsia" w:ascii="宋体" w:hAnsi="宋体" w:eastAsia="宋体" w:cs="宋体"/>
          <w:color w:val="auto"/>
        </w:rPr>
        <w:t>台存储备份一体机，内置大容量硬盘。在所有数据源服务器上均安装相应平台的数据备份代理软件，对各业务系统的在线业务数据进行同步存储备份。一旦主存储系统出现故障导致数据丢失，可迅速从备份一体机上进行恢复，可达到RPO接近于0的目标。</w:t>
      </w:r>
    </w:p>
    <w:p w14:paraId="28EA8CFA">
      <w:pPr>
        <w:pStyle w:val="254"/>
        <w:jc w:val="both"/>
        <w:rPr>
          <w:rFonts w:hint="eastAsia" w:ascii="宋体" w:hAnsi="宋体" w:eastAsia="宋体" w:cs="宋体"/>
          <w:b/>
          <w:bCs/>
          <w:color w:val="auto"/>
        </w:rPr>
      </w:pPr>
      <w:r>
        <w:rPr>
          <w:rFonts w:hint="eastAsia" w:ascii="宋体" w:hAnsi="宋体" w:eastAsia="宋体" w:cs="宋体"/>
          <w:b/>
          <w:bCs/>
          <w:color w:val="auto"/>
        </w:rPr>
        <w:t>4）剩余信息保护</w:t>
      </w:r>
    </w:p>
    <w:p w14:paraId="5E9DCE0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为保证存储在硬盘、内存或缓冲区中的信息不被非授权的访问，操作系统应对这些剩余信息加以保护。用户的鉴别信息、文件、目录等资源所在的存储空间，操作系统将其完全清除之后，才释放或重新分配给其他用户。</w:t>
      </w:r>
    </w:p>
    <w:p w14:paraId="312FB0AE">
      <w:pPr>
        <w:pStyle w:val="254"/>
        <w:jc w:val="both"/>
        <w:rPr>
          <w:rFonts w:hint="eastAsia" w:ascii="宋体" w:hAnsi="宋体" w:eastAsia="宋体" w:cs="宋体"/>
          <w:color w:val="auto"/>
        </w:rPr>
      </w:pPr>
      <w:r>
        <w:rPr>
          <w:rFonts w:hint="eastAsia" w:ascii="宋体" w:hAnsi="宋体" w:eastAsia="宋体" w:cs="宋体"/>
          <w:color w:val="auto"/>
        </w:rPr>
        <w:t>采取的措施包括：</w:t>
      </w:r>
    </w:p>
    <w:p w14:paraId="6A715BE5">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取消操作系统、数据库系统和堡垒机等系统的用户名、登录密码自动代填功能。</w:t>
      </w:r>
    </w:p>
    <w:p w14:paraId="04CFDB23">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采用数据擦除工具，确保身份鉴别信息和敏感业务数据所在的存储空间被释放或重新分配前得到完全清除。</w:t>
      </w:r>
    </w:p>
    <w:p w14:paraId="3FEE95C0">
      <w:pPr>
        <w:pStyle w:val="254"/>
        <w:jc w:val="both"/>
        <w:rPr>
          <w:rFonts w:hint="eastAsia" w:ascii="宋体" w:hAnsi="宋体" w:eastAsia="宋体" w:cs="宋体"/>
          <w:b/>
          <w:bCs/>
          <w:color w:val="auto"/>
        </w:rPr>
      </w:pPr>
      <w:r>
        <w:rPr>
          <w:rFonts w:hint="eastAsia" w:ascii="宋体" w:hAnsi="宋体" w:eastAsia="宋体" w:cs="宋体"/>
          <w:b/>
          <w:bCs/>
          <w:color w:val="auto"/>
        </w:rPr>
        <w:t>5）个人信息保护</w:t>
      </w:r>
    </w:p>
    <w:p w14:paraId="70E4CC23">
      <w:pPr>
        <w:pStyle w:val="254"/>
        <w:ind w:firstLine="480" w:firstLineChars="200"/>
        <w:jc w:val="both"/>
        <w:rPr>
          <w:rFonts w:hint="eastAsia" w:ascii="宋体" w:hAnsi="宋体" w:eastAsia="宋体" w:cs="宋体"/>
          <w:color w:val="auto"/>
        </w:rPr>
      </w:pPr>
      <w:r>
        <w:rPr>
          <w:rFonts w:hint="eastAsia" w:ascii="宋体" w:hAnsi="宋体" w:eastAsia="宋体" w:cs="宋体"/>
          <w:color w:val="auto"/>
          <w:lang w:val="en-US" w:eastAsia="zh-CN"/>
        </w:rPr>
        <w:t>本项目</w:t>
      </w:r>
      <w:r>
        <w:rPr>
          <w:rFonts w:hint="eastAsia" w:ascii="宋体" w:hAnsi="宋体" w:eastAsia="宋体" w:cs="宋体"/>
          <w:color w:val="auto"/>
        </w:rPr>
        <w:t>医疗业务应用系统应仅采集和保存系统必需的用户个人信息，对于非必需的数据不应进行采集和保存，禁止对业务系统中存放的用户个人信息进行未经授权的访问和使用，另外为了加强对用户个人信息的安全保护，在网络中部署专业的数据安全措施，防范个人隐私数据的泄露。</w:t>
      </w:r>
    </w:p>
    <w:p w14:paraId="4A17BDEB">
      <w:pPr>
        <w:pStyle w:val="254"/>
        <w:jc w:val="both"/>
        <w:rPr>
          <w:rFonts w:hint="eastAsia" w:ascii="宋体" w:hAnsi="宋体" w:eastAsia="宋体" w:cs="宋体"/>
          <w:color w:val="auto"/>
        </w:rPr>
      </w:pPr>
      <w:r>
        <w:rPr>
          <w:rFonts w:hint="eastAsia" w:ascii="宋体" w:hAnsi="宋体" w:eastAsia="宋体" w:cs="宋体"/>
          <w:color w:val="auto"/>
        </w:rPr>
        <w:t>采取的措施包括：</w:t>
      </w:r>
    </w:p>
    <w:p w14:paraId="1E21B748">
      <w:pPr>
        <w:pStyle w:val="254"/>
        <w:jc w:val="both"/>
        <w:rPr>
          <w:rFonts w:hint="eastAsia" w:ascii="宋体" w:hAnsi="宋体" w:eastAsia="宋体" w:cs="宋体"/>
          <w:b/>
          <w:bCs/>
          <w:color w:val="auto"/>
        </w:rPr>
      </w:pPr>
      <w:r>
        <w:rPr>
          <w:rFonts w:hint="eastAsia" w:ascii="宋体" w:hAnsi="宋体" w:eastAsia="宋体" w:cs="宋体"/>
          <w:b/>
          <w:bCs/>
          <w:color w:val="auto"/>
        </w:rPr>
        <w:t>数据防泄漏</w:t>
      </w:r>
    </w:p>
    <w:p w14:paraId="6FDDD3D3">
      <w:pPr>
        <w:pStyle w:val="254"/>
        <w:ind w:firstLine="480" w:firstLineChars="200"/>
        <w:jc w:val="both"/>
        <w:rPr>
          <w:rFonts w:hint="eastAsia" w:ascii="宋体" w:hAnsi="宋体" w:eastAsia="宋体" w:cs="宋体"/>
          <w:color w:val="auto"/>
        </w:rPr>
      </w:pPr>
      <w:bookmarkStart w:id="482" w:name="_Hlk33300016"/>
      <w:r>
        <w:rPr>
          <w:rFonts w:hint="eastAsia" w:ascii="宋体" w:hAnsi="宋体" w:eastAsia="宋体" w:cs="宋体"/>
          <w:color w:val="auto"/>
        </w:rPr>
        <w:t>通过部署数据防泄漏系统，以深度内容识别技术为核心，达到敏感数据利用的事前、事中、事后完整保护，实现数据的合规使用，同时防止主动或意外的数据泄漏，形成完整的数据防泄漏解决方案。</w:t>
      </w:r>
    </w:p>
    <w:p w14:paraId="001CFB25">
      <w:pPr>
        <w:pStyle w:val="254"/>
        <w:ind w:firstLine="482" w:firstLineChars="200"/>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医院在未来需要部署DLP系统实现数据泄露防护。</w:t>
      </w:r>
    </w:p>
    <w:p w14:paraId="4C85456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在数据存储、传输和使用过程中，发现并监控敏感数据，确保敏感数据的合规使用，防止主动或意外的数据泄漏。并通过对敏感数据的使用行为、安全事件、策略执行记录等内容的审计分析，为数据安全管理工作提技术支持。达到敏感数据利用的事前、事中、事后完整保护，实现数据的合规使用，同时防止主动或意外的数据泄漏，保障单位数据资产可控、可信、可充分利用。</w:t>
      </w:r>
    </w:p>
    <w:bookmarkEnd w:id="482"/>
    <w:p w14:paraId="54E241E8">
      <w:pPr>
        <w:pStyle w:val="10"/>
        <w:bidi w:val="0"/>
        <w:ind w:left="720" w:leftChars="0" w:hanging="720" w:firstLineChars="0"/>
        <w:jc w:val="both"/>
        <w:rPr>
          <w:rFonts w:hint="eastAsia" w:ascii="宋体" w:hAnsi="宋体" w:eastAsia="宋体" w:cs="宋体"/>
          <w:b/>
          <w:bCs/>
          <w:color w:val="auto"/>
          <w:lang w:val="en-US" w:eastAsia="zh-CN"/>
        </w:rPr>
      </w:pPr>
      <w:bookmarkStart w:id="483" w:name="_Toc33101855"/>
      <w:bookmarkStart w:id="484" w:name="_Toc5199"/>
      <w:bookmarkStart w:id="485" w:name="_Toc30170"/>
      <w:r>
        <w:rPr>
          <w:rFonts w:hint="eastAsia"/>
          <w:color w:val="auto"/>
        </w:rPr>
        <w:t>安全管理中心设计</w:t>
      </w:r>
      <w:bookmarkEnd w:id="483"/>
      <w:bookmarkEnd w:id="484"/>
      <w:bookmarkEnd w:id="485"/>
      <w:bookmarkStart w:id="486" w:name="_Toc33101857"/>
    </w:p>
    <w:p w14:paraId="1B052D4C">
      <w:pPr>
        <w:pStyle w:val="254"/>
        <w:numPr>
          <w:ilvl w:val="0"/>
          <w:numId w:val="245"/>
        </w:numPr>
        <w:ind w:left="-2" w:leftChars="0" w:firstLine="482"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安全管理</w:t>
      </w:r>
      <w:bookmarkEnd w:id="486"/>
      <w:r>
        <w:rPr>
          <w:rFonts w:hint="eastAsia" w:ascii="宋体" w:hAnsi="宋体" w:eastAsia="宋体" w:cs="宋体"/>
          <w:b/>
          <w:bCs/>
          <w:color w:val="auto"/>
          <w:lang w:val="en-US" w:eastAsia="zh-CN"/>
        </w:rPr>
        <w:t>（三员管理）</w:t>
      </w:r>
    </w:p>
    <w:p w14:paraId="10EEBAD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安全管理中心应做到系统管理员、审计管理员和安全管理员的三权分立，并对各类管理员进行身份鉴别，只允许其通过特定的命令或操作界面进行权限范围内的管理操作，并对这些操作进行审计。各安全管理系统可独立开发用户管理系统，并与堡垒主机或4A系统进行集成，实现用户统一身份认证和单点登录。</w:t>
      </w:r>
    </w:p>
    <w:p w14:paraId="01827345">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系统管理员：主要负责系统的日常运行维护工作。包括网络设备、安全保密产品、服务器和用户终端、操作系统数据库、涉密业务系统的安装、配置、升级、维护、运行管理；网络和系统的用户增加或删除；网络和系统的数据备份、运行日志审查和运行情况监控；应急条件下的安全恢复。</w:t>
      </w:r>
    </w:p>
    <w:p w14:paraId="35035C7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安全保密管理员：主要负责系统的日常安全保密管理工作。包括网络和系统用户权限的授予与撤销；用户操作行为的安全设计；安全保密设备管理；系统安全事件的审计、分析和处理；应急条件下的安全恢复。</w:t>
      </w:r>
    </w:p>
    <w:p w14:paraId="50004AE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安全审计员：主要负责对系统管理员和安全保密员的操作行为进行审计跟踪、分析和监督检查，及时发现违规行为，并定期向系统安全保密管理机构汇报情况。</w:t>
      </w:r>
    </w:p>
    <w:p w14:paraId="2ED1C145">
      <w:pPr>
        <w:pStyle w:val="254"/>
        <w:numPr>
          <w:ilvl w:val="0"/>
          <w:numId w:val="245"/>
        </w:numPr>
        <w:ind w:left="-2" w:leftChars="0" w:firstLine="482" w:firstLineChars="0"/>
        <w:jc w:val="both"/>
        <w:rPr>
          <w:rFonts w:hint="eastAsia" w:ascii="宋体" w:hAnsi="宋体" w:eastAsia="宋体" w:cs="宋体"/>
          <w:b/>
          <w:bCs/>
          <w:color w:val="auto"/>
          <w:lang w:val="en-US" w:eastAsia="zh-CN"/>
        </w:rPr>
      </w:pPr>
      <w:bookmarkStart w:id="487" w:name="_Toc33101860"/>
      <w:r>
        <w:rPr>
          <w:rFonts w:hint="eastAsia" w:ascii="宋体" w:hAnsi="宋体" w:eastAsia="宋体" w:cs="宋体"/>
          <w:b/>
          <w:bCs/>
          <w:color w:val="auto"/>
          <w:lang w:val="en-US" w:eastAsia="zh-CN"/>
        </w:rPr>
        <w:t>安全管理（策略管理</w:t>
      </w:r>
      <w:bookmarkEnd w:id="487"/>
      <w:r>
        <w:rPr>
          <w:rFonts w:hint="eastAsia" w:ascii="宋体" w:hAnsi="宋体" w:eastAsia="宋体" w:cs="宋体"/>
          <w:b/>
          <w:bCs/>
          <w:color w:val="auto"/>
          <w:lang w:val="en-US" w:eastAsia="zh-CN"/>
        </w:rPr>
        <w:t>）</w:t>
      </w:r>
    </w:p>
    <w:p w14:paraId="0ECE79A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建议</w:t>
      </w:r>
      <w:r>
        <w:rPr>
          <w:rFonts w:hint="eastAsia" w:ascii="宋体" w:hAnsi="宋体" w:eastAsia="宋体" w:cs="宋体"/>
          <w:color w:val="auto"/>
          <w:lang w:val="en-US" w:eastAsia="zh-CN"/>
        </w:rPr>
        <w:t>医院未来</w:t>
      </w:r>
      <w:r>
        <w:rPr>
          <w:rFonts w:hint="eastAsia" w:ascii="宋体" w:hAnsi="宋体" w:eastAsia="宋体" w:cs="宋体"/>
          <w:color w:val="auto"/>
        </w:rPr>
        <w:t>在安全管理区部署安全设备和策略系统，对主要的边界安全设备（防火墙、VPN、IDS等）及其安全策略进行集中管理。用户通过友好的可视化操作界面，可以便捷地管理多台安全设备，最大程度的降低配置、管理、监控及维护网络设备的投入成本。管理服务器与各安全设备/组件之间通过安全的SSH或SSL通道进行交互。</w:t>
      </w:r>
    </w:p>
    <w:p w14:paraId="2FACDA54">
      <w:pPr>
        <w:pStyle w:val="254"/>
        <w:jc w:val="both"/>
        <w:rPr>
          <w:rFonts w:hint="eastAsia" w:ascii="宋体" w:hAnsi="宋体" w:eastAsia="宋体" w:cs="宋体"/>
          <w:color w:val="auto"/>
        </w:rPr>
      </w:pPr>
      <w:r>
        <w:rPr>
          <w:rFonts w:hint="eastAsia" w:ascii="宋体" w:hAnsi="宋体" w:eastAsia="宋体" w:cs="宋体"/>
          <w:color w:val="auto"/>
        </w:rPr>
        <w:t>系统主要功能包括：</w:t>
      </w:r>
    </w:p>
    <w:p w14:paraId="734A8F1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设备管理：基于安全域对设备进行管理，支持设备分级分域管理，可以对设备进行远程配置及管理。</w:t>
      </w:r>
    </w:p>
    <w:p w14:paraId="49A6AA7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拓扑管理：支持通过拓扑图对安全域、设备、隧道进行管理。</w:t>
      </w:r>
    </w:p>
    <w:p w14:paraId="484ACDF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策略管理：支持防火墙策略、IPS策略、防病毒策略和VPN通信策略的定义、分发及下发，避免各个设备独立定制策略的随意性，便于从安全策略角度实现全网的安全策略统一管理。</w:t>
      </w:r>
    </w:p>
    <w:p w14:paraId="7E1C0185">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设备监控：可以监视全网设备的在线状态，而且支持采用标准SNMP协议监视设备性能和接口的详细信息。支持一定时间段内新建连接监控。</w:t>
      </w:r>
    </w:p>
    <w:p w14:paraId="03E1A3A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VPN管理：对于VPN设备，可以集中监控隧道状态以及VPN客户端的状态。</w:t>
      </w:r>
    </w:p>
    <w:p w14:paraId="2A3071E8">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实时监控：在监控面板可以更为直观地查看设备的性能监控及接口监控等信息。如果设备支持NetFlow流量数据的传输，则可以在监控面板中查看设备的NetFlow流量监控信息。</w:t>
      </w:r>
    </w:p>
    <w:p w14:paraId="51907579">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日志审计和报表统计：支持日志记录、存储和转发功能；能够对各种安全事件进行分类统计和查看。支持针对单台网关、多台网关或整个网络信息进行统计，可以根据自定义的报表模板，按照计划调度生成报表；能够对生成的报表进行查看和导出操作。</w:t>
      </w:r>
    </w:p>
    <w:p w14:paraId="28F7CD43">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安全报警：通过编写Xml格式规则脚本的方式自定义系统报警规则、TA报警规则、设备报警规则、IDS报警规则、IPS报警规则和监控阀值报警规则，系统能在有安全事件匹配报警规则时，根据报警规则中配置的报警方式进行报警。</w:t>
      </w:r>
    </w:p>
    <w:p w14:paraId="19D1E56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本地CA中心：支持本地CA，可以为网络设备、VRC和管理员生成、更新、发放证书；支持第三方CA，可以为网络设备导入/更新第三方CA生成的证书，同时可以用第三方根证书和CRL验证设备和VPN客户端身份，支持通过OCSP协议验证设备和VPN客户端身份。</w:t>
      </w:r>
    </w:p>
    <w:p w14:paraId="58B512CB">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系统自身管理：支持角色方式管理用户，通过在角色上定义各种功能权限和访问范围，然后将角色应用到管理员上，使管理员具有角色赋予的所有权限。</w:t>
      </w:r>
    </w:p>
    <w:p w14:paraId="2639B2C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服务器级联：支持管理服务器分布式部署：下级服务器向上级服务器上传关键数据；在上级服务器上，可以查看所有下级服务器状态和网络拓扑信息。</w:t>
      </w:r>
    </w:p>
    <w:p w14:paraId="5CFDB2D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升级管理：支持在管理服务器上导入各种升级包，并支持对升级包的集中管理和分发。通过配置计划任务，可以对设备软件、设备上的IPS规则库、应用识别库和防病毒规则库，以及对管理服务器上存储的IPS规则库、应用识别库文件进行有计划地升级。</w:t>
      </w:r>
    </w:p>
    <w:p w14:paraId="6219CCF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设备体检：基于配置检测规则、配置管理、体检评分和体检结果分析，全面对设备的配置合规性等多种健康情况进行综合评定，并以评分的形式进行展现，使得用户能够清晰地了解设备的健康状况，轻易查出非法用户或设备管理员对设备的误配置，并运用设备配置的获取、恢复、比较等功能，最大程度降低设备配置的风险。</w:t>
      </w:r>
    </w:p>
    <w:p w14:paraId="0B2BD6B4">
      <w:pPr>
        <w:pStyle w:val="254"/>
        <w:numPr>
          <w:ilvl w:val="0"/>
          <w:numId w:val="245"/>
        </w:numPr>
        <w:ind w:left="-2" w:leftChars="0" w:firstLine="482" w:firstLineChars="0"/>
        <w:jc w:val="both"/>
        <w:rPr>
          <w:rFonts w:hint="eastAsia" w:ascii="宋体" w:hAnsi="宋体" w:eastAsia="宋体" w:cs="宋体"/>
          <w:b/>
          <w:bCs/>
          <w:color w:val="auto"/>
          <w:lang w:val="en-US" w:eastAsia="zh-CN"/>
        </w:rPr>
      </w:pPr>
      <w:bookmarkStart w:id="488" w:name="_Toc33101858"/>
      <w:r>
        <w:rPr>
          <w:rFonts w:hint="eastAsia" w:ascii="宋体" w:hAnsi="宋体" w:eastAsia="宋体" w:cs="宋体"/>
          <w:b/>
          <w:bCs/>
          <w:color w:val="auto"/>
          <w:lang w:val="en-US" w:eastAsia="zh-CN"/>
        </w:rPr>
        <w:t>安全管理（IT运维管理</w:t>
      </w:r>
      <w:bookmarkEnd w:id="488"/>
      <w:r>
        <w:rPr>
          <w:rFonts w:hint="eastAsia" w:ascii="宋体" w:hAnsi="宋体" w:eastAsia="宋体" w:cs="宋体"/>
          <w:b/>
          <w:bCs/>
          <w:color w:val="auto"/>
          <w:lang w:val="en-US" w:eastAsia="zh-CN"/>
        </w:rPr>
        <w:t>）</w:t>
      </w:r>
    </w:p>
    <w:p w14:paraId="0AF8A0DE">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建议</w:t>
      </w:r>
      <w:r>
        <w:rPr>
          <w:rFonts w:hint="eastAsia" w:ascii="宋体" w:hAnsi="宋体" w:eastAsia="宋体" w:cs="宋体"/>
          <w:color w:val="auto"/>
          <w:lang w:val="en-US" w:eastAsia="zh-CN"/>
        </w:rPr>
        <w:t>医院未来</w:t>
      </w:r>
      <w:r>
        <w:rPr>
          <w:rFonts w:hint="eastAsia" w:ascii="宋体" w:hAnsi="宋体" w:eastAsia="宋体" w:cs="宋体"/>
          <w:color w:val="auto"/>
        </w:rPr>
        <w:t>在安全管理区部署一套综合性的集中IT运维监控管理平台，帮助信息系统运维管理人员对重要的通信线路、主机系统、网络设备和应用软件的运行状况、网络流量、用户行为、系统故障等进行集中监测，随时了解整个IT系统的运行状况，对系统资源故障第一时间发现、定位并进行告警，为确保信息系统和业务应用的持续可靠运行提供运维保障。</w:t>
      </w:r>
    </w:p>
    <w:p w14:paraId="4C1E926E">
      <w:pPr>
        <w:ind w:firstLine="480"/>
        <w:rPr>
          <w:rFonts w:hint="eastAsia" w:ascii="宋体" w:hAnsi="宋体" w:eastAsia="宋体" w:cs="宋体"/>
          <w:color w:val="auto"/>
        </w:rPr>
      </w:pPr>
      <w:r>
        <w:rPr>
          <w:rFonts w:hint="eastAsia"/>
          <w:color w:val="auto"/>
        </w:rPr>
        <w:t>运维审计堡垒机技术主要将运维人员与被管理设备或系统隔离开来，所有的运维管理访问必须通过堡垒机进行。运维人员在操作过程中首先连接到堡垒机，由堡垒机进行身份认证和权限检查后，代替用户连接到目标设备完成远程管理操作，并将操作结果返回给运维人员，同时堡垒机对所有的运维操作及结果进行审计记录。</w:t>
      </w:r>
    </w:p>
    <w:p w14:paraId="56EF4660">
      <w:pPr>
        <w:pStyle w:val="254"/>
        <w:numPr>
          <w:ilvl w:val="0"/>
          <w:numId w:val="245"/>
        </w:numPr>
        <w:ind w:left="-2" w:leftChars="0" w:firstLine="482" w:firstLineChars="0"/>
        <w:jc w:val="both"/>
        <w:rPr>
          <w:rFonts w:hint="eastAsia" w:ascii="宋体" w:hAnsi="宋体" w:eastAsia="宋体" w:cs="宋体"/>
          <w:b/>
          <w:bCs/>
          <w:color w:val="auto"/>
          <w:lang w:val="en-US" w:eastAsia="zh-CN"/>
        </w:rPr>
      </w:pPr>
      <w:bookmarkStart w:id="489" w:name="_Toc33101859"/>
      <w:r>
        <w:rPr>
          <w:rFonts w:hint="eastAsia" w:ascii="宋体" w:hAnsi="宋体" w:eastAsia="宋体" w:cs="宋体"/>
          <w:b/>
          <w:bCs/>
          <w:color w:val="auto"/>
          <w:lang w:val="en-US" w:eastAsia="zh-CN"/>
        </w:rPr>
        <w:t>审计管理（集中日志收集与分析</w:t>
      </w:r>
      <w:bookmarkEnd w:id="489"/>
      <w:r>
        <w:rPr>
          <w:rFonts w:hint="eastAsia" w:ascii="宋体" w:hAnsi="宋体" w:eastAsia="宋体" w:cs="宋体"/>
          <w:b/>
          <w:bCs/>
          <w:color w:val="auto"/>
          <w:lang w:val="en-US" w:eastAsia="zh-CN"/>
        </w:rPr>
        <w:t>）</w:t>
      </w:r>
    </w:p>
    <w:p w14:paraId="0FBEB7A7">
      <w:pPr>
        <w:pStyle w:val="254"/>
        <w:ind w:firstLine="480" w:firstLineChars="200"/>
        <w:jc w:val="both"/>
        <w:rPr>
          <w:rFonts w:hint="eastAsia" w:ascii="宋体" w:hAnsi="宋体" w:eastAsia="宋体" w:cs="宋体"/>
          <w:b/>
          <w:bCs/>
          <w:color w:val="auto"/>
        </w:rPr>
      </w:pPr>
      <w:r>
        <w:rPr>
          <w:rFonts w:hint="eastAsia" w:ascii="宋体" w:hAnsi="宋体" w:eastAsia="宋体" w:cs="宋体"/>
          <w:color w:val="auto"/>
        </w:rPr>
        <w:t>建议在安全管理区部署一套集中的日志收集和分析系统，通过被动采集（SYSLOG、SNMPTRAP）或主动采集（ODBC/JDBC、文件读取、安装AGENT）的方式对医院网络中所有网络设备、服务器操作系统、应用系统、安全设备、安全软件管理平台等所产生的日志数据进行统一采集、存储、分析和统计，为管理人员提供直观的日志查询、分析、展示界面，并长期妥善保存日志数据以便需要时查看。保证审计记录的留存时间符合法律法规要求。</w:t>
      </w:r>
      <w:r>
        <w:rPr>
          <w:rFonts w:hint="eastAsia" w:ascii="宋体" w:hAnsi="宋体" w:eastAsia="宋体" w:cs="宋体"/>
          <w:b/>
          <w:bCs/>
          <w:color w:val="auto"/>
        </w:rPr>
        <w:t>日志至少需要保留6个月。</w:t>
      </w:r>
    </w:p>
    <w:p w14:paraId="0646798A">
      <w:pPr>
        <w:pStyle w:val="254"/>
        <w:jc w:val="both"/>
        <w:rPr>
          <w:rFonts w:hint="eastAsia" w:ascii="宋体" w:hAnsi="宋体" w:eastAsia="宋体" w:cs="宋体"/>
          <w:color w:val="auto"/>
        </w:rPr>
      </w:pPr>
      <w:r>
        <w:rPr>
          <w:rFonts w:hint="eastAsia" w:ascii="宋体" w:hAnsi="宋体" w:eastAsia="宋体" w:cs="宋体"/>
          <w:color w:val="auto"/>
        </w:rPr>
        <w:t>集中日志审计系统实现以下功能：</w:t>
      </w:r>
    </w:p>
    <w:p w14:paraId="63BA6337">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日志收集：收集用户内、外网的网络设备、安全设备、服务器、数据库以及采取B/S方式进行开发的各类应用系统，进行统一集中存储和汇总，并提供给系统管理人员进行进一步的分析和查询； </w:t>
      </w:r>
    </w:p>
    <w:p w14:paraId="16F20F2B">
      <w:pPr>
        <w:pStyle w:val="254"/>
        <w:jc w:val="both"/>
        <w:rPr>
          <w:rFonts w:hint="eastAsia" w:ascii="宋体" w:hAnsi="宋体" w:eastAsia="宋体" w:cs="宋体"/>
          <w:color w:val="auto"/>
        </w:rPr>
      </w:pPr>
      <w:r>
        <w:rPr>
          <w:rFonts w:hint="eastAsia" w:ascii="宋体" w:hAnsi="宋体" w:eastAsia="宋体" w:cs="宋体"/>
          <w:color w:val="auto"/>
        </w:rPr>
        <w:t>日志归一化处理：将不同设备所产生的不同格式的难以理解的日志数据进行统一格式化处理，提炼出有用信息清晰、明确的展示给管理者。</w:t>
      </w:r>
    </w:p>
    <w:p w14:paraId="1D63F08D">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原始日志高效存储：完备的原始日志数据存储策略，符合塞班斯、等保、分保等合规性要求。管理者可以针对不同的管理对象设置不同的存储策略。采用专用数据存储技术对海量安全信息数据进行实时压缩，压缩比高达10:1，每兆存储空间可存储20000条以上安全信息，数据加密存储，防篡改。支持自定义存储位置（磁盘阵列、SAN、NAS等外部存储网络）以获取超大存储空间。支持存储空间实时动态监视，图形化显示最新存储空间使用情况。支持按存储空间、存储时间进行多维度存储策略管理。若存储空间超过设定阀值则系统自动报警，提醒管理者备份原始数据。数据的备份支持手动备份、自动备份两种模式。</w:t>
      </w:r>
    </w:p>
    <w:p w14:paraId="796AA607">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日志查询：支持对海量日志信息进行组合条件检索查询，独特的海量数据查询技术，真正实现了即查即显。查询结果根据归一化后的格式展现给管理者，便于管理者事后追溯。同时为具有一定专业知识的高级管理者提供归一化日志与原始日志同屏对比显示功能，高级管理者可以更深入的分析原始日志数据。支持多条件日志检索查询；支持原始日志全文检索。查询结果支持word、pdf等多种格式导出；支持将备份日志数据进行还原检索查询；支持查询结果二次查询。</w:t>
      </w:r>
    </w:p>
    <w:p w14:paraId="3B6CBC01">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统计分析报表：系统在对安全信息数据进行详尽的分析及统计的基础上支持丰富的报表，实现分析结果的可视化。为了帮助管理员对网络事件进行深度的挖掘分析，系统内只多种统计主题，支持管理员从不同角度进行安全信息的可视化分析。审计报表支持按照排行、流量和概要进行统计，同时支持日、月、年等统计周期。对于统计结果系统提供了表格及多种图形表现形式（柱状图、曲线图），使管理员一目了然。</w:t>
      </w:r>
    </w:p>
    <w:p w14:paraId="68E835B5">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报警管理：日志审计系统可以定义事件的报警方式，即定义什么样的事件采取什么样的报警方式，另外系统管理人员利用日志审计系统，也可以定义自动告警功能，而且用户可以自定义告警内容及管理员应采取的措施，保证报警信息能够足以提醒安全保密管理人员有安全事件发生。</w:t>
      </w:r>
    </w:p>
    <w:p w14:paraId="720FA5D5">
      <w:pPr>
        <w:pStyle w:val="254"/>
        <w:numPr>
          <w:ilvl w:val="0"/>
          <w:numId w:val="245"/>
        </w:numPr>
        <w:ind w:left="-2" w:leftChars="0" w:firstLine="482" w:firstLineChars="0"/>
        <w:jc w:val="both"/>
        <w:rPr>
          <w:rFonts w:hint="eastAsia" w:ascii="宋体" w:hAnsi="宋体" w:eastAsia="宋体" w:cs="宋体"/>
          <w:b/>
          <w:bCs/>
          <w:color w:val="auto"/>
        </w:rPr>
      </w:pPr>
      <w:bookmarkStart w:id="490" w:name="_Toc33101863"/>
      <w:r>
        <w:rPr>
          <w:rFonts w:hint="eastAsia" w:ascii="宋体" w:hAnsi="宋体" w:eastAsia="宋体" w:cs="宋体"/>
          <w:b/>
          <w:bCs/>
          <w:color w:val="auto"/>
          <w:lang w:val="en-US" w:eastAsia="zh-CN"/>
        </w:rPr>
        <w:t>系统管理（未知威胁检测）</w:t>
      </w:r>
    </w:p>
    <w:p w14:paraId="0B737F4B">
      <w:pPr>
        <w:ind w:firstLine="480"/>
        <w:rPr>
          <w:rFonts w:hint="eastAsia" w:ascii="宋体" w:hAnsi="宋体" w:eastAsia="宋体" w:cs="宋体"/>
          <w:b/>
          <w:bCs/>
          <w:color w:val="auto"/>
        </w:rPr>
      </w:pPr>
      <w:r>
        <w:rPr>
          <w:rFonts w:hint="eastAsia"/>
          <w:color w:val="auto"/>
        </w:rPr>
        <w:t>采用未知威胁检测与安全管理平台可以实现对系统的集中安全管控，未知威胁检测与安全管理平台作为单位集中安全运营的主要技术支撑平台，在常规态势以外，不同用户经常有自身的感知需求，可针对不同场景进行态势感知定制。本项目在内网安全管理区部署态势感知系统，在核心交换机旁挂流量探针，对网络整体流量安全进行检测。</w:t>
      </w:r>
    </w:p>
    <w:p w14:paraId="5D380CD5">
      <w:pPr>
        <w:pStyle w:val="254"/>
        <w:numPr>
          <w:ilvl w:val="0"/>
          <w:numId w:val="245"/>
        </w:numPr>
        <w:ind w:left="-2" w:leftChars="0" w:firstLine="482" w:firstLineChars="0"/>
        <w:jc w:val="both"/>
        <w:rPr>
          <w:rFonts w:hint="eastAsia" w:ascii="宋体" w:hAnsi="宋体" w:eastAsia="宋体" w:cs="宋体"/>
          <w:b/>
          <w:bCs/>
          <w:color w:val="auto"/>
        </w:rPr>
      </w:pPr>
      <w:r>
        <w:rPr>
          <w:rFonts w:hint="eastAsia" w:ascii="宋体" w:hAnsi="宋体" w:eastAsia="宋体" w:cs="宋体"/>
          <w:b/>
          <w:bCs/>
          <w:color w:val="auto"/>
          <w:lang w:val="en-US" w:eastAsia="zh-CN"/>
        </w:rPr>
        <w:t>系统管理（</w:t>
      </w:r>
      <w:r>
        <w:rPr>
          <w:rFonts w:hint="eastAsia" w:ascii="宋体" w:hAnsi="宋体" w:eastAsia="宋体" w:cs="宋体"/>
          <w:b/>
          <w:bCs/>
          <w:color w:val="auto"/>
        </w:rPr>
        <w:t>终端安全管理</w:t>
      </w:r>
      <w:bookmarkEnd w:id="490"/>
      <w:r>
        <w:rPr>
          <w:rFonts w:hint="eastAsia" w:ascii="宋体" w:hAnsi="宋体" w:eastAsia="宋体" w:cs="宋体"/>
          <w:b/>
          <w:bCs/>
          <w:color w:val="auto"/>
          <w:lang w:eastAsia="zh-CN"/>
        </w:rPr>
        <w:t>）</w:t>
      </w:r>
    </w:p>
    <w:p w14:paraId="3BB8551D">
      <w:pPr>
        <w:pStyle w:val="254"/>
        <w:ind w:firstLine="480" w:firstLineChars="200"/>
        <w:jc w:val="both"/>
        <w:rPr>
          <w:rFonts w:hint="eastAsia" w:ascii="宋体" w:hAnsi="宋体" w:eastAsia="宋体" w:cs="宋体"/>
          <w:color w:val="auto"/>
        </w:rPr>
      </w:pPr>
      <w:r>
        <w:rPr>
          <w:rFonts w:hint="eastAsia" w:ascii="宋体" w:hAnsi="宋体" w:eastAsia="宋体" w:cs="宋体"/>
          <w:color w:val="auto"/>
          <w:lang w:val="en-US" w:eastAsia="zh-CN"/>
        </w:rPr>
        <w:t>本项目</w:t>
      </w:r>
      <w:r>
        <w:rPr>
          <w:rFonts w:hint="eastAsia" w:ascii="宋体" w:hAnsi="宋体" w:eastAsia="宋体" w:cs="宋体"/>
          <w:color w:val="auto"/>
        </w:rPr>
        <w:t>部署终端安全管理系统，实现了对网络终端进行主动的管理和控制、补丁分发、强制安全策略、远程帮助等主要功能。通过该系统，实现终端主动防护能力和有效的管理，形成整体的安全准入控制体系。</w:t>
      </w:r>
    </w:p>
    <w:p w14:paraId="100E1811">
      <w:pPr>
        <w:pStyle w:val="254"/>
        <w:ind w:firstLine="480" w:firstLineChars="200"/>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同时本项目终端设备，例如移动工作站、电脑的CPU芯片及操作系统均需通过安全可靠测评。</w:t>
      </w:r>
    </w:p>
    <w:p w14:paraId="2F2365DD">
      <w:pPr>
        <w:pStyle w:val="254"/>
        <w:jc w:val="both"/>
        <w:rPr>
          <w:rFonts w:hint="eastAsia" w:ascii="宋体" w:hAnsi="宋体" w:eastAsia="宋体" w:cs="宋体"/>
          <w:color w:val="auto"/>
        </w:rPr>
      </w:pPr>
      <w:r>
        <w:rPr>
          <w:rFonts w:hint="eastAsia" w:ascii="宋体" w:hAnsi="宋体" w:eastAsia="宋体" w:cs="宋体"/>
          <w:color w:val="auto"/>
        </w:rPr>
        <w:t>终端安全管理系统的主要功能包括：</w:t>
      </w:r>
    </w:p>
    <w:p w14:paraId="22DE9A13">
      <w:pPr>
        <w:pStyle w:val="254"/>
        <w:jc w:val="both"/>
        <w:rPr>
          <w:rFonts w:hint="eastAsia" w:ascii="宋体" w:hAnsi="宋体" w:eastAsia="宋体" w:cs="宋体"/>
          <w:color w:val="auto"/>
        </w:rPr>
      </w:pPr>
      <w:r>
        <w:rPr>
          <w:rFonts w:hint="eastAsia" w:ascii="宋体" w:hAnsi="宋体" w:eastAsia="宋体" w:cs="宋体"/>
          <w:color w:val="auto"/>
        </w:rPr>
        <w:t>统一定制、强制执行的安全策略管理</w:t>
      </w:r>
    </w:p>
    <w:p w14:paraId="6079AC93">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系统提供了策略定制机制。管理员根据自身网络特点，能够通过终端安全管理系统有效地实施全局网络配置和安全管理、监控策略，实现了终端的集中安全管理。管理员可以灵活的创建不同的安全策略，在不同类型的windows桌面系统可以应用不同的安全策略，同时提供对安全策略的应用情况进行跟踪和审计，为整个系统提供了灵活的、弹性的安全机制。</w:t>
      </w:r>
    </w:p>
    <w:p w14:paraId="51A82310">
      <w:pPr>
        <w:pStyle w:val="254"/>
        <w:jc w:val="both"/>
        <w:rPr>
          <w:rFonts w:hint="eastAsia" w:ascii="宋体" w:hAnsi="宋体" w:eastAsia="宋体" w:cs="宋体"/>
          <w:color w:val="auto"/>
        </w:rPr>
      </w:pPr>
      <w:r>
        <w:rPr>
          <w:rFonts w:hint="eastAsia" w:ascii="宋体" w:hAnsi="宋体" w:eastAsia="宋体" w:cs="宋体"/>
          <w:color w:val="auto"/>
        </w:rPr>
        <w:t>网络准入</w:t>
      </w:r>
    </w:p>
    <w:p w14:paraId="2EE22BF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网络准入功能支持标准802.1x协议，通过对支持此协议的交换机进行管理，实现有线局域网网络准入。认证方式支持MD5准入和TNC准入，认证模式支持用户模式和计算机模式。</w:t>
      </w:r>
    </w:p>
    <w:p w14:paraId="2496BE8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终端管理系统可与网络内防火墙进行联动，基于防火墙策略实现网络准入，禁止未安装代理软件的终端访问受控网络。</w:t>
      </w:r>
    </w:p>
    <w:p w14:paraId="7C0D210C">
      <w:pPr>
        <w:pStyle w:val="254"/>
        <w:jc w:val="both"/>
        <w:rPr>
          <w:rFonts w:hint="eastAsia" w:ascii="宋体" w:hAnsi="宋体" w:eastAsia="宋体" w:cs="宋体"/>
          <w:color w:val="auto"/>
        </w:rPr>
      </w:pPr>
      <w:r>
        <w:rPr>
          <w:rFonts w:hint="eastAsia" w:ascii="宋体" w:hAnsi="宋体" w:eastAsia="宋体" w:cs="宋体"/>
          <w:color w:val="auto"/>
        </w:rPr>
        <w:t>终端行为监控</w:t>
      </w:r>
    </w:p>
    <w:p w14:paraId="36C87851">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对终端系统的行为进行统一监管功能，能对主机的打印、文件操作、网络访问等行为进行了策略控制，满足了主机、区域安全性的安全需求。</w:t>
      </w:r>
    </w:p>
    <w:p w14:paraId="48B10F5C">
      <w:pPr>
        <w:pStyle w:val="254"/>
        <w:jc w:val="both"/>
        <w:rPr>
          <w:rFonts w:hint="eastAsia" w:ascii="宋体" w:hAnsi="宋体" w:eastAsia="宋体" w:cs="宋体"/>
          <w:color w:val="auto"/>
        </w:rPr>
      </w:pPr>
      <w:r>
        <w:rPr>
          <w:rFonts w:hint="eastAsia" w:ascii="宋体" w:hAnsi="宋体" w:eastAsia="宋体" w:cs="宋体"/>
          <w:color w:val="auto"/>
        </w:rPr>
        <w:t>终端系统监控</w:t>
      </w:r>
    </w:p>
    <w:p w14:paraId="66E5682A">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主机系统主要信息（包括进程/服务信息、账号信息、共享信息、注册表信息、软件信息、CPU使用率、系统盘使用率、系统盘可用空间、内存使用率、主网卡接收速率、主网卡发送速率、系统累计运行时间、网络配置等）进行监视的功能，并通过定制策略对主机的资源、运行状态进行总体监控。</w:t>
      </w:r>
    </w:p>
    <w:p w14:paraId="2689899F">
      <w:pPr>
        <w:pStyle w:val="254"/>
        <w:jc w:val="both"/>
        <w:rPr>
          <w:rFonts w:hint="eastAsia" w:ascii="宋体" w:hAnsi="宋体" w:eastAsia="宋体" w:cs="宋体"/>
          <w:color w:val="auto"/>
        </w:rPr>
      </w:pPr>
      <w:r>
        <w:rPr>
          <w:rFonts w:hint="eastAsia" w:ascii="宋体" w:hAnsi="宋体" w:eastAsia="宋体" w:cs="宋体"/>
          <w:color w:val="auto"/>
        </w:rPr>
        <w:t>终端设备监控</w:t>
      </w:r>
    </w:p>
    <w:p w14:paraId="6E6F04F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对计算机外设如光驱、打印机、调制解调器、网络适配器、图形图像设备、通讯端口、红外设备、蓝牙设备、1394控制器、PCMCIA卡、便捷设备、USB设备进行控制，通过策略定制限制主机是否允许使用外存设备。</w:t>
      </w:r>
    </w:p>
    <w:p w14:paraId="1B803624">
      <w:pPr>
        <w:pStyle w:val="254"/>
        <w:jc w:val="both"/>
        <w:rPr>
          <w:rFonts w:hint="eastAsia" w:ascii="宋体" w:hAnsi="宋体" w:eastAsia="宋体" w:cs="宋体"/>
          <w:color w:val="auto"/>
        </w:rPr>
      </w:pPr>
      <w:r>
        <w:rPr>
          <w:rFonts w:hint="eastAsia" w:ascii="宋体" w:hAnsi="宋体" w:eastAsia="宋体" w:cs="宋体"/>
          <w:color w:val="auto"/>
        </w:rPr>
        <w:t>移动存储介质管理</w:t>
      </w:r>
    </w:p>
    <w:p w14:paraId="27C5721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系统通过对移动存储介质写入不同控制权限及功能的标签，对移动存储设备进行标签化管理，区分内部介质和外部介质。并对制定范围内的终端授权，通过策略与标签的配合来实现对移动存储介质的控制。</w:t>
      </w:r>
    </w:p>
    <w:p w14:paraId="162F1143">
      <w:pPr>
        <w:pStyle w:val="254"/>
        <w:jc w:val="both"/>
        <w:rPr>
          <w:rFonts w:hint="eastAsia" w:ascii="宋体" w:hAnsi="宋体" w:eastAsia="宋体" w:cs="宋体"/>
          <w:color w:val="auto"/>
        </w:rPr>
      </w:pPr>
      <w:r>
        <w:rPr>
          <w:rFonts w:hint="eastAsia" w:ascii="宋体" w:hAnsi="宋体" w:eastAsia="宋体" w:cs="宋体"/>
          <w:color w:val="auto"/>
        </w:rPr>
        <w:t>非法外联监控</w:t>
      </w:r>
    </w:p>
    <w:p w14:paraId="3573214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系统自动检测内网主机的非法外联行为，实时检测内部网络（包括物理隔离和逻辑隔离网络）用户通过调制解调器、ADSL、双网卡等设备非法外联互联网行为，并进行报警。</w:t>
      </w:r>
    </w:p>
    <w:p w14:paraId="33F59C03">
      <w:pPr>
        <w:pStyle w:val="254"/>
        <w:jc w:val="both"/>
        <w:rPr>
          <w:rFonts w:hint="eastAsia" w:ascii="宋体" w:hAnsi="宋体" w:eastAsia="宋体" w:cs="宋体"/>
          <w:color w:val="auto"/>
        </w:rPr>
      </w:pPr>
      <w:r>
        <w:rPr>
          <w:rFonts w:hint="eastAsia" w:ascii="宋体" w:hAnsi="宋体" w:eastAsia="宋体" w:cs="宋体"/>
          <w:color w:val="auto"/>
        </w:rPr>
        <w:t>文档检查与跟踪</w:t>
      </w:r>
    </w:p>
    <w:p w14:paraId="1AA5D27F">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对主机进行文档安全检查及文件操作的跟踪功能。包括敏感信息检查、文档跟踪。</w:t>
      </w:r>
    </w:p>
    <w:p w14:paraId="28867161">
      <w:pPr>
        <w:pStyle w:val="254"/>
        <w:jc w:val="both"/>
        <w:rPr>
          <w:rFonts w:hint="eastAsia" w:ascii="宋体" w:hAnsi="宋体" w:eastAsia="宋体" w:cs="宋体"/>
          <w:color w:val="auto"/>
        </w:rPr>
      </w:pPr>
      <w:r>
        <w:rPr>
          <w:rFonts w:hint="eastAsia" w:ascii="宋体" w:hAnsi="宋体" w:eastAsia="宋体" w:cs="宋体"/>
          <w:color w:val="auto"/>
        </w:rPr>
        <w:t>主机防火墙策略管控</w:t>
      </w:r>
    </w:p>
    <w:p w14:paraId="10C85BB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采用访问控制、流量控制、网络行为模式控制、非法外联控制等手段，实现了针对计算机终端的威胁主动防御和网络行为控制，从而保证计算机终端双向访问安全、行为受控。</w:t>
      </w:r>
    </w:p>
    <w:p w14:paraId="134F6B31">
      <w:pPr>
        <w:pStyle w:val="254"/>
        <w:jc w:val="both"/>
        <w:rPr>
          <w:rFonts w:hint="eastAsia" w:ascii="宋体" w:hAnsi="宋体" w:eastAsia="宋体" w:cs="宋体"/>
          <w:color w:val="auto"/>
        </w:rPr>
      </w:pPr>
      <w:r>
        <w:rPr>
          <w:rFonts w:hint="eastAsia" w:ascii="宋体" w:hAnsi="宋体" w:eastAsia="宋体" w:cs="宋体"/>
          <w:color w:val="auto"/>
        </w:rPr>
        <w:t>补丁管理及软件分发</w:t>
      </w:r>
    </w:p>
    <w:p w14:paraId="1E2163C6">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提供了windows桌面系统补丁管理的功能，帮助管理员对网内基于Windows XP/2003/7/2008/8/8.1等机器快速部署最新的重要更新和安全更新。系统能检测windows桌面系统已安全的补丁和需要安装的补丁，管理员能通过管理服务器对windows桌面系统下发安装和未安装补丁的命令。管理员可从微软网站自动下载更新补丁库，并审核是否允许windows桌面系统安装。通过策略定制，windows桌面系统可以自动检测、下载和安装补丁。</w:t>
      </w:r>
    </w:p>
    <w:p w14:paraId="4C6A10C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通过软件分发能将特定软件包或驱动程序下发给预定义的用户或用户组；并能根据用户的要求自动执行已下发的软件。</w:t>
      </w:r>
    </w:p>
    <w:p w14:paraId="631A895A">
      <w:pPr>
        <w:pStyle w:val="254"/>
        <w:jc w:val="both"/>
        <w:rPr>
          <w:rFonts w:hint="eastAsia" w:ascii="宋体" w:hAnsi="宋体" w:eastAsia="宋体" w:cs="宋体"/>
          <w:color w:val="auto"/>
        </w:rPr>
      </w:pPr>
      <w:r>
        <w:rPr>
          <w:rFonts w:hint="eastAsia" w:ascii="宋体" w:hAnsi="宋体" w:eastAsia="宋体" w:cs="宋体"/>
          <w:color w:val="auto"/>
        </w:rPr>
        <w:t>安全审计</w:t>
      </w:r>
    </w:p>
    <w:p w14:paraId="74F2F997">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管理者可以通过统一管理平台进行统一安全审计管理。系统提供完备的日志查询功能以及多样化的统计分析报表。</w:t>
      </w:r>
    </w:p>
    <w:p w14:paraId="3EDADCAB">
      <w:pPr>
        <w:pStyle w:val="254"/>
        <w:jc w:val="both"/>
        <w:rPr>
          <w:rFonts w:hint="eastAsia" w:ascii="宋体" w:hAnsi="宋体" w:eastAsia="宋体" w:cs="宋体"/>
          <w:color w:val="auto"/>
        </w:rPr>
      </w:pPr>
      <w:r>
        <w:rPr>
          <w:rFonts w:hint="eastAsia" w:ascii="宋体" w:hAnsi="宋体" w:eastAsia="宋体" w:cs="宋体"/>
          <w:color w:val="auto"/>
        </w:rPr>
        <w:t>安全报警</w:t>
      </w:r>
    </w:p>
    <w:p w14:paraId="41BE80FC">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管理员可以确定报警日志的类型，系统可以配置多个报警终端，报警终端的设置由管理员设置。</w:t>
      </w:r>
    </w:p>
    <w:p w14:paraId="553D3844">
      <w:pPr>
        <w:pStyle w:val="254"/>
        <w:jc w:val="both"/>
        <w:rPr>
          <w:rFonts w:hint="eastAsia" w:ascii="宋体" w:hAnsi="宋体" w:eastAsia="宋体" w:cs="宋体"/>
          <w:color w:val="auto"/>
        </w:rPr>
      </w:pPr>
      <w:r>
        <w:rPr>
          <w:rFonts w:hint="eastAsia" w:ascii="宋体" w:hAnsi="宋体" w:eastAsia="宋体" w:cs="宋体"/>
          <w:color w:val="auto"/>
        </w:rPr>
        <w:t>资产管理</w:t>
      </w:r>
    </w:p>
    <w:p w14:paraId="1641ACA2">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可以根据网络终端接入网络情况，自动检测到系统的配置；具有防止用户私自更改系统配置，用户更改系统配置，系统会产生审计日志。</w:t>
      </w:r>
    </w:p>
    <w:p w14:paraId="6FB85ACA">
      <w:pPr>
        <w:pStyle w:val="254"/>
        <w:jc w:val="both"/>
        <w:rPr>
          <w:rFonts w:hint="eastAsia" w:ascii="宋体" w:hAnsi="宋体" w:eastAsia="宋体" w:cs="宋体"/>
          <w:color w:val="auto"/>
        </w:rPr>
      </w:pPr>
      <w:r>
        <w:rPr>
          <w:rFonts w:hint="eastAsia" w:ascii="宋体" w:hAnsi="宋体" w:eastAsia="宋体" w:cs="宋体"/>
          <w:color w:val="auto"/>
        </w:rPr>
        <w:t>报表管理</w:t>
      </w:r>
    </w:p>
    <w:p w14:paraId="6897E430">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对收集的事件进行详尽的分析和统计的基础上，支持丰富的报表功能，实现了分析结果的可视化。为帮助网络管理员对网络中的情况进行深度挖掘分析，系统提供了多种报表模板，支持管理员从不同方面进行网络事件的可视化分析。对于分析结果系统提供了表格及多种图形表现形式（柱状图、饼图、曲线图），使管理员一目了然。</w:t>
      </w:r>
    </w:p>
    <w:p w14:paraId="112173AE">
      <w:pPr>
        <w:pStyle w:val="254"/>
        <w:jc w:val="both"/>
        <w:rPr>
          <w:rFonts w:hint="eastAsia" w:ascii="宋体" w:hAnsi="宋体" w:eastAsia="宋体" w:cs="宋体"/>
          <w:b/>
          <w:bCs/>
          <w:color w:val="auto"/>
          <w:lang w:eastAsia="zh-CN"/>
        </w:rPr>
      </w:pPr>
      <w:bookmarkStart w:id="491" w:name="_Toc33101865"/>
      <w:r>
        <w:rPr>
          <w:rFonts w:hint="eastAsia" w:ascii="宋体" w:hAnsi="宋体" w:eastAsia="宋体" w:cs="宋体"/>
          <w:b/>
          <w:bCs/>
          <w:color w:val="auto"/>
        </w:rPr>
        <w:t>6）</w:t>
      </w:r>
      <w:r>
        <w:rPr>
          <w:rFonts w:hint="eastAsia" w:ascii="宋体" w:hAnsi="宋体" w:eastAsia="宋体" w:cs="宋体"/>
          <w:b/>
          <w:bCs/>
          <w:color w:val="auto"/>
          <w:lang w:val="en-US" w:eastAsia="zh-CN"/>
        </w:rPr>
        <w:t>系统管理（</w:t>
      </w:r>
      <w:r>
        <w:rPr>
          <w:rFonts w:hint="eastAsia" w:ascii="宋体" w:hAnsi="宋体" w:eastAsia="宋体" w:cs="宋体"/>
          <w:b/>
          <w:bCs/>
          <w:color w:val="auto"/>
        </w:rPr>
        <w:t>可信验证系统</w:t>
      </w:r>
      <w:bookmarkEnd w:id="491"/>
      <w:r>
        <w:rPr>
          <w:rFonts w:hint="eastAsia" w:ascii="宋体" w:hAnsi="宋体" w:eastAsia="宋体" w:cs="宋体"/>
          <w:b/>
          <w:bCs/>
          <w:color w:val="auto"/>
          <w:lang w:eastAsia="zh-CN"/>
        </w:rPr>
        <w:t>）</w:t>
      </w:r>
    </w:p>
    <w:p w14:paraId="3AB3C9D5">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可信计算是等级保护的关键支撑技术，要构筑主动防御、安全可信的保障体系，以应对强敌高级持续性威胁。</w:t>
      </w:r>
    </w:p>
    <w:p w14:paraId="2A277084">
      <w:pPr>
        <w:pStyle w:val="254"/>
        <w:ind w:firstLine="480" w:firstLineChars="200"/>
        <w:jc w:val="both"/>
        <w:rPr>
          <w:rFonts w:hint="eastAsia" w:ascii="宋体" w:hAnsi="宋体" w:eastAsia="宋体" w:cs="宋体"/>
          <w:color w:val="auto"/>
        </w:rPr>
      </w:pPr>
      <w:r>
        <w:rPr>
          <w:rFonts w:hint="eastAsia" w:ascii="宋体" w:hAnsi="宋体" w:eastAsia="宋体" w:cs="宋体"/>
          <w:color w:val="auto"/>
        </w:rPr>
        <w:t xml:space="preserve">在网络设备、安全设备等硬件设备的主板上嵌入TPCM芯片，针对服务器、终端、应用系统，在系统中安装标记代理软件，为服务器、终端等提供可信根服务，并对上层应用运行环境进行主动监控。  </w:t>
      </w:r>
    </w:p>
    <w:p w14:paraId="4DF1795D">
      <w:pPr>
        <w:pStyle w:val="10"/>
        <w:bidi w:val="0"/>
        <w:ind w:left="720" w:leftChars="0" w:hanging="720" w:firstLineChars="0"/>
        <w:jc w:val="both"/>
        <w:rPr>
          <w:rFonts w:hint="eastAsia"/>
          <w:color w:val="auto"/>
        </w:rPr>
      </w:pPr>
      <w:bookmarkStart w:id="492" w:name="_Toc20045"/>
      <w:bookmarkStart w:id="493" w:name="_Toc31367"/>
      <w:bookmarkStart w:id="494" w:name="_Toc16169"/>
      <w:r>
        <w:rPr>
          <w:rFonts w:hint="eastAsia"/>
          <w:color w:val="auto"/>
        </w:rPr>
        <w:t>数据安全</w:t>
      </w:r>
      <w:bookmarkEnd w:id="492"/>
      <w:bookmarkEnd w:id="493"/>
      <w:bookmarkEnd w:id="494"/>
    </w:p>
    <w:p w14:paraId="6CDA6F7B">
      <w:pPr>
        <w:pStyle w:val="12"/>
        <w:bidi w:val="0"/>
        <w:ind w:left="864" w:leftChars="0" w:hanging="864" w:firstLineChars="0"/>
        <w:rPr>
          <w:rFonts w:hint="eastAsia"/>
          <w:color w:val="auto"/>
          <w:lang w:val="zh-CN"/>
        </w:rPr>
      </w:pPr>
      <w:r>
        <w:rPr>
          <w:rFonts w:hint="eastAsia"/>
          <w:color w:val="auto"/>
          <w:lang w:val="zh-CN"/>
        </w:rPr>
        <w:t>网络数据防泄漏</w:t>
      </w:r>
    </w:p>
    <w:p w14:paraId="6E504785">
      <w:pPr>
        <w:pStyle w:val="254"/>
        <w:ind w:firstLine="480" w:firstLineChars="200"/>
        <w:rPr>
          <w:rFonts w:hint="eastAsia" w:ascii="宋体" w:hAnsi="宋体" w:eastAsia="宋体" w:cs="宋体"/>
          <w:color w:val="auto"/>
        </w:rPr>
      </w:pPr>
      <w:r>
        <w:rPr>
          <w:rFonts w:hint="eastAsia" w:ascii="宋体" w:hAnsi="宋体" w:eastAsia="宋体" w:cs="宋体"/>
          <w:color w:val="auto"/>
        </w:rPr>
        <w:t>应采用成熟的网络数据泄漏防护技术，实时监测网络中传输的信息，自动识别是否存在敏感信息正在通过邮件、网站浏览等方式向互联网传播，并且根据安全策略来决定是只进行审计，还是既审计，同时还要进行阻断。</w:t>
      </w:r>
    </w:p>
    <w:p w14:paraId="217A2F1C">
      <w:pPr>
        <w:pStyle w:val="254"/>
        <w:ind w:firstLine="480" w:firstLineChars="200"/>
        <w:rPr>
          <w:rFonts w:hint="eastAsia" w:ascii="宋体" w:hAnsi="宋体" w:eastAsia="宋体" w:cs="宋体"/>
          <w:color w:val="auto"/>
        </w:rPr>
      </w:pPr>
      <w:r>
        <w:rPr>
          <w:rFonts w:hint="eastAsia" w:ascii="宋体" w:hAnsi="宋体" w:eastAsia="宋体" w:cs="宋体"/>
          <w:color w:val="auto"/>
        </w:rPr>
        <w:t>采用的网络数据防泄漏技术应具备敏感数据深度识别技术，可以识别各种常见的非结构化数据、结构化数据，对于数据被包装成各种形式的泄漏方式均可进行识别、拦截。比如自定义文件格式、文件被加密、文件被多层嵌套、文件被多层压缩、更改文件类型、更改文件名称、剪贴部分资料、插入无关资料、少量多次泄漏、截屏等各种逃脱的伎俩能够准确识别，杜绝绝大部分的数据泄漏事件。</w:t>
      </w:r>
    </w:p>
    <w:p w14:paraId="0E53A20C">
      <w:pPr>
        <w:pStyle w:val="254"/>
        <w:ind w:firstLine="480" w:firstLineChars="200"/>
        <w:rPr>
          <w:rFonts w:hint="eastAsia" w:ascii="宋体" w:hAnsi="宋体" w:eastAsia="宋体" w:cs="宋体"/>
          <w:color w:val="auto"/>
        </w:rPr>
      </w:pPr>
      <w:r>
        <w:rPr>
          <w:rFonts w:hint="eastAsia" w:ascii="宋体" w:hAnsi="宋体" w:eastAsia="宋体" w:cs="宋体"/>
          <w:color w:val="auto"/>
        </w:rPr>
        <w:t>成熟的数据泄漏防护技术中，深度内容识别应该不仅是关键字识别、正则表达式识别，而应该具备除了关键字、正则表达式识别以外的识别技术，比如非结构化数据指纹技术、结构化数据指纹技术、数据标识符技术等精确识别技术和机器分类、机器聚类、语义识别、关键字自动抽取等智能识别技术。强大的内容识别技术才能保证敏感数据识别的准确性，才能够保证不会遗漏敏感数据，从而将数据泄漏的风险降到最低。并且数据泄漏防护技术通过对敏感数据的使用行为、安全事件、策略执行记录等内容的审计分析，可为数据安全管理工作提供技术支持。</w:t>
      </w:r>
    </w:p>
    <w:p w14:paraId="7582A5A8">
      <w:pPr>
        <w:pStyle w:val="254"/>
        <w:ind w:firstLine="480" w:firstLineChars="200"/>
        <w:rPr>
          <w:rFonts w:hint="eastAsia" w:ascii="宋体" w:hAnsi="宋体" w:eastAsia="宋体" w:cs="宋体"/>
          <w:color w:val="auto"/>
        </w:rPr>
      </w:pPr>
      <w:r>
        <w:rPr>
          <w:rFonts w:hint="eastAsia" w:ascii="宋体" w:hAnsi="宋体" w:eastAsia="宋体" w:cs="宋体"/>
          <w:color w:val="auto"/>
        </w:rPr>
        <w:t>网络数据防泄漏通过HTTP、HTTPS、IMAP、POP3、SMTP、SMB等协议进行解析，对网络中的数据进行深度内容分析，集成多种内容检测技术，针对不同安全级别数据可采用不同的技术，兼顾准确与效率；支持多种响应规则，可实现敏感数据保护、业务畅通之前的平衡，做到适度安全；同时为确保设备的可实施性，提供灵活的策略框架，简化策略配置过程。如下图所示：</w:t>
      </w:r>
    </w:p>
    <w:p w14:paraId="67FEFBA7">
      <w:pPr>
        <w:pStyle w:val="254"/>
        <w:rPr>
          <w:rFonts w:asciiTheme="minorEastAsia" w:hAnsiTheme="minorEastAsia"/>
          <w:color w:val="auto"/>
        </w:rPr>
      </w:pPr>
      <w:r>
        <w:rPr>
          <w:rFonts w:asciiTheme="minorEastAsia" w:hAnsiTheme="minorEastAsia"/>
          <w:color w:val="auto"/>
        </w:rPr>
        <w:drawing>
          <wp:inline distT="0" distB="0" distL="0" distR="0">
            <wp:extent cx="5094605" cy="2409825"/>
            <wp:effectExtent l="0" t="0" r="10795" b="3175"/>
            <wp:docPr id="1679763539" name="图片 167976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63539" name="图片 16797635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6963" cy="2415587"/>
                    </a:xfrm>
                    <a:prstGeom prst="rect">
                      <a:avLst/>
                    </a:prstGeom>
                    <a:noFill/>
                  </pic:spPr>
                </pic:pic>
              </a:graphicData>
            </a:graphic>
          </wp:inline>
        </w:drawing>
      </w:r>
    </w:p>
    <w:p w14:paraId="2AEE9201">
      <w:pPr>
        <w:pStyle w:val="21"/>
        <w:jc w:val="center"/>
        <w:rPr>
          <w:rFonts w:hint="default" w:eastAsia="黑体" w:asciiTheme="minorEastAsia" w:hAnsiTheme="minorEastAsia"/>
          <w:color w:val="auto"/>
          <w:lang w:val="en-US" w:eastAsia="zh-CN"/>
        </w:rPr>
      </w:pPr>
      <w:r>
        <w:rPr>
          <w:color w:val="auto"/>
        </w:rPr>
        <w:t>图</w:t>
      </w:r>
      <w:r>
        <w:rPr>
          <w:rFonts w:hint="eastAsia"/>
          <w:color w:val="auto"/>
          <w:lang w:val="en-US" w:eastAsia="zh-CN"/>
        </w:rPr>
        <w:t>5-</w:t>
      </w:r>
      <w:r>
        <w:rPr>
          <w:color w:val="auto"/>
        </w:rPr>
        <w:fldChar w:fldCharType="begin"/>
      </w:r>
      <w:r>
        <w:rPr>
          <w:color w:val="auto"/>
        </w:rPr>
        <w:instrText xml:space="preserve"> SEQ 图 \* ARABIC </w:instrText>
      </w:r>
      <w:r>
        <w:rPr>
          <w:color w:val="auto"/>
        </w:rPr>
        <w:fldChar w:fldCharType="separate"/>
      </w:r>
      <w:r>
        <w:rPr>
          <w:color w:val="auto"/>
        </w:rPr>
        <w:t>10</w:t>
      </w:r>
      <w:r>
        <w:rPr>
          <w:color w:val="auto"/>
        </w:rPr>
        <w:fldChar w:fldCharType="end"/>
      </w:r>
      <w:r>
        <w:rPr>
          <w:rFonts w:hint="eastAsia"/>
          <w:color w:val="auto"/>
        </w:rPr>
        <w:t>网络数据防泄漏</w:t>
      </w:r>
      <w:r>
        <w:rPr>
          <w:rFonts w:hint="eastAsia"/>
          <w:color w:val="auto"/>
          <w:lang w:val="en-US" w:eastAsia="zh-CN"/>
        </w:rPr>
        <w:t>流程图</w:t>
      </w:r>
    </w:p>
    <w:p w14:paraId="59E578B9">
      <w:pPr>
        <w:pStyle w:val="254"/>
        <w:ind w:firstLine="480" w:firstLineChars="200"/>
        <w:rPr>
          <w:rFonts w:hint="eastAsia" w:ascii="宋体" w:hAnsi="宋体" w:eastAsia="宋体" w:cs="宋体"/>
          <w:color w:val="auto"/>
        </w:rPr>
      </w:pPr>
      <w:r>
        <w:rPr>
          <w:rFonts w:hint="eastAsia" w:ascii="宋体" w:hAnsi="宋体" w:eastAsia="宋体" w:cs="宋体"/>
          <w:color w:val="auto"/>
        </w:rPr>
        <w:t>网络数据防泄漏产品是通过在网络出口或安全域边界部署硬件设备，可进行识别、监视和控制通过邮件、WEB、FTP等网络协议传送的各种敏感数据。可以对通过HTTP、FTP等协议上传的文件、发表的敏感言论进行实时检测，可以针对通过邮件发送的敏感内容如：敏感主题、敏感正文、 敏感附件等进行检测，即以内容检测技术将通过网络传输的敏感内容进行识别和审计。</w:t>
      </w:r>
    </w:p>
    <w:p w14:paraId="1CB2B206">
      <w:pPr>
        <w:pStyle w:val="254"/>
        <w:ind w:firstLine="480" w:firstLineChars="200"/>
        <w:rPr>
          <w:rFonts w:hint="eastAsia" w:ascii="宋体" w:hAnsi="宋体" w:eastAsia="宋体" w:cs="宋体"/>
          <w:color w:val="auto"/>
        </w:rPr>
      </w:pPr>
      <w:r>
        <w:rPr>
          <w:rFonts w:hint="eastAsia" w:ascii="宋体" w:hAnsi="宋体" w:eastAsia="宋体" w:cs="宋体"/>
          <w:color w:val="auto"/>
        </w:rPr>
        <w:t>对于边界区域，为分析掌握网络中敏感数据正常授权使用的流转模式，或为发现网络中异常违规数据流，通常采用网络数据监控的方式进行管理。由交换机、防火墙等设备把数据流量镜像或分流到审计型网络数据防泄漏产品上进行审查。该方式目的在于监控与审计，不对数据进行阻断。这种组网方式对于原有网络的变动最小，网络切换简单。</w:t>
      </w:r>
    </w:p>
    <w:p w14:paraId="4AE28867">
      <w:pPr>
        <w:pStyle w:val="254"/>
        <w:ind w:firstLine="480" w:firstLineChars="200"/>
        <w:rPr>
          <w:rFonts w:hint="eastAsia" w:ascii="宋体" w:hAnsi="宋体" w:eastAsia="宋体" w:cs="宋体"/>
          <w:color w:val="auto"/>
        </w:rPr>
      </w:pPr>
      <w:r>
        <w:rPr>
          <w:rFonts w:hint="eastAsia" w:ascii="宋体" w:hAnsi="宋体" w:eastAsia="宋体" w:cs="宋体"/>
          <w:color w:val="auto"/>
        </w:rPr>
        <w:t>当网络边界区对于数据的保护目标在于阻止敏感数据外发时，部署阻断型网络防泄漏系统。网络防泄漏系统（阻断型）采用直路部署方式。该方式将网络防泄漏系统（阻断型）串接在网络中，无需部署Web Proxy、MTA等服务器。数据流经网络防泄漏系统（阻断型）时，进行检测，根据结果进行转发或阻断。该方式既能发现敏感数据也能主动阻截敏感数据的外传。</w:t>
      </w:r>
    </w:p>
    <w:p w14:paraId="00FC1BB4">
      <w:pPr>
        <w:pStyle w:val="12"/>
        <w:bidi w:val="0"/>
        <w:ind w:left="864" w:leftChars="0" w:hanging="864" w:firstLineChars="0"/>
        <w:rPr>
          <w:rFonts w:hint="eastAsia"/>
          <w:color w:val="auto"/>
        </w:rPr>
      </w:pPr>
      <w:r>
        <w:rPr>
          <w:rFonts w:hint="eastAsia"/>
          <w:color w:val="auto"/>
          <w:lang w:val="zh-CN"/>
        </w:rPr>
        <w:t>数据</w:t>
      </w:r>
      <w:r>
        <w:rPr>
          <w:rFonts w:hint="eastAsia"/>
          <w:color w:val="auto"/>
        </w:rPr>
        <w:t>分类分级</w:t>
      </w:r>
    </w:p>
    <w:p w14:paraId="5A25C107">
      <w:pPr>
        <w:pStyle w:val="254"/>
        <w:ind w:firstLine="480" w:firstLineChars="200"/>
        <w:rPr>
          <w:rFonts w:hint="eastAsia" w:ascii="宋体" w:hAnsi="宋体" w:eastAsia="宋体" w:cs="宋体"/>
          <w:color w:val="auto"/>
        </w:rPr>
      </w:pPr>
      <w:r>
        <w:rPr>
          <w:rFonts w:hint="eastAsia" w:ascii="宋体" w:hAnsi="宋体" w:eastAsia="宋体" w:cs="宋体"/>
          <w:color w:val="auto"/>
        </w:rPr>
        <w:t>数据分类分级在医疗数据采集、数据安全治理过程中至关重要，科学的、合理的分类分级是保障医疗数据资产安全共享的基础。是数据重要性的直观化展示。经过数据安全治理对数据资产进行分类分级策略制定、等级评判及分类分级打标，将分类分级结果落实到产品中，对医疗数据进行自动化的分类分级，做到结合实际业务的数据共享资产分类分级管理，为数据的分类分级清单提供技术支撑，通过医疗数据共享识别能力，为医疗数据共享资产的差异化保护提供了理论支撑，同时可以满足现在数据安全相关法律法规对本单位的合规性检查。</w:t>
      </w:r>
    </w:p>
    <w:p w14:paraId="3F96678C">
      <w:pPr>
        <w:pStyle w:val="254"/>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宋体"/>
          <w:color w:val="auto"/>
        </w:rPr>
        <w:t>对医院系统在数据应用过程中涉及的数据进行分类，依据GB/T 43697-2024标准，建议按数据重要性划分为三级：核心数据、重要数据和一般数据，各类数据需</w:t>
      </w:r>
      <w:r>
        <w:rPr>
          <w:rFonts w:hint="eastAsia" w:ascii="宋体" w:hAnsi="宋体" w:eastAsia="宋体" w:cs="Times New Roman"/>
          <w:color w:val="auto"/>
          <w:kern w:val="2"/>
          <w:sz w:val="24"/>
          <w:szCs w:val="24"/>
          <w:highlight w:val="none"/>
          <w:lang w:val="en-US" w:eastAsia="zh-CN" w:bidi="ar-SA"/>
        </w:rPr>
        <w:t>要相对应的安全控制技术，由此形成数据安全保护总体技术框架。</w:t>
      </w:r>
    </w:p>
    <w:p w14:paraId="76C9E81C">
      <w:pPr>
        <w:pStyle w:val="254"/>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通过数据安全治理提供分类分级策略及打标结果的输出，可以自定义分类分级策略，也可采用模板导入的方式，实现快速的分类分级策略的制定。人民医院在共享数据时，免不了对一些重要数据进行有条件共享，平台也提供重要数据策略管理维护能力，对重要数据进行自动识别，并以重要数据内容清单呈现实现重要数据专项管理。</w:t>
      </w:r>
    </w:p>
    <w:p w14:paraId="3A6CB6C6">
      <w:pPr>
        <w:bidi w:val="0"/>
        <w:rPr>
          <w:rFonts w:hint="eastAsia"/>
          <w:color w:val="auto"/>
        </w:rPr>
      </w:pPr>
      <w:r>
        <w:rPr>
          <w:rFonts w:hint="eastAsia"/>
          <w:color w:val="auto"/>
        </w:rPr>
        <w:t>医疗数据的分类分级结果以列表清单的形式呈现，支持自定义维护数据标签，实现分类分级打标自由化，同时提供分类分级清单导出，</w:t>
      </w:r>
      <w:r>
        <w:rPr>
          <w:rFonts w:hint="eastAsia"/>
          <w:color w:val="auto"/>
          <w:lang w:eastAsia="zh-CN"/>
        </w:rPr>
        <w:t>人民医院</w:t>
      </w:r>
      <w:r>
        <w:rPr>
          <w:rFonts w:hint="eastAsia"/>
          <w:color w:val="auto"/>
        </w:rPr>
        <w:t>可用于资产上报、数据共享决策等场景。</w:t>
      </w:r>
    </w:p>
    <w:p w14:paraId="7EA765CD">
      <w:pPr>
        <w:bidi w:val="0"/>
        <w:rPr>
          <w:rFonts w:hint="eastAsia"/>
          <w:color w:val="auto"/>
        </w:rPr>
      </w:pPr>
      <w:r>
        <w:rPr>
          <w:rFonts w:hint="default"/>
          <w:color w:val="auto"/>
        </w:rPr>
        <w:t>在数据分类分级基础上，对涉及个人隐私及敏感信息的数据（如患者身份、诊疗记录、基因数据）实施脱敏处理，确保共享与流通安全。依据《网络数据安全管理条例》及《医疗卫生机构网络安全管理办法》，经脱敏后重新定级为一般数据的数据可开放共享</w:t>
      </w:r>
      <w:r>
        <w:rPr>
          <w:rFonts w:hint="eastAsia"/>
          <w:color w:val="auto"/>
          <w:lang w:eastAsia="zh-CN"/>
        </w:rPr>
        <w:t>；</w:t>
      </w:r>
      <w:r>
        <w:rPr>
          <w:rFonts w:hint="default"/>
          <w:color w:val="auto"/>
        </w:rPr>
        <w:t>脱敏效果需定期评估，确保重标识风险低于</w:t>
      </w:r>
      <w:r>
        <w:rPr>
          <w:rFonts w:hint="eastAsia"/>
          <w:color w:val="auto"/>
          <w:lang w:val="en-US" w:eastAsia="zh-CN"/>
        </w:rPr>
        <w:t>规定</w:t>
      </w:r>
      <w:r>
        <w:rPr>
          <w:rFonts w:hint="default"/>
          <w:color w:val="auto"/>
        </w:rPr>
        <w:t>阈值</w:t>
      </w:r>
      <w:r>
        <w:rPr>
          <w:rFonts w:hint="eastAsia"/>
          <w:color w:val="auto"/>
          <w:lang w:eastAsia="zh-CN"/>
        </w:rPr>
        <w:t>。</w:t>
      </w:r>
    </w:p>
    <w:p w14:paraId="602591B7">
      <w:pPr>
        <w:pStyle w:val="12"/>
        <w:bidi w:val="0"/>
        <w:ind w:left="864" w:leftChars="0" w:hanging="864" w:firstLineChars="0"/>
        <w:rPr>
          <w:rFonts w:hint="eastAsia"/>
          <w:color w:val="auto"/>
        </w:rPr>
      </w:pPr>
      <w:r>
        <w:rPr>
          <w:rFonts w:hint="eastAsia"/>
          <w:color w:val="auto"/>
          <w:lang w:val="zh-CN"/>
        </w:rPr>
        <w:t>数据</w:t>
      </w:r>
      <w:r>
        <w:rPr>
          <w:rFonts w:hint="eastAsia"/>
          <w:color w:val="auto"/>
        </w:rPr>
        <w:t>备份容灾</w:t>
      </w:r>
    </w:p>
    <w:p w14:paraId="24C97125">
      <w:pPr>
        <w:pStyle w:val="254"/>
        <w:ind w:firstLine="480" w:firstLineChars="200"/>
        <w:rPr>
          <w:rFonts w:hint="eastAsia" w:ascii="宋体" w:hAnsi="宋体" w:eastAsia="宋体" w:cs="宋体"/>
          <w:color w:val="auto"/>
        </w:rPr>
      </w:pPr>
      <w:r>
        <w:rPr>
          <w:rFonts w:hint="eastAsia" w:ascii="宋体" w:hAnsi="宋体" w:eastAsia="宋体" w:cs="宋体"/>
          <w:color w:val="auto"/>
        </w:rPr>
        <w:t>医疗数据的共享不仅能提升办事效率、推动组织变革，还能提升</w:t>
      </w:r>
      <w:r>
        <w:rPr>
          <w:rFonts w:hint="eastAsia" w:ascii="宋体" w:hAnsi="宋体" w:eastAsia="宋体" w:cs="宋体"/>
          <w:color w:val="auto"/>
          <w:lang w:eastAsia="zh-CN"/>
        </w:rPr>
        <w:t>医院</w:t>
      </w:r>
      <w:r>
        <w:rPr>
          <w:rFonts w:hint="eastAsia" w:ascii="宋体" w:hAnsi="宋体" w:eastAsia="宋体" w:cs="宋体"/>
          <w:color w:val="auto"/>
        </w:rPr>
        <w:t>的社会治理能力，对经济发展新动能具有重要意义，为保证共享数据安全与业务持续性，对</w:t>
      </w:r>
      <w:r>
        <w:rPr>
          <w:rFonts w:hint="eastAsia" w:ascii="宋体" w:hAnsi="宋体" w:eastAsia="宋体" w:cs="宋体"/>
          <w:color w:val="auto"/>
          <w:lang w:eastAsia="zh-CN"/>
        </w:rPr>
        <w:t>人民医院</w:t>
      </w:r>
      <w:r>
        <w:rPr>
          <w:rFonts w:hint="eastAsia" w:ascii="宋体" w:hAnsi="宋体" w:eastAsia="宋体" w:cs="宋体"/>
          <w:color w:val="auto"/>
        </w:rPr>
        <w:t>大规模共享业务数据进行持续备份，保障共享数据安全；考虑到共享业务的连续性问题，需要具备共享业务接管能力，当发生意外情况时，能够顺利接管共享业务并运行，提高医护人员和病患的体验。</w:t>
      </w:r>
    </w:p>
    <w:p w14:paraId="21CAB5A7">
      <w:pPr>
        <w:pStyle w:val="254"/>
        <w:ind w:firstLine="480" w:firstLineChars="200"/>
        <w:rPr>
          <w:rFonts w:hint="eastAsia" w:ascii="宋体" w:hAnsi="宋体" w:eastAsia="宋体" w:cs="宋体"/>
          <w:color w:val="auto"/>
        </w:rPr>
      </w:pPr>
      <w:r>
        <w:rPr>
          <w:rFonts w:hint="eastAsia" w:ascii="宋体" w:hAnsi="宋体" w:eastAsia="宋体" w:cs="宋体"/>
          <w:color w:val="auto"/>
        </w:rPr>
        <w:t>远程容灾与无限数据记录点：为保障</w:t>
      </w:r>
      <w:r>
        <w:rPr>
          <w:rFonts w:hint="eastAsia" w:ascii="宋体" w:hAnsi="宋体" w:eastAsia="宋体" w:cs="宋体"/>
          <w:color w:val="auto"/>
          <w:lang w:eastAsia="zh-CN"/>
        </w:rPr>
        <w:t>医院</w:t>
      </w:r>
      <w:r>
        <w:rPr>
          <w:rFonts w:hint="eastAsia" w:ascii="宋体" w:hAnsi="宋体" w:eastAsia="宋体" w:cs="宋体"/>
          <w:color w:val="auto"/>
        </w:rPr>
        <w:t>的共享业务连续性，与使用的灵活性，部署1台定时备份系统，可以选择任意的历史记录点进行回滚，将生产数据恢复到任意时间点的状态，持续保障共享业务连续性与医疗数据安全性。</w:t>
      </w:r>
    </w:p>
    <w:p w14:paraId="4BE74B28">
      <w:pPr>
        <w:pStyle w:val="12"/>
        <w:bidi w:val="0"/>
        <w:ind w:left="864" w:leftChars="0" w:hanging="864" w:firstLineChars="0"/>
        <w:rPr>
          <w:rFonts w:hint="eastAsia"/>
          <w:color w:val="auto"/>
        </w:rPr>
      </w:pPr>
      <w:r>
        <w:rPr>
          <w:rFonts w:hint="eastAsia"/>
          <w:color w:val="auto"/>
        </w:rPr>
        <w:t>访问行为审计能力</w:t>
      </w:r>
    </w:p>
    <w:p w14:paraId="7C6AEC9A">
      <w:pPr>
        <w:pStyle w:val="254"/>
        <w:ind w:firstLine="480" w:firstLineChars="200"/>
        <w:rPr>
          <w:rFonts w:hint="eastAsia" w:ascii="宋体" w:hAnsi="宋体" w:eastAsia="宋体" w:cs="宋体"/>
          <w:color w:val="auto"/>
        </w:rPr>
      </w:pPr>
      <w:r>
        <w:rPr>
          <w:rFonts w:hint="eastAsia" w:ascii="宋体" w:hAnsi="宋体" w:eastAsia="宋体" w:cs="宋体"/>
          <w:color w:val="auto"/>
        </w:rPr>
        <w:t>为了更好的适应大数据局共享业务的发展需求，对数据库的访问行为审计进行全方面的覆盖，同时也是积极履行审计监督全覆盖的职责，定期进行审计、优化共享过程，实现审计全覆盖的同时，发挥审计功能，保护共享数据安全，保护国家和人民财产不受侵犯。</w:t>
      </w:r>
    </w:p>
    <w:p w14:paraId="1FF53A13">
      <w:pPr>
        <w:pStyle w:val="254"/>
        <w:ind w:firstLine="480" w:firstLineChars="200"/>
        <w:rPr>
          <w:rFonts w:hint="eastAsia" w:ascii="宋体" w:hAnsi="宋体" w:eastAsia="宋体" w:cs="宋体"/>
          <w:color w:val="auto"/>
        </w:rPr>
      </w:pPr>
      <w:r>
        <w:rPr>
          <w:rFonts w:hint="eastAsia" w:ascii="宋体" w:hAnsi="宋体" w:eastAsia="宋体" w:cs="宋体"/>
          <w:color w:val="auto"/>
        </w:rPr>
        <w:t>全面数据库审计：</w:t>
      </w:r>
      <w:r>
        <w:rPr>
          <w:rFonts w:hint="eastAsia" w:ascii="宋体" w:hAnsi="宋体" w:eastAsia="宋体" w:cs="宋体"/>
          <w:color w:val="auto"/>
          <w:lang w:eastAsia="zh-CN"/>
        </w:rPr>
        <w:t>人民医院</w:t>
      </w:r>
      <w:r>
        <w:rPr>
          <w:rFonts w:hint="eastAsia" w:ascii="宋体" w:hAnsi="宋体" w:eastAsia="宋体" w:cs="宋体"/>
          <w:color w:val="auto"/>
        </w:rPr>
        <w:t>内部存在多种数据库，如SQLsever等【依据实际情况修订】，为数据在共享环节提供数据支撑。对SQLsever等数据库进行全面的审计，通过数据库协议自动识别技术，结合灵活的审计策略，对多种数据库在进行全面审计，实现对共享数据的访问行为审计。</w:t>
      </w:r>
    </w:p>
    <w:p w14:paraId="28A428BC">
      <w:pPr>
        <w:pStyle w:val="254"/>
        <w:ind w:firstLine="480" w:firstLineChars="200"/>
        <w:rPr>
          <w:rFonts w:hint="eastAsia" w:ascii="宋体" w:hAnsi="宋体" w:eastAsia="宋体" w:cs="宋体"/>
          <w:color w:val="auto"/>
        </w:rPr>
      </w:pPr>
      <w:r>
        <w:rPr>
          <w:rFonts w:hint="eastAsia" w:ascii="宋体" w:hAnsi="宋体" w:eastAsia="宋体" w:cs="宋体"/>
          <w:color w:val="auto"/>
        </w:rPr>
        <w:t>清晰的资产监控：将医院的核心实例所属资产加入监控，进行持续监控，除监控共享资产的基本信息外，诸如内存、硬盘、CPU，还可深入实时监控资产负载、活跃会话、总会话、连接池、表空间、缓冲区、事务数、游标、用户数、进程数锁等信息。提供基于实例的审计事件、告警事件等进行会话趋势、事件趋势、告警趋势、访问源趋势的分析，并综合评估资产的健康状况，保证政务共享资产的可用性和共享业务的响应能力。内置上亿条弱口令样本库，采用无损伤破解技术，完成对资产弱口令的检测，主要实现对内部人员访问数据共享库的操作行为进行审计。如XSS攻击行为、SQL注入攻击、账号登录等行为。同时内置了丰富的数据库入侵检测规则库，及时发现并阻止生产数据库安全威胁，保证生产数据库更加安全运行。提供多维度的统计分析，通过统计分析引擎能从多维度统计分析业务系统与数据共享库系统的压力。分析SQL语句以及网络带宽上的性能瓶颈，为保障共享平台的持续稳定运行打下基础。</w:t>
      </w:r>
    </w:p>
    <w:p w14:paraId="19AA04E4">
      <w:pPr>
        <w:pStyle w:val="254"/>
        <w:ind w:firstLine="480" w:firstLineChars="200"/>
        <w:rPr>
          <w:rFonts w:hint="eastAsia" w:ascii="宋体" w:hAnsi="宋体" w:eastAsia="宋体" w:cs="宋体"/>
          <w:color w:val="auto"/>
        </w:rPr>
      </w:pPr>
      <w:r>
        <w:rPr>
          <w:rFonts w:hint="eastAsia" w:ascii="宋体" w:hAnsi="宋体" w:eastAsia="宋体" w:cs="宋体"/>
          <w:color w:val="auto"/>
        </w:rPr>
        <w:t>细粒度操作还原：将设备旁路在核心交换机中，通过镜像的方式获取到网络中的流量，通过对双向数据报文的识别、解析，包括解析出基本的五元组信息、基本的数据库协议要素，还可根据</w:t>
      </w:r>
      <w:r>
        <w:rPr>
          <w:rFonts w:hint="eastAsia" w:ascii="宋体" w:hAnsi="宋体" w:eastAsia="宋体" w:cs="宋体"/>
          <w:color w:val="auto"/>
          <w:lang w:eastAsia="zh-CN"/>
        </w:rPr>
        <w:t>人民医院</w:t>
      </w:r>
      <w:r>
        <w:rPr>
          <w:rFonts w:hint="eastAsia" w:ascii="宋体" w:hAnsi="宋体" w:eastAsia="宋体" w:cs="宋体"/>
          <w:color w:val="auto"/>
        </w:rPr>
        <w:t>的业务要求进行更细粒度的SQL解析。</w:t>
      </w:r>
    </w:p>
    <w:p w14:paraId="4EF26E87">
      <w:pPr>
        <w:pStyle w:val="254"/>
        <w:ind w:firstLine="480" w:firstLineChars="200"/>
        <w:rPr>
          <w:rFonts w:hint="eastAsia" w:ascii="宋体" w:hAnsi="宋体" w:eastAsia="宋体" w:cs="宋体"/>
          <w:color w:val="auto"/>
        </w:rPr>
      </w:pPr>
      <w:r>
        <w:rPr>
          <w:rFonts w:hint="eastAsia" w:ascii="宋体" w:hAnsi="宋体" w:eastAsia="宋体" w:cs="宋体"/>
          <w:color w:val="auto"/>
        </w:rPr>
        <w:t>精准的业务关联：为了精准的定位到访问者，以及对事件进行追踪溯源提供基础，需要具备精准的业务关联能力，通过对浏览器与Web服务器、Web服务器与数据库服务器之间所产生的HTTP事件、SQL事件进行业务关联分析，</w:t>
      </w:r>
      <w:r>
        <w:rPr>
          <w:rFonts w:hint="eastAsia" w:ascii="宋体" w:hAnsi="宋体" w:eastAsia="宋体" w:cs="宋体"/>
          <w:color w:val="auto"/>
          <w:lang w:eastAsia="zh-CN"/>
        </w:rPr>
        <w:t>人民医院</w:t>
      </w:r>
      <w:r>
        <w:rPr>
          <w:rFonts w:hint="eastAsia" w:ascii="宋体" w:hAnsi="宋体" w:eastAsia="宋体" w:cs="宋体"/>
          <w:color w:val="auto"/>
        </w:rPr>
        <w:t>管理者可以快速、方便的查询到某个数据库访问是由哪个HTTP访问触发，定位追查到真正的访问者，从而将访问Web的资源账号和相关的数据库操作关联起来，100%精准展示终端用户对数据库的操作行为，防止非法人员  对共享数据的非法访问与窃取。</w:t>
      </w:r>
    </w:p>
    <w:p w14:paraId="351B93CB">
      <w:pPr>
        <w:pStyle w:val="254"/>
        <w:ind w:firstLine="480" w:firstLineChars="200"/>
        <w:rPr>
          <w:rFonts w:hint="eastAsia" w:ascii="宋体" w:hAnsi="宋体" w:eastAsia="宋体" w:cs="宋体"/>
          <w:color w:val="auto"/>
        </w:rPr>
      </w:pPr>
      <w:r>
        <w:rPr>
          <w:rFonts w:hint="eastAsia" w:ascii="宋体" w:hAnsi="宋体" w:eastAsia="宋体" w:cs="宋体"/>
          <w:color w:val="auto"/>
        </w:rPr>
        <w:t>智能的行为基线：为了能够对访问共享业务数据的行为进行合理干预，来保障政务共享数据的安全，需要具备基线生成能力，设备内置强大的智能学习算法，可基于一定共享业务周期内的审计数据进行学习，生成行为基线，基于此行为基线，对后续的SQL事件进行检测，对于偏离基线的行为产生异常告警。</w:t>
      </w:r>
    </w:p>
    <w:p w14:paraId="6721B4C1">
      <w:pPr>
        <w:pStyle w:val="254"/>
        <w:ind w:firstLine="480" w:firstLineChars="200"/>
        <w:rPr>
          <w:rFonts w:hint="eastAsia" w:ascii="宋体" w:hAnsi="宋体" w:eastAsia="宋体" w:cs="宋体"/>
          <w:color w:val="auto"/>
        </w:rPr>
      </w:pPr>
      <w:r>
        <w:rPr>
          <w:rFonts w:hint="eastAsia" w:ascii="宋体" w:hAnsi="宋体" w:eastAsia="宋体" w:cs="宋体"/>
          <w:color w:val="auto"/>
        </w:rPr>
        <w:t>数据库威胁检测：为全方面、多维度的保障</w:t>
      </w:r>
      <w:r>
        <w:rPr>
          <w:rFonts w:hint="eastAsia" w:ascii="宋体" w:hAnsi="宋体" w:eastAsia="宋体" w:cs="宋体"/>
          <w:color w:val="auto"/>
          <w:lang w:eastAsia="zh-CN"/>
        </w:rPr>
        <w:t>人民医院</w:t>
      </w:r>
      <w:r>
        <w:rPr>
          <w:rFonts w:hint="eastAsia" w:ascii="宋体" w:hAnsi="宋体" w:eastAsia="宋体" w:cs="宋体"/>
          <w:color w:val="auto"/>
        </w:rPr>
        <w:t>共享数据的安全，实时监测各种攻击对共享数据的攻破与威胁，设备内置强大的攻击检测引擎，可高效实现漏洞检测、僵尸主机检测，可对SQL注入、XSS跨站攻击、缓冲区溢出、拒绝服务攻击等危险行为实时告警。除内置的权限管控策略外，还可针对登录用户、SQL语句、操作类型、操作对象等所有数据库协议要素配置全方位的告警策略，判断事件的危险级别，</w:t>
      </w:r>
      <w:r>
        <w:rPr>
          <w:rFonts w:hint="eastAsia" w:ascii="宋体" w:hAnsi="宋体" w:eastAsia="宋体" w:cs="宋体"/>
          <w:color w:val="auto"/>
          <w:lang w:eastAsia="zh-CN"/>
        </w:rPr>
        <w:t>人民医院</w:t>
      </w:r>
      <w:r>
        <w:rPr>
          <w:rFonts w:hint="eastAsia" w:ascii="宋体" w:hAnsi="宋体" w:eastAsia="宋体" w:cs="宋体"/>
          <w:color w:val="auto"/>
        </w:rPr>
        <w:t>管理人员可及时作出针对性的响应动作去解决相关告警。</w:t>
      </w:r>
    </w:p>
    <w:p w14:paraId="0089E813">
      <w:pPr>
        <w:pStyle w:val="254"/>
        <w:ind w:firstLine="480" w:firstLineChars="200"/>
        <w:rPr>
          <w:rFonts w:hint="eastAsia" w:ascii="宋体" w:hAnsi="宋体" w:eastAsia="宋体" w:cs="宋体"/>
          <w:color w:val="auto"/>
        </w:rPr>
      </w:pPr>
      <w:r>
        <w:rPr>
          <w:rFonts w:hint="eastAsia" w:ascii="宋体" w:hAnsi="宋体" w:eastAsia="宋体" w:cs="宋体"/>
          <w:color w:val="auto"/>
        </w:rPr>
        <w:t>对于需要对一定连续时间内的连续事件进行综合分析才能发现的潜在危险行为，设备提供了强大的潜在危害分析和关联分析引擎，可以有效检测潜在的危险行为，同时还支持</w:t>
      </w:r>
      <w:r>
        <w:rPr>
          <w:rFonts w:hint="eastAsia" w:ascii="宋体" w:hAnsi="宋体" w:eastAsia="宋体" w:cs="宋体"/>
          <w:color w:val="auto"/>
          <w:lang w:eastAsia="zh-CN"/>
        </w:rPr>
        <w:t>人民医院</w:t>
      </w:r>
      <w:r>
        <w:rPr>
          <w:rFonts w:hint="eastAsia" w:ascii="宋体" w:hAnsi="宋体" w:eastAsia="宋体" w:cs="宋体"/>
          <w:color w:val="auto"/>
        </w:rPr>
        <w:t>自定义攻击检测行为模式，配置更加灵活的检测策略。大幅度降低数据安全事件的发生。</w:t>
      </w:r>
    </w:p>
    <w:p w14:paraId="712C575F">
      <w:pPr>
        <w:pStyle w:val="10"/>
        <w:bidi w:val="0"/>
        <w:ind w:left="720" w:leftChars="0" w:hanging="720" w:firstLineChars="0"/>
        <w:rPr>
          <w:rFonts w:hint="eastAsia"/>
          <w:color w:val="auto"/>
        </w:rPr>
      </w:pPr>
      <w:bookmarkStart w:id="495" w:name="_Toc219"/>
      <w:r>
        <w:rPr>
          <w:rFonts w:hint="eastAsia"/>
          <w:color w:val="auto"/>
        </w:rPr>
        <w:t>密码应用</w:t>
      </w:r>
      <w:r>
        <w:rPr>
          <w:rFonts w:hint="eastAsia"/>
          <w:color w:val="auto"/>
          <w:lang w:val="en-US" w:eastAsia="zh-CN"/>
        </w:rPr>
        <w:t>方案</w:t>
      </w:r>
      <w:bookmarkEnd w:id="495"/>
    </w:p>
    <w:p w14:paraId="0822AA27">
      <w:pPr>
        <w:pStyle w:val="124"/>
        <w:ind w:firstLine="480"/>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樟树市人民医院自购密码设备进行密码防护。</w:t>
      </w:r>
    </w:p>
    <w:p w14:paraId="68C407F0">
      <w:pPr>
        <w:pStyle w:val="124"/>
        <w:ind w:firstLine="480"/>
        <w:rPr>
          <w:rFonts w:hint="eastAsia" w:ascii="宋体" w:hAnsi="宋体" w:eastAsia="宋体" w:cs="Times New Roman"/>
          <w:color w:val="auto"/>
        </w:rPr>
      </w:pPr>
      <w:r>
        <w:rPr>
          <w:rFonts w:hint="eastAsia" w:ascii="宋体" w:hAnsi="宋体" w:eastAsia="宋体" w:cs="Times New Roman"/>
          <w:color w:val="auto"/>
        </w:rPr>
        <w:t>总体上，</w:t>
      </w:r>
      <w:r>
        <w:rPr>
          <w:rFonts w:hint="eastAsia" w:ascii="宋体" w:hAnsi="宋体" w:eastAsia="宋体" w:cs="Times New Roman"/>
          <w:color w:val="auto"/>
          <w:lang w:val="en-US" w:eastAsia="zh-CN"/>
        </w:rPr>
        <w:t>医院</w:t>
      </w:r>
      <w:r>
        <w:rPr>
          <w:rFonts w:hint="eastAsia" w:ascii="宋体" w:hAnsi="宋体" w:eastAsia="宋体" w:cs="Times New Roman"/>
          <w:color w:val="auto"/>
        </w:rPr>
        <w:t>需从物理和环境安全、网络和通信安全、设备和计算安全、应用和数据安全等四个层面采用密码技术措施，建立基本密钥管理机制，并配合必要的安全管理措施对信息系统进行保护。</w:t>
      </w:r>
    </w:p>
    <w:p w14:paraId="5A2930AE">
      <w:pPr>
        <w:pStyle w:val="12"/>
        <w:bidi w:val="0"/>
        <w:ind w:left="864" w:leftChars="0" w:hanging="864" w:firstLineChars="0"/>
        <w:rPr>
          <w:rFonts w:hint="eastAsia"/>
          <w:color w:val="auto"/>
          <w:lang w:val="zh-CN"/>
        </w:rPr>
      </w:pPr>
      <w:bookmarkStart w:id="496" w:name="_Toc11073"/>
      <w:r>
        <w:rPr>
          <w:rFonts w:hint="eastAsia"/>
          <w:color w:val="auto"/>
          <w:lang w:val="zh-CN"/>
        </w:rPr>
        <w:t>分级标准</w:t>
      </w:r>
      <w:bookmarkEnd w:id="496"/>
    </w:p>
    <w:p w14:paraId="1DA3511E">
      <w:pPr>
        <w:bidi w:val="0"/>
        <w:rPr>
          <w:rFonts w:hint="eastAsia"/>
          <w:color w:val="auto"/>
          <w:lang w:val="en-US" w:eastAsia="zh-CN"/>
        </w:rPr>
      </w:pPr>
      <w:r>
        <w:rPr>
          <w:rFonts w:hint="eastAsia"/>
          <w:color w:val="auto"/>
          <w:lang w:val="en-US" w:eastAsia="zh-CN"/>
        </w:rPr>
        <w:t>依据GB/T 43697-2024标准，建议按数据重要性划分为三级：核心数据、重要数据和一般数据。核心数据指关系国家安全、公共利益的数据（如省级以上流行病监测数据、未公开的重大诊疗研究成果）；重要数据指一旦泄露可能危害公共利益或个人权益的数据（如患者诊疗记录、基因数据、大规模健康档案）；一般数据指其他业务数据（如脱敏统计指标、公开管理制度）。</w:t>
      </w:r>
    </w:p>
    <w:p w14:paraId="2EDD2444">
      <w:pPr>
        <w:bidi w:val="0"/>
        <w:rPr>
          <w:rFonts w:hint="default" w:eastAsia="宋体"/>
          <w:color w:val="auto"/>
          <w:lang w:val="en-US" w:eastAsia="zh-CN"/>
        </w:rPr>
      </w:pPr>
      <w:r>
        <w:rPr>
          <w:color w:val="auto"/>
        </w:rPr>
        <w:t>为保障数据安全，本项目</w:t>
      </w:r>
      <w:r>
        <w:rPr>
          <w:rFonts w:hint="eastAsia"/>
          <w:color w:val="auto"/>
          <w:lang w:val="en-US" w:eastAsia="zh-CN"/>
        </w:rPr>
        <w:t>除一般数据（脱敏后可公开的数据）以外，</w:t>
      </w:r>
      <w:r>
        <w:rPr>
          <w:color w:val="auto"/>
        </w:rPr>
        <w:t>对</w:t>
      </w:r>
      <w:r>
        <w:rPr>
          <w:rFonts w:hint="eastAsia"/>
          <w:color w:val="auto"/>
          <w:lang w:val="en-US" w:eastAsia="zh-CN"/>
        </w:rPr>
        <w:t>核心数据及重要</w:t>
      </w:r>
      <w:r>
        <w:rPr>
          <w:rFonts w:hint="default"/>
          <w:color w:val="auto"/>
        </w:rPr>
        <w:t>数据实施严格的密码保护措施，确保访问可控、存储加密、传输安全。</w:t>
      </w:r>
    </w:p>
    <w:p w14:paraId="000B3457">
      <w:pPr>
        <w:bidi w:val="0"/>
        <w:rPr>
          <w:rFonts w:hint="eastAsia"/>
          <w:b/>
          <w:bCs/>
          <w:color w:val="auto"/>
          <w:lang w:val="en-US" w:eastAsia="zh-CN"/>
        </w:rPr>
      </w:pPr>
      <w:r>
        <w:rPr>
          <w:rFonts w:hint="eastAsia"/>
          <w:b/>
          <w:bCs/>
          <w:color w:val="auto"/>
          <w:lang w:val="en-US" w:eastAsia="zh-CN"/>
        </w:rPr>
        <w:t>分级数据</w:t>
      </w:r>
    </w:p>
    <w:p w14:paraId="35BDBF9C">
      <w:pPr>
        <w:bidi w:val="0"/>
        <w:rPr>
          <w:rFonts w:hint="eastAsia"/>
          <w:color w:val="auto"/>
        </w:rPr>
      </w:pPr>
      <w:r>
        <w:rPr>
          <w:rFonts w:hint="eastAsia"/>
          <w:color w:val="auto"/>
          <w:lang w:val="en-US" w:eastAsia="zh-CN"/>
        </w:rPr>
        <w:t>分级数据包括：</w:t>
      </w:r>
      <w:r>
        <w:rPr>
          <w:rFonts w:hint="eastAsia"/>
          <w:color w:val="auto"/>
        </w:rPr>
        <w:t>患者医疗、医护人员、医院运营、科研教学</w:t>
      </w:r>
      <w:r>
        <w:rPr>
          <w:rFonts w:hint="eastAsia"/>
          <w:color w:val="auto"/>
          <w:lang w:val="en-US" w:eastAsia="zh-CN"/>
        </w:rPr>
        <w:t>等</w:t>
      </w:r>
      <w:r>
        <w:rPr>
          <w:rFonts w:hint="eastAsia"/>
          <w:color w:val="auto"/>
        </w:rPr>
        <w:t>。患者医疗数据涵盖基本信息、病史、诊断、治疗和费用明细</w:t>
      </w:r>
      <w:r>
        <w:rPr>
          <w:rFonts w:hint="eastAsia"/>
          <w:color w:val="auto"/>
          <w:lang w:val="en-US" w:eastAsia="zh-CN"/>
        </w:rPr>
        <w:t>等</w:t>
      </w:r>
      <w:r>
        <w:rPr>
          <w:rFonts w:hint="eastAsia"/>
          <w:color w:val="auto"/>
        </w:rPr>
        <w:t>；医护人员数据包含身份、执业、履历、绩效和薪资</w:t>
      </w:r>
      <w:r>
        <w:rPr>
          <w:rFonts w:hint="eastAsia"/>
          <w:color w:val="auto"/>
          <w:lang w:val="en-US" w:eastAsia="zh-CN"/>
        </w:rPr>
        <w:t>等</w:t>
      </w:r>
      <w:r>
        <w:rPr>
          <w:rFonts w:hint="eastAsia"/>
          <w:color w:val="auto"/>
        </w:rPr>
        <w:t>；医院运营数据涉及财务、物资、设备和行政管理</w:t>
      </w:r>
      <w:r>
        <w:rPr>
          <w:rFonts w:hint="eastAsia"/>
          <w:color w:val="auto"/>
          <w:lang w:val="en-US" w:eastAsia="zh-CN"/>
        </w:rPr>
        <w:t>等</w:t>
      </w:r>
      <w:r>
        <w:rPr>
          <w:rFonts w:hint="eastAsia"/>
          <w:color w:val="auto"/>
        </w:rPr>
        <w:t>；科研教学数据有临床研究、论文、课件和实习学生信息</w:t>
      </w:r>
      <w:r>
        <w:rPr>
          <w:rFonts w:hint="eastAsia"/>
          <w:color w:val="auto"/>
          <w:lang w:val="en-US" w:eastAsia="zh-CN"/>
        </w:rPr>
        <w:t>等</w:t>
      </w:r>
      <w:r>
        <w:rPr>
          <w:rFonts w:hint="eastAsia"/>
          <w:color w:val="auto"/>
        </w:rPr>
        <w:t>。</w:t>
      </w:r>
    </w:p>
    <w:p w14:paraId="01D99041">
      <w:pPr>
        <w:bidi w:val="0"/>
        <w:rPr>
          <w:rFonts w:hint="eastAsia"/>
          <w:b/>
          <w:bCs/>
          <w:color w:val="auto"/>
          <w:lang w:val="zh-CN" w:eastAsia="zh-CN"/>
        </w:rPr>
      </w:pPr>
      <w:r>
        <w:rPr>
          <w:rFonts w:hint="eastAsia"/>
          <w:color w:val="auto"/>
          <w:lang w:val="en-US" w:eastAsia="zh-CN"/>
        </w:rPr>
        <w:t>因此，</w:t>
      </w:r>
      <w:r>
        <w:rPr>
          <w:rFonts w:hint="default"/>
          <w:color w:val="auto"/>
        </w:rPr>
        <w:t>具体需密码保护的数据包括但不限于以下：</w:t>
      </w:r>
    </w:p>
    <w:p w14:paraId="0717E624">
      <w:pPr>
        <w:bidi w:val="0"/>
        <w:rPr>
          <w:rFonts w:hint="eastAsia"/>
          <w:color w:val="auto"/>
          <w:lang w:val="en-US" w:eastAsia="zh-CN"/>
        </w:rPr>
      </w:pPr>
      <w:r>
        <w:rPr>
          <w:rFonts w:hint="eastAsia"/>
          <w:color w:val="auto"/>
          <w:lang w:val="en-US" w:eastAsia="zh-CN"/>
        </w:rPr>
        <w:t>核心数据：国家级医疗研究项目原始数据、重大突发公卫事件溯源数据集等；</w:t>
      </w:r>
    </w:p>
    <w:p w14:paraId="60551E47">
      <w:pPr>
        <w:bidi w:val="0"/>
        <w:rPr>
          <w:rFonts w:hint="default" w:eastAsia="宋体"/>
          <w:color w:val="auto"/>
          <w:lang w:val="en-US" w:eastAsia="zh-CN"/>
        </w:rPr>
      </w:pPr>
      <w:r>
        <w:rPr>
          <w:rFonts w:hint="eastAsia"/>
          <w:color w:val="auto"/>
          <w:lang w:val="en-US" w:eastAsia="zh-CN"/>
        </w:rPr>
        <w:t>重要数据：患者基本信息、病史、诊断、治疗记录、医疗费用明细等患者医疗数据；医院财务信息、医护人员薪资及绩效数据等医院运营数据；药库信息、排班及考勤记录、高值耗材、药品库存等物资管理数据等。</w:t>
      </w:r>
    </w:p>
    <w:p w14:paraId="158FF432">
      <w:pPr>
        <w:pStyle w:val="12"/>
        <w:bidi w:val="0"/>
        <w:ind w:left="864" w:leftChars="0" w:hanging="864" w:firstLineChars="0"/>
        <w:rPr>
          <w:color w:val="auto"/>
        </w:rPr>
      </w:pPr>
      <w:bookmarkStart w:id="497" w:name="_Toc143259983"/>
      <w:r>
        <w:rPr>
          <w:rFonts w:hint="eastAsia"/>
          <w:color w:val="auto"/>
        </w:rPr>
        <w:t>密码应用建设必要性分析</w:t>
      </w:r>
      <w:bookmarkEnd w:id="497"/>
    </w:p>
    <w:p w14:paraId="4E001FD9">
      <w:pPr>
        <w:ind w:firstLine="480"/>
        <w:rPr>
          <w:color w:val="auto"/>
        </w:rPr>
      </w:pPr>
      <w:r>
        <w:rPr>
          <w:rFonts w:hint="eastAsia"/>
          <w:color w:val="auto"/>
        </w:rPr>
        <w:t>樟树市人民医院为贯彻落实《密码法》、《商用密码管理条例》、《商用密码应用安全性评估管理办法（试行）》、《医疗卫生机构网络安全管理办法》、《“十四五”全民健康信息化规划》关于信息系统密码应用的要求，结合医院系统业务应用实际，决定对系统进行密码应用安全改造。</w:t>
      </w:r>
    </w:p>
    <w:p w14:paraId="6BD0150E">
      <w:pPr>
        <w:ind w:firstLine="480"/>
        <w:rPr>
          <w:color w:val="auto"/>
        </w:rPr>
      </w:pPr>
      <w:r>
        <w:rPr>
          <w:rFonts w:hint="eastAsia"/>
          <w:color w:val="auto"/>
        </w:rPr>
        <w:t>通过对樟树市人民医院系统使用现状和密码应用需求进行分析，依据GB/T 39786-2021《信息安全技术信息系统密码应用基本要求》，从物理和环境安全、网络和通信安全、设备和计算安全、应用和数据安全四个层面，以及密钥管理、安全管理等方面，对系统的密码应用技术安全、安全管理和实施保障进行方案设计。</w:t>
      </w:r>
    </w:p>
    <w:p w14:paraId="5EDACCC0">
      <w:pPr>
        <w:pStyle w:val="12"/>
        <w:bidi w:val="0"/>
        <w:ind w:left="864" w:leftChars="0" w:hanging="864" w:firstLineChars="0"/>
        <w:rPr>
          <w:color w:val="auto"/>
        </w:rPr>
      </w:pPr>
      <w:r>
        <w:rPr>
          <w:rFonts w:hint="eastAsia"/>
          <w:color w:val="auto"/>
        </w:rPr>
        <w:t>确定密码应用等级</w:t>
      </w:r>
    </w:p>
    <w:p w14:paraId="1F4CC303">
      <w:pPr>
        <w:ind w:firstLine="480"/>
        <w:rPr>
          <w:rFonts w:hint="eastAsia" w:ascii="宋体" w:hAnsi="宋体" w:eastAsia="宋体" w:cs="Times New Roman"/>
          <w:color w:val="auto"/>
        </w:rPr>
      </w:pPr>
      <w:r>
        <w:rPr>
          <w:rFonts w:hint="eastAsia"/>
          <w:color w:val="auto"/>
        </w:rPr>
        <w:t>《GB/T 39786-2021 信息安全技术信息系统密码应用基本要求》中规定信息系统密码应用划分为自低向高的五个等级，参照GB/T 22239的等级保护对象应具备的基本安全保护能力要求，密码保障能力逐级增强。系统的密码应用等级由网络安全等级保护的级别确定，与网络安全等级保护的级别保持一致。本次项目樟树市人民医院医院系统等保定级为第三级，故系统的密码应用等级应为第三级，按照密码应用基本要求第三级的要求进行整改建设。</w:t>
      </w:r>
    </w:p>
    <w:p w14:paraId="030C86E6">
      <w:pPr>
        <w:pStyle w:val="12"/>
        <w:bidi w:val="0"/>
        <w:ind w:left="864" w:leftChars="0" w:hanging="864" w:firstLineChars="0"/>
        <w:rPr>
          <w:color w:val="auto"/>
        </w:rPr>
      </w:pPr>
      <w:r>
        <w:rPr>
          <w:rFonts w:hint="eastAsia"/>
          <w:color w:val="auto"/>
        </w:rPr>
        <w:t>密码应用技术框架</w:t>
      </w:r>
    </w:p>
    <w:p w14:paraId="798F2DF7">
      <w:pPr>
        <w:ind w:firstLine="480"/>
        <w:rPr>
          <w:color w:val="auto"/>
        </w:rPr>
      </w:pPr>
      <w:r>
        <w:rPr>
          <w:rFonts w:hint="eastAsia"/>
          <w:color w:val="auto"/>
        </w:rPr>
        <w:t>根据密码应用需求分析，综合考虑医院系统的网络拓扑和业务功能，在满足总体性、完备性、经济性原则的基础上，通过部署或更新IPSec VPN、SSL VPN、服务器密码机、签名验签服务器、USBKey（二级密码模块）、安全浏览器等密码产品</w:t>
      </w:r>
      <w:r>
        <w:rPr>
          <w:rFonts w:hint="eastAsia"/>
          <w:color w:val="auto"/>
          <w:lang w:val="en-US" w:eastAsia="zh-CN"/>
        </w:rPr>
        <w:t>等</w:t>
      </w:r>
      <w:r>
        <w:rPr>
          <w:rFonts w:hint="eastAsia"/>
          <w:color w:val="auto"/>
        </w:rPr>
        <w:t>，实现对系统各项密码应用需求的响应。</w:t>
      </w:r>
    </w:p>
    <w:p w14:paraId="206C7651">
      <w:pPr>
        <w:ind w:firstLine="480"/>
        <w:rPr>
          <w:color w:val="auto"/>
        </w:rPr>
      </w:pPr>
      <w:r>
        <w:rPr>
          <w:rFonts w:hint="eastAsia"/>
          <w:color w:val="auto"/>
        </w:rPr>
        <w:t>为便于密码产品的合理部署，需要对现有网络结构进行局部调整，调整后的网络新增集中管理区，集中管理区用于新增SSL VPN和服务器密码机的部署，并将堡垒机和日志服务器由安全管理区调入集中管理区。</w:t>
      </w:r>
    </w:p>
    <w:p w14:paraId="161A18DF">
      <w:pPr>
        <w:ind w:firstLine="480"/>
        <w:rPr>
          <w:color w:val="auto"/>
        </w:rPr>
      </w:pPr>
      <w:r>
        <w:rPr>
          <w:rFonts w:hint="eastAsia"/>
          <w:color w:val="auto"/>
        </w:rPr>
        <w:t>系统密码应用技术框架如下所示：</w:t>
      </w:r>
    </w:p>
    <w:p w14:paraId="0A3186A2">
      <w:pPr>
        <w:pStyle w:val="21"/>
        <w:ind w:left="0" w:leftChars="0" w:firstLine="0" w:firstLineChars="0"/>
        <w:rPr>
          <w:rFonts w:hint="eastAsia" w:ascii="宋体" w:hAnsi="宋体" w:cs="宋体"/>
          <w:color w:val="auto"/>
        </w:rPr>
      </w:pPr>
      <w:r>
        <w:rPr>
          <w:rFonts w:hint="eastAsia" w:ascii="宋体" w:hAnsi="宋体" w:cs="宋体"/>
          <w:color w:val="auto"/>
        </w:rPr>
        <w:object>
          <v:shape id="_x0000_i1025" o:spt="75" type="#_x0000_t75" style="height:422.8pt;width:388.35pt;" o:ole="t" filled="f" o:preferrelative="t" stroked="f" coordsize="21600,21600">
            <v:path/>
            <v:fill on="f" focussize="0,0"/>
            <v:stroke on="f"/>
            <v:imagedata r:id="rId24" o:title=""/>
            <o:lock v:ext="edit" aspectratio="t"/>
            <w10:wrap type="none"/>
            <w10:anchorlock/>
          </v:shape>
          <o:OLEObject Type="Embed" ProgID="Visio.Drawing.15" ShapeID="_x0000_i1025" DrawAspect="Content" ObjectID="_1468075725" r:id="rId23">
            <o:LockedField>false</o:LockedField>
          </o:OLEObject>
        </w:object>
      </w:r>
    </w:p>
    <w:p w14:paraId="0F10505D">
      <w:pPr>
        <w:pStyle w:val="21"/>
        <w:rPr>
          <w:rFonts w:hint="eastAsia" w:eastAsia="宋体"/>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10</w:t>
      </w:r>
      <w:r>
        <w:rPr>
          <w:color w:val="auto"/>
        </w:rPr>
        <w:fldChar w:fldCharType="end"/>
      </w:r>
      <w:r>
        <w:rPr>
          <w:rFonts w:hint="eastAsia"/>
          <w:color w:val="auto"/>
          <w:lang w:eastAsia="zh-CN"/>
        </w:rPr>
        <w:t>密码应用技术框架</w:t>
      </w:r>
    </w:p>
    <w:p w14:paraId="429E48BE">
      <w:pPr>
        <w:pStyle w:val="12"/>
        <w:bidi w:val="0"/>
        <w:ind w:left="864" w:leftChars="0" w:hanging="864" w:firstLineChars="0"/>
        <w:rPr>
          <w:rFonts w:hint="eastAsia"/>
          <w:color w:val="auto"/>
        </w:rPr>
      </w:pPr>
      <w:r>
        <w:rPr>
          <w:rFonts w:hint="eastAsia"/>
          <w:color w:val="auto"/>
          <w:lang w:val="en-US" w:eastAsia="zh-CN"/>
        </w:rPr>
        <w:t>软硬件产品安全可靠需求分析</w:t>
      </w:r>
    </w:p>
    <w:p w14:paraId="2042F34F">
      <w:pPr>
        <w:bidi w:val="0"/>
        <w:rPr>
          <w:rFonts w:hint="eastAsia"/>
          <w:color w:val="auto"/>
        </w:rPr>
      </w:pPr>
      <w:r>
        <w:rPr>
          <w:rFonts w:hint="eastAsia"/>
          <w:color w:val="auto"/>
        </w:rPr>
        <w:t>1.标准体系</w:t>
      </w:r>
    </w:p>
    <w:p w14:paraId="7355B519">
      <w:pPr>
        <w:bidi w:val="0"/>
        <w:rPr>
          <w:rFonts w:hint="eastAsia"/>
          <w:color w:val="auto"/>
        </w:rPr>
      </w:pPr>
      <w:r>
        <w:rPr>
          <w:rFonts w:hint="eastAsia"/>
          <w:color w:val="auto"/>
          <w:lang w:val="en-US" w:eastAsia="zh-CN"/>
        </w:rPr>
        <w:t>樟树市人民</w:t>
      </w:r>
      <w:r>
        <w:rPr>
          <w:rFonts w:hint="eastAsia"/>
          <w:color w:val="auto"/>
        </w:rPr>
        <w:t>医院评审相关的系统建设项目应遵循国家相关标准和规范，确保系统的合规性和可维护性。</w:t>
      </w:r>
    </w:p>
    <w:p w14:paraId="0F2D4BBD">
      <w:pPr>
        <w:bidi w:val="0"/>
        <w:rPr>
          <w:rFonts w:hint="eastAsia"/>
          <w:color w:val="auto"/>
        </w:rPr>
      </w:pPr>
      <w:r>
        <w:rPr>
          <w:rFonts w:hint="eastAsia"/>
          <w:color w:val="auto"/>
        </w:rPr>
        <w:t>2.安全防护体系</w:t>
      </w:r>
    </w:p>
    <w:p w14:paraId="30FCD21E">
      <w:pPr>
        <w:bidi w:val="0"/>
        <w:rPr>
          <w:rFonts w:hint="default"/>
          <w:color w:val="auto"/>
          <w:lang w:val="en-US" w:eastAsia="zh-CN"/>
        </w:rPr>
      </w:pPr>
      <w:r>
        <w:rPr>
          <w:rFonts w:hint="default"/>
          <w:color w:val="auto"/>
        </w:rPr>
        <w:t>物理安全：</w:t>
      </w:r>
      <w:r>
        <w:rPr>
          <w:rFonts w:hint="eastAsia"/>
          <w:color w:val="auto"/>
          <w:lang w:val="en-US" w:eastAsia="zh-CN"/>
        </w:rPr>
        <w:t>建议医院部署</w:t>
      </w:r>
      <w:r>
        <w:rPr>
          <w:rFonts w:hint="default"/>
          <w:color w:val="auto"/>
        </w:rPr>
        <w:t>符合国家商用密码标准的安全电子门禁系统和安全视频监控系统，安全电子门禁系统严格遵循GM/T 0036-2014标准，采用商用密码技术实现人员身份鉴别和门禁记录完整性保护</w:t>
      </w:r>
      <w:r>
        <w:rPr>
          <w:rFonts w:hint="eastAsia"/>
          <w:color w:val="auto"/>
          <w:lang w:eastAsia="zh-CN"/>
        </w:rPr>
        <w:t>。</w:t>
      </w:r>
      <w:r>
        <w:rPr>
          <w:rFonts w:hint="default"/>
          <w:color w:val="auto"/>
        </w:rPr>
        <w:t>安全视频监控系统同样基于商用密码技术，对监控音像记录进行完整性保护，</w:t>
      </w:r>
      <w:r>
        <w:rPr>
          <w:rFonts w:hint="eastAsia"/>
          <w:color w:val="auto"/>
          <w:lang w:val="en-US" w:eastAsia="zh-CN"/>
        </w:rPr>
        <w:t>保障物理环境的安全。若医院物理密码防护符合密码三级要求，则可利旧现有系统设备。</w:t>
      </w:r>
    </w:p>
    <w:p w14:paraId="3563C55F">
      <w:pPr>
        <w:bidi w:val="0"/>
        <w:rPr>
          <w:rFonts w:hint="default"/>
          <w:color w:val="auto"/>
        </w:rPr>
      </w:pPr>
      <w:r>
        <w:rPr>
          <w:rFonts w:hint="default"/>
          <w:color w:val="auto"/>
        </w:rPr>
        <w:t>网络安全：在专网接入区部署支持IPSec/SSL VPN的商用密码加密机。为远程办公医护人员配置含有二级密码模块的</w:t>
      </w:r>
      <w:r>
        <w:rPr>
          <w:rFonts w:hint="default"/>
          <w:color w:val="auto"/>
          <w:u w:val="none"/>
        </w:rPr>
        <w:t>USBKey</w:t>
      </w:r>
      <w:r>
        <w:rPr>
          <w:rFonts w:hint="default"/>
          <w:color w:val="auto"/>
        </w:rPr>
        <w:t>，结合部署在安全管理区的协同签名系统，实现多维度的远程身份认证。通过SSL/TLS证书验证确保通信实体身份可信，采用SM3、SM4等国产密码算法保护通信数据的完整性和机密性。部署SSL VPN和服务器密码机等密码设备，形成更加安全的网络边界防护体系。</w:t>
      </w:r>
    </w:p>
    <w:p w14:paraId="7CD9DDF6">
      <w:pPr>
        <w:bidi w:val="0"/>
        <w:rPr>
          <w:rFonts w:hint="default"/>
          <w:color w:val="auto"/>
        </w:rPr>
      </w:pPr>
      <w:r>
        <w:rPr>
          <w:rFonts w:hint="default"/>
          <w:color w:val="auto"/>
        </w:rPr>
        <w:t>数据安全：通过服务器密码机实现重要数据的加密存储，采用SM4算法保障数据存储机密性。利用IPSec/SSL VPN建立加密通道，确保数据传输的完整性和机密性。部署签名验签服务器进行数字签名，通过密码技术保护备份数据的</w:t>
      </w:r>
      <w:r>
        <w:rPr>
          <w:rFonts w:hint="eastAsia"/>
          <w:color w:val="auto"/>
          <w:lang w:val="en-US" w:eastAsia="zh-CN"/>
        </w:rPr>
        <w:t>安全性及</w:t>
      </w:r>
      <w:r>
        <w:rPr>
          <w:rFonts w:hint="default"/>
          <w:color w:val="auto"/>
        </w:rPr>
        <w:t>完整性。</w:t>
      </w:r>
    </w:p>
    <w:p w14:paraId="4466306A">
      <w:pPr>
        <w:bidi w:val="0"/>
        <w:rPr>
          <w:rFonts w:hint="default"/>
          <w:color w:val="auto"/>
        </w:rPr>
      </w:pPr>
      <w:r>
        <w:rPr>
          <w:rFonts w:hint="default"/>
          <w:color w:val="auto"/>
        </w:rPr>
        <w:t>应用安全：通过服务器密码机和二级密码模块实现应用系统用户的强身份认证，采用安全浏览器支持SM2/SM3/SM4算法套件，保障Web应用的安全访问。部署协同签名系统为移动终端提供安全的签名服务。对应用系统的访问控制列表和数据库表访问控制信息进行完整性保护。</w:t>
      </w:r>
    </w:p>
    <w:p w14:paraId="5E74706E">
      <w:pPr>
        <w:bidi w:val="0"/>
        <w:rPr>
          <w:rFonts w:hint="default"/>
          <w:color w:val="auto"/>
        </w:rPr>
      </w:pPr>
      <w:r>
        <w:rPr>
          <w:rFonts w:hint="default"/>
          <w:color w:val="auto"/>
        </w:rPr>
        <w:t>密钥管理：建立了完善的密钥全生命周期管理体系。数字证书认证系统采用双证书机制，提供完整的证书认证和密钥管理服务。服务器密码机、签名验签服务器等密码设备严格遵循相关技术规范，所有密钥（除公钥外）均存储在密码设备的安全存储区域或二级以上安全密码模块中。</w:t>
      </w:r>
    </w:p>
    <w:p w14:paraId="7CD7BEC6">
      <w:pPr>
        <w:bidi w:val="0"/>
        <w:rPr>
          <w:rFonts w:hint="default"/>
          <w:color w:val="auto"/>
        </w:rPr>
      </w:pPr>
      <w:r>
        <w:rPr>
          <w:rFonts w:hint="default"/>
          <w:color w:val="auto"/>
        </w:rPr>
        <w:t>密码产品部署：项目部署</w:t>
      </w:r>
      <w:r>
        <w:rPr>
          <w:rFonts w:hint="eastAsia"/>
          <w:color w:val="auto"/>
          <w:lang w:val="en-US" w:eastAsia="zh-CN"/>
        </w:rPr>
        <w:t>了</w:t>
      </w:r>
      <w:r>
        <w:rPr>
          <w:rFonts w:hint="default"/>
          <w:color w:val="auto"/>
        </w:rPr>
        <w:t>服务器密码机、签名验签服务器、商用密码加密机、智能密码钥匙、安全浏览器等硬件设备，以及个人证书、设备证书、商密站点证书等安全认证服务。所有密码产品均符合国家商用密码标准，部分关键设备采用国产飞腾处理器和银河麒麟操作系统，确保技术自主可控。同时配备专业的密码咨询服务，为系统建设提供全程技术指导。</w:t>
      </w:r>
    </w:p>
    <w:p w14:paraId="679CB670">
      <w:pPr>
        <w:bidi w:val="0"/>
        <w:rPr>
          <w:rFonts w:hint="eastAsia"/>
          <w:color w:val="auto"/>
        </w:rPr>
      </w:pPr>
      <w:r>
        <w:rPr>
          <w:rFonts w:hint="eastAsia"/>
          <w:color w:val="auto"/>
          <w:lang w:val="en-US" w:eastAsia="zh-CN"/>
        </w:rPr>
        <w:t>结论：</w:t>
      </w:r>
      <w:r>
        <w:rPr>
          <w:color w:val="auto"/>
        </w:rPr>
        <w:t>樟树市人民医院系统建设项目</w:t>
      </w:r>
      <w:r>
        <w:rPr>
          <w:rFonts w:hint="eastAsia"/>
          <w:color w:val="auto"/>
        </w:rPr>
        <w:t>评审相关的系统建设项目在软硬件产品安全可靠方面采取了多项措施</w:t>
      </w:r>
      <w:r>
        <w:rPr>
          <w:rFonts w:hint="eastAsia"/>
          <w:color w:val="auto"/>
          <w:lang w:eastAsia="zh-CN"/>
        </w:rPr>
        <w:t>。</w:t>
      </w:r>
      <w:r>
        <w:rPr>
          <w:rFonts w:hint="eastAsia"/>
          <w:color w:val="auto"/>
        </w:rPr>
        <w:t>通过严格的质量控制和安全保障体系，确保了系统的稳定运行和数据的安全。未来，随着技术的不断进步和应用的深入，我们将继续加强系统的安全可靠性建设，为医院提供更加高效、便捷的信息化服务。</w:t>
      </w:r>
    </w:p>
    <w:p w14:paraId="3E901792">
      <w:pPr>
        <w:pStyle w:val="12"/>
        <w:bidi w:val="0"/>
        <w:ind w:left="864" w:leftChars="0" w:hanging="864" w:firstLineChars="0"/>
        <w:rPr>
          <w:rFonts w:hint="eastAsia"/>
          <w:color w:val="auto"/>
        </w:rPr>
      </w:pPr>
      <w:r>
        <w:rPr>
          <w:rFonts w:hint="eastAsia"/>
          <w:color w:val="auto"/>
        </w:rPr>
        <w:t>物理和环境安全</w:t>
      </w:r>
    </w:p>
    <w:p w14:paraId="423A0A63">
      <w:pPr>
        <w:ind w:firstLine="480"/>
        <w:rPr>
          <w:rFonts w:hint="eastAsia"/>
          <w:color w:val="auto"/>
        </w:rPr>
      </w:pPr>
      <w:r>
        <w:rPr>
          <w:rFonts w:hint="eastAsia"/>
          <w:color w:val="auto"/>
        </w:rPr>
        <w:t>本层面需采用密码保护的对象是医院系统所在机房的安全，对应的密码应用需求包括：机房进出人员的身份真实性鉴别、电子门禁系统记录数据存储的完整性保护、视频监控系统音像记录数据存储的完整性保护。</w:t>
      </w:r>
    </w:p>
    <w:p w14:paraId="39A53009">
      <w:pPr>
        <w:bidi w:val="0"/>
        <w:rPr>
          <w:rFonts w:hint="default"/>
          <w:color w:val="auto"/>
          <w:lang w:val="en-US" w:eastAsia="zh-CN"/>
        </w:rPr>
      </w:pPr>
      <w:r>
        <w:rPr>
          <w:rFonts w:hint="eastAsia"/>
          <w:color w:val="auto"/>
          <w:lang w:val="en-US" w:eastAsia="zh-CN"/>
        </w:rPr>
        <w:t>若医院物理密码防护符合密码三级要求，则可利旧现有门禁和监控系统设备。</w:t>
      </w:r>
    </w:p>
    <w:p w14:paraId="51145523">
      <w:pPr>
        <w:pStyle w:val="124"/>
        <w:ind w:firstLine="480"/>
        <w:rPr>
          <w:rFonts w:hint="eastAsia" w:ascii="宋体" w:hAnsi="宋体" w:eastAsia="宋体" w:cs="Times New Roman"/>
          <w:color w:val="auto"/>
        </w:rPr>
      </w:pPr>
      <w:r>
        <w:rPr>
          <w:rFonts w:hint="eastAsia" w:ascii="宋体" w:hAnsi="宋体" w:eastAsia="宋体" w:cs="Times New Roman"/>
          <w:color w:val="auto"/>
        </w:rPr>
        <w:t>主要是实现对信息系统所在机房等重要区域的物理防护，应具备的密码功能包括：</w:t>
      </w:r>
    </w:p>
    <w:p w14:paraId="0A2D2C46">
      <w:pPr>
        <w:pStyle w:val="124"/>
        <w:ind w:firstLine="480"/>
        <w:rPr>
          <w:rFonts w:hint="eastAsia" w:ascii="宋体" w:hAnsi="宋体" w:eastAsia="宋体" w:cs="Times New Roman"/>
          <w:color w:val="auto"/>
        </w:rPr>
      </w:pPr>
      <w:r>
        <w:rPr>
          <w:rFonts w:hint="eastAsia" w:ascii="宋体" w:hAnsi="宋体" w:eastAsia="宋体" w:cs="Times New Roman"/>
          <w:color w:val="auto"/>
        </w:rPr>
        <w:t>1.确认进入各重要区域人员的身份，防止无关和假冒人员进入；</w:t>
      </w:r>
    </w:p>
    <w:p w14:paraId="5DE22F0D">
      <w:pPr>
        <w:pStyle w:val="124"/>
        <w:ind w:firstLine="480"/>
        <w:rPr>
          <w:rFonts w:hint="eastAsia" w:ascii="宋体" w:hAnsi="宋体" w:eastAsia="宋体" w:cs="Times New Roman"/>
          <w:color w:val="auto"/>
        </w:rPr>
      </w:pPr>
      <w:r>
        <w:rPr>
          <w:rFonts w:hint="eastAsia" w:ascii="宋体" w:hAnsi="宋体" w:eastAsia="宋体" w:cs="Times New Roman"/>
          <w:color w:val="auto"/>
        </w:rPr>
        <w:t>2.保护电子门禁系统进出记录的完整性，防止被非授权篡改。</w:t>
      </w:r>
    </w:p>
    <w:p w14:paraId="7E79F429">
      <w:pPr>
        <w:ind w:firstLine="480"/>
        <w:rPr>
          <w:color w:val="auto"/>
        </w:rPr>
      </w:pPr>
      <w:r>
        <w:rPr>
          <w:rFonts w:hint="eastAsia"/>
          <w:color w:val="auto"/>
        </w:rPr>
        <w:t>安全电子门禁系统：在本方案中特指符合GM/T 0036-2014《采用非接触卡的门禁系统密码应用指南》要求，用户身份鉴别、门禁记录存储完整性保护基于商用密码技术，关键组件取得商用密码产品认证的电子门禁系统。</w:t>
      </w:r>
    </w:p>
    <w:p w14:paraId="16A28AD9">
      <w:pPr>
        <w:ind w:firstLine="480"/>
        <w:rPr>
          <w:color w:val="auto"/>
        </w:rPr>
      </w:pPr>
      <w:r>
        <w:rPr>
          <w:rFonts w:hint="eastAsia"/>
          <w:color w:val="auto"/>
        </w:rPr>
        <w:t>系统组成及部署情况如下：</w:t>
      </w:r>
    </w:p>
    <w:p w14:paraId="534DD70D">
      <w:pPr>
        <w:keepNext/>
        <w:ind w:firstLine="0" w:firstLineChars="0"/>
        <w:jc w:val="center"/>
        <w:rPr>
          <w:rFonts w:hint="eastAsia" w:ascii="宋体" w:hAnsi="宋体" w:cs="宋体"/>
          <w:color w:val="auto"/>
        </w:rPr>
      </w:pPr>
      <w:r>
        <w:rPr>
          <w:rFonts w:hint="eastAsia" w:ascii="宋体" w:hAnsi="宋体" w:cs="宋体"/>
          <w:color w:val="auto"/>
        </w:rPr>
        <w:object>
          <v:shape id="_x0000_i1026" o:spt="75" type="#_x0000_t75" style="height:216.65pt;width:406.95pt;" o:ole="t" filled="f" o:preferrelative="t" stroked="f" coordsize="21600,21600">
            <v:path/>
            <v:fill on="f" focussize="0,0"/>
            <v:stroke on="f"/>
            <v:imagedata r:id="rId26" o:title=""/>
            <o:lock v:ext="edit" aspectratio="t"/>
            <w10:wrap type="none"/>
            <w10:anchorlock/>
          </v:shape>
          <o:OLEObject Type="Embed" ProgID="Visio.Drawing.15" ShapeID="_x0000_i1026" DrawAspect="Content" ObjectID="_1468075726" r:id="rId25">
            <o:LockedField>false</o:LockedField>
          </o:OLEObject>
        </w:object>
      </w:r>
    </w:p>
    <w:p w14:paraId="1340DDB2">
      <w:pPr>
        <w:pStyle w:val="21"/>
        <w:keepNext/>
        <w:ind w:firstLine="0" w:firstLineChars="0"/>
        <w:jc w:val="center"/>
        <w:rPr>
          <w:rFonts w:hint="eastAsia" w:ascii="宋体" w:hAnsi="宋体" w:eastAsia="宋体" w:cs="宋体"/>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11</w:t>
      </w:r>
      <w:r>
        <w:rPr>
          <w:color w:val="auto"/>
        </w:rPr>
        <w:fldChar w:fldCharType="end"/>
      </w:r>
      <w:r>
        <w:rPr>
          <w:rFonts w:hint="eastAsia"/>
          <w:color w:val="auto"/>
          <w:lang w:eastAsia="zh-CN"/>
        </w:rPr>
        <w:t>安全电子门禁系统部署图</w:t>
      </w:r>
    </w:p>
    <w:p w14:paraId="4A271A1E">
      <w:pPr>
        <w:ind w:firstLine="480"/>
        <w:rPr>
          <w:color w:val="auto"/>
        </w:rPr>
      </w:pPr>
      <w:r>
        <w:rPr>
          <w:rFonts w:hint="eastAsia"/>
          <w:color w:val="auto"/>
        </w:rPr>
        <w:t>安全视频监控系统：在本方案中特指视频记录存储完整性保护基于商用密码技术，关键组件取得商用密码产品认证的视频监控系统。</w:t>
      </w:r>
    </w:p>
    <w:p w14:paraId="7703B2C9">
      <w:pPr>
        <w:ind w:firstLine="480"/>
        <w:rPr>
          <w:color w:val="auto"/>
        </w:rPr>
      </w:pPr>
      <w:r>
        <w:rPr>
          <w:rFonts w:hint="eastAsia"/>
          <w:color w:val="auto"/>
        </w:rPr>
        <w:t>系统组成及部署情况如下：</w:t>
      </w:r>
    </w:p>
    <w:p w14:paraId="0C1215A2">
      <w:pPr>
        <w:keepNext/>
        <w:ind w:firstLine="0" w:firstLineChars="0"/>
        <w:jc w:val="center"/>
        <w:rPr>
          <w:rFonts w:hint="eastAsia" w:ascii="宋体" w:hAnsi="宋体" w:cs="宋体"/>
          <w:color w:val="auto"/>
        </w:rPr>
      </w:pPr>
      <w:r>
        <w:rPr>
          <w:rFonts w:hint="eastAsia" w:ascii="宋体" w:hAnsi="宋体" w:cs="宋体"/>
          <w:color w:val="auto"/>
        </w:rPr>
        <w:drawing>
          <wp:inline distT="0" distB="0" distL="0" distR="0">
            <wp:extent cx="4625975" cy="2764790"/>
            <wp:effectExtent l="0" t="0" r="952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645290" cy="2776418"/>
                    </a:xfrm>
                    <a:prstGeom prst="rect">
                      <a:avLst/>
                    </a:prstGeom>
                  </pic:spPr>
                </pic:pic>
              </a:graphicData>
            </a:graphic>
          </wp:inline>
        </w:drawing>
      </w:r>
    </w:p>
    <w:p w14:paraId="00AFF993">
      <w:pPr>
        <w:pStyle w:val="21"/>
        <w:keepNext/>
        <w:ind w:firstLine="0" w:firstLineChars="0"/>
        <w:jc w:val="center"/>
        <w:rPr>
          <w:rFonts w:hint="eastAsia" w:ascii="宋体" w:hAnsi="宋体" w:eastAsia="宋体" w:cs="宋体"/>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12</w:t>
      </w:r>
      <w:r>
        <w:rPr>
          <w:color w:val="auto"/>
        </w:rPr>
        <w:fldChar w:fldCharType="end"/>
      </w:r>
      <w:r>
        <w:rPr>
          <w:rFonts w:hint="eastAsia"/>
          <w:color w:val="auto"/>
          <w:lang w:eastAsia="zh-CN"/>
        </w:rPr>
        <w:t>安全视频监控系统部署图</w:t>
      </w:r>
    </w:p>
    <w:p w14:paraId="06BB64F4">
      <w:pPr>
        <w:pStyle w:val="12"/>
        <w:bidi w:val="0"/>
        <w:ind w:left="864" w:leftChars="0" w:hanging="864" w:firstLineChars="0"/>
        <w:rPr>
          <w:color w:val="auto"/>
        </w:rPr>
      </w:pPr>
      <w:r>
        <w:rPr>
          <w:rFonts w:hint="eastAsia"/>
          <w:color w:val="auto"/>
        </w:rPr>
        <w:t>网络和通信安全</w:t>
      </w:r>
    </w:p>
    <w:p w14:paraId="3A2CC5BB">
      <w:pPr>
        <w:pStyle w:val="124"/>
        <w:ind w:firstLine="480"/>
        <w:rPr>
          <w:rFonts w:hint="eastAsia" w:ascii="宋体" w:hAnsi="宋体" w:eastAsia="宋体" w:cs="Times New Roman"/>
          <w:color w:val="auto"/>
        </w:rPr>
      </w:pPr>
      <w:r>
        <w:rPr>
          <w:rFonts w:hint="eastAsia" w:ascii="宋体" w:hAnsi="宋体" w:eastAsia="宋体" w:cs="Times New Roman"/>
          <w:color w:val="auto"/>
        </w:rPr>
        <w:t>主要是实现对信息系统与外部实体之间网络通信的安全防护，应具备的密码功能包括：</w:t>
      </w:r>
    </w:p>
    <w:p w14:paraId="1DFFE4E5">
      <w:pPr>
        <w:pStyle w:val="124"/>
        <w:ind w:firstLine="480"/>
        <w:rPr>
          <w:rFonts w:hint="eastAsia" w:ascii="宋体" w:hAnsi="宋体" w:eastAsia="宋体" w:cs="Times New Roman"/>
          <w:color w:val="auto"/>
        </w:rPr>
      </w:pPr>
      <w:r>
        <w:rPr>
          <w:rFonts w:hint="eastAsia" w:ascii="宋体" w:hAnsi="宋体" w:eastAsia="宋体" w:cs="Times New Roman"/>
          <w:color w:val="auto"/>
        </w:rPr>
        <w:t>1.确认通信实体的身份（如单向鉴别），降低与伪造实体通信风险；</w:t>
      </w:r>
    </w:p>
    <w:p w14:paraId="162009DA">
      <w:pPr>
        <w:pStyle w:val="124"/>
        <w:ind w:firstLine="480"/>
        <w:rPr>
          <w:rFonts w:hint="eastAsia" w:ascii="宋体" w:hAnsi="宋体" w:eastAsia="宋体" w:cs="Times New Roman"/>
          <w:color w:val="auto"/>
        </w:rPr>
      </w:pPr>
      <w:r>
        <w:rPr>
          <w:rFonts w:hint="eastAsia" w:ascii="宋体" w:hAnsi="宋体" w:eastAsia="宋体" w:cs="Times New Roman"/>
          <w:color w:val="auto"/>
        </w:rPr>
        <w:t>2.保护通信过程中的数据，防止数据被非授权篡改</w:t>
      </w:r>
      <w:r>
        <w:rPr>
          <w:rFonts w:hint="eastAsia" w:ascii="宋体" w:hAnsi="宋体" w:eastAsia="宋体" w:cs="Times New Roman"/>
          <w:color w:val="auto"/>
          <w:lang w:eastAsia="zh-CN"/>
        </w:rPr>
        <w:t>，</w:t>
      </w:r>
      <w:r>
        <w:rPr>
          <w:rFonts w:hint="eastAsia" w:ascii="宋体" w:hAnsi="宋体" w:eastAsia="宋体" w:cs="Times New Roman"/>
          <w:color w:val="auto"/>
        </w:rPr>
        <w:t>敏感数据可选择性加密。</w:t>
      </w:r>
    </w:p>
    <w:p w14:paraId="7ACAD96C">
      <w:pPr>
        <w:pStyle w:val="124"/>
        <w:ind w:firstLine="480"/>
        <w:rPr>
          <w:rFonts w:hint="eastAsia" w:ascii="宋体" w:hAnsi="宋体" w:eastAsia="宋体" w:cs="Times New Roman"/>
          <w:color w:val="auto"/>
        </w:rPr>
      </w:pPr>
      <w:r>
        <w:rPr>
          <w:rFonts w:hint="eastAsia" w:ascii="宋体" w:hAnsi="宋体" w:eastAsia="宋体" w:cs="Times New Roman"/>
          <w:color w:val="auto"/>
        </w:rPr>
        <w:t>实现上述功能，可选密码应用措施：</w:t>
      </w:r>
    </w:p>
    <w:p w14:paraId="65C7FBE8">
      <w:pPr>
        <w:pStyle w:val="124"/>
        <w:ind w:firstLine="480"/>
        <w:rPr>
          <w:rFonts w:hint="eastAsia" w:ascii="宋体" w:hAnsi="宋体" w:eastAsia="宋体" w:cs="Times New Roman"/>
          <w:color w:val="auto"/>
        </w:rPr>
      </w:pPr>
      <w:r>
        <w:rPr>
          <w:rFonts w:hint="eastAsia" w:ascii="宋体" w:hAnsi="宋体" w:eastAsia="宋体" w:cs="Times New Roman"/>
          <w:color w:val="auto"/>
        </w:rPr>
        <w:t>1.通过SSL/TLS单向证书验证等方式确保通信实体身份可信；</w:t>
      </w:r>
    </w:p>
    <w:p w14:paraId="3CE76099">
      <w:pPr>
        <w:pStyle w:val="124"/>
        <w:ind w:firstLine="480"/>
        <w:rPr>
          <w:rFonts w:hint="eastAsia"/>
          <w:color w:val="auto"/>
        </w:rPr>
      </w:pPr>
      <w:r>
        <w:rPr>
          <w:rFonts w:hint="eastAsia" w:ascii="宋体" w:hAnsi="宋体" w:eastAsia="宋体" w:cs="Times New Roman"/>
          <w:color w:val="auto"/>
        </w:rPr>
        <w:t>2.通过摘要算法（如SHA-256）保护通信数据的完整性，对高敏感数据可采用加密传输。</w:t>
      </w:r>
    </w:p>
    <w:p w14:paraId="659BE91A">
      <w:pPr>
        <w:ind w:firstLine="480"/>
        <w:rPr>
          <w:color w:val="auto"/>
        </w:rPr>
      </w:pPr>
      <w:r>
        <w:rPr>
          <w:rFonts w:hint="eastAsia"/>
          <w:color w:val="auto"/>
        </w:rPr>
        <w:t>本层面需采用密码保护的对象是卫健委、医保局到专网接入区的通道边界、以及远程办公医护人员连接网络接入区的通道边界。从而保障网络通信过程中的身份鉴别、通信数据完整性、通信过程中重要数据的机密性与网络边界访问控制信息完整性。</w:t>
      </w:r>
    </w:p>
    <w:p w14:paraId="0AAA663A">
      <w:pPr>
        <w:ind w:firstLine="480"/>
        <w:rPr>
          <w:color w:val="auto"/>
        </w:rPr>
      </w:pPr>
      <w:r>
        <w:rPr>
          <w:rFonts w:hint="eastAsia"/>
          <w:color w:val="auto"/>
        </w:rPr>
        <w:t>采用合规的SJJ加密机产品（IPSec VPN）；为医护人员远程办公终端配置含有二级密码模块的USBKey；安全管理区部署协同签名系统，医护人员远程办公移动终端安装协同签名客户端，多维度的进行远程办公人员的身份鉴别。从而实现VPN设备站到站通讯、站到端通讯均为基于密码技术的数据安全传输通道，为网络通信过程提供通信实体身份真实性、通信数据完整性、通信数据机密性保障及网络边界访问控制信息完整性保护。</w:t>
      </w:r>
    </w:p>
    <w:p w14:paraId="31335C28">
      <w:pPr>
        <w:pStyle w:val="12"/>
        <w:bidi w:val="0"/>
        <w:ind w:left="864" w:leftChars="0" w:hanging="864" w:firstLineChars="0"/>
        <w:rPr>
          <w:color w:val="auto"/>
        </w:rPr>
      </w:pPr>
      <w:r>
        <w:rPr>
          <w:rFonts w:hint="eastAsia"/>
          <w:color w:val="auto"/>
        </w:rPr>
        <w:t>设备和计算安全</w:t>
      </w:r>
    </w:p>
    <w:p w14:paraId="338BA8A4">
      <w:pPr>
        <w:ind w:firstLine="480"/>
        <w:rPr>
          <w:color w:val="auto"/>
        </w:rPr>
      </w:pPr>
      <w:r>
        <w:rPr>
          <w:rFonts w:hint="eastAsia"/>
          <w:color w:val="auto"/>
        </w:rPr>
        <w:t>本层面需采用密码保护的对象是通用服务器及网络和安全设备，从而保障计算设备的身份鉴别、远程管理通道安全、系统资源访问控制信息完整性、日志记录完整性、重要可执行程序完整性、重要可执行程序来源真实性。</w:t>
      </w:r>
    </w:p>
    <w:p w14:paraId="2C2AF5DF">
      <w:pPr>
        <w:ind w:firstLine="480"/>
        <w:rPr>
          <w:rFonts w:hint="eastAsia" w:ascii="宋体" w:hAnsi="宋体" w:eastAsia="宋体" w:cs="Times New Roman"/>
          <w:color w:val="auto"/>
        </w:rPr>
      </w:pPr>
      <w:r>
        <w:rPr>
          <w:rFonts w:hint="eastAsia"/>
          <w:color w:val="auto"/>
        </w:rPr>
        <w:t>涉及的密码产品包括服务器密码机、密码模块、SJJ加密机（SSL VPN）和VPN客户端。</w:t>
      </w:r>
    </w:p>
    <w:p w14:paraId="63D0A13F">
      <w:pPr>
        <w:pStyle w:val="124"/>
        <w:ind w:firstLine="480"/>
        <w:rPr>
          <w:rFonts w:hint="eastAsia" w:ascii="宋体" w:hAnsi="宋体" w:eastAsia="宋体" w:cs="Times New Roman"/>
          <w:color w:val="auto"/>
        </w:rPr>
      </w:pPr>
      <w:r>
        <w:rPr>
          <w:rFonts w:hint="eastAsia" w:ascii="宋体" w:hAnsi="宋体" w:eastAsia="宋体" w:cs="Times New Roman"/>
          <w:color w:val="auto"/>
        </w:rPr>
        <w:t>主要是实现对信息系统中各类设备和计算环境的安全防护，应具备的密码功能包括：</w:t>
      </w:r>
    </w:p>
    <w:p w14:paraId="40515F9B">
      <w:pPr>
        <w:pStyle w:val="124"/>
        <w:ind w:firstLine="480"/>
        <w:rPr>
          <w:rFonts w:hint="eastAsia" w:ascii="宋体" w:hAnsi="宋体" w:eastAsia="宋体" w:cs="Times New Roman"/>
          <w:color w:val="auto"/>
        </w:rPr>
      </w:pPr>
      <w:r>
        <w:rPr>
          <w:rFonts w:hint="eastAsia" w:ascii="宋体" w:hAnsi="宋体" w:eastAsia="宋体" w:cs="Times New Roman"/>
          <w:color w:val="auto"/>
        </w:rPr>
        <w:t>1.对设备的特权用户（含系统管理员、安全管理员、审计管理员等，以下简称“管理员”）和普通用户的身份进行识别和确认，防止假冒人员登录；</w:t>
      </w:r>
    </w:p>
    <w:p w14:paraId="0F0EB1F5">
      <w:pPr>
        <w:pStyle w:val="124"/>
        <w:ind w:firstLine="480"/>
        <w:rPr>
          <w:rFonts w:hint="eastAsia" w:ascii="宋体" w:hAnsi="宋体" w:eastAsia="宋体" w:cs="Times New Roman"/>
          <w:color w:val="auto"/>
        </w:rPr>
      </w:pPr>
      <w:r>
        <w:rPr>
          <w:rFonts w:hint="eastAsia" w:ascii="宋体" w:hAnsi="宋体" w:eastAsia="宋体" w:cs="Times New Roman"/>
          <w:color w:val="auto"/>
        </w:rPr>
        <w:t>2.在远程管理时，对管理员的身份鉴别信息（如口令等）进行机密性保护，防止鉴别信息泄漏；</w:t>
      </w:r>
    </w:p>
    <w:p w14:paraId="65A4192E">
      <w:pPr>
        <w:pStyle w:val="124"/>
        <w:ind w:firstLine="480"/>
        <w:rPr>
          <w:rFonts w:hint="eastAsia" w:ascii="宋体" w:hAnsi="宋体" w:eastAsia="宋体" w:cs="Times New Roman"/>
          <w:color w:val="auto"/>
        </w:rPr>
      </w:pPr>
      <w:r>
        <w:rPr>
          <w:rFonts w:hint="eastAsia" w:ascii="宋体" w:hAnsi="宋体" w:eastAsia="宋体" w:cs="Times New Roman"/>
          <w:color w:val="auto"/>
        </w:rPr>
        <w:t>3.保护计算机、服务器等设备中的系统资源访问控制信息（如设备配置信息、安全策略、资源访问控制列表等）、重要信息资源安全标记（如数据标签等）、日志记录（如系统日志、数据库日志等）和重要可执行程序（如重要应用程序、关键系统文件等），防止被非授权篡改。</w:t>
      </w:r>
    </w:p>
    <w:p w14:paraId="708F9C58">
      <w:pPr>
        <w:pStyle w:val="124"/>
        <w:ind w:firstLine="480"/>
        <w:rPr>
          <w:rFonts w:hint="eastAsia" w:ascii="宋体" w:hAnsi="宋体" w:eastAsia="宋体" w:cs="Times New Roman"/>
          <w:color w:val="auto"/>
        </w:rPr>
      </w:pPr>
      <w:r>
        <w:rPr>
          <w:rFonts w:hint="eastAsia" w:ascii="宋体" w:hAnsi="宋体" w:eastAsia="宋体" w:cs="Times New Roman"/>
          <w:color w:val="auto"/>
        </w:rPr>
        <w:t>实现上述功能，可选密码应用措施：</w:t>
      </w:r>
    </w:p>
    <w:p w14:paraId="6860AE75">
      <w:pPr>
        <w:pStyle w:val="124"/>
        <w:ind w:firstLine="480"/>
        <w:rPr>
          <w:rFonts w:hint="eastAsia" w:ascii="宋体" w:hAnsi="宋体" w:eastAsia="宋体" w:cs="Times New Roman"/>
          <w:color w:val="auto"/>
        </w:rPr>
      </w:pPr>
      <w:r>
        <w:rPr>
          <w:rFonts w:hint="eastAsia" w:ascii="宋体" w:hAnsi="宋体" w:eastAsia="宋体" w:cs="Times New Roman"/>
          <w:color w:val="auto"/>
        </w:rPr>
        <w:t>1.对管理员实施口令或令牌类身份鉴别，普通用户采用账号密码验证</w:t>
      </w:r>
      <w:r>
        <w:rPr>
          <w:rFonts w:hint="eastAsia" w:ascii="宋体" w:hAnsi="宋体" w:eastAsia="宋体" w:cs="Times New Roman"/>
          <w:color w:val="auto"/>
          <w:lang w:eastAsia="zh-CN"/>
        </w:rPr>
        <w:t>，</w:t>
      </w:r>
      <w:r>
        <w:rPr>
          <w:rFonts w:hint="eastAsia" w:ascii="宋体" w:hAnsi="宋体" w:eastAsia="宋体" w:cs="Times New Roman"/>
          <w:color w:val="auto"/>
        </w:rPr>
        <w:t>使用口令认证结合静态密码策略实现用户身份验证；</w:t>
      </w:r>
    </w:p>
    <w:p w14:paraId="32921120">
      <w:pPr>
        <w:pStyle w:val="124"/>
        <w:ind w:firstLine="480"/>
        <w:rPr>
          <w:rFonts w:hint="eastAsia" w:ascii="宋体" w:hAnsi="宋体" w:eastAsia="宋体" w:cs="Times New Roman"/>
          <w:color w:val="auto"/>
        </w:rPr>
      </w:pPr>
      <w:r>
        <w:rPr>
          <w:rFonts w:hint="eastAsia" w:ascii="宋体" w:hAnsi="宋体" w:eastAsia="宋体" w:cs="Times New Roman"/>
          <w:color w:val="auto"/>
        </w:rPr>
        <w:t>2.对远程管理通道建议采用VPN或加密协议（如HTTPS）；</w:t>
      </w:r>
    </w:p>
    <w:p w14:paraId="02C65E50">
      <w:pPr>
        <w:pStyle w:val="124"/>
        <w:ind w:firstLine="480"/>
        <w:rPr>
          <w:rFonts w:hint="eastAsia"/>
          <w:color w:val="auto"/>
        </w:rPr>
      </w:pPr>
      <w:r>
        <w:rPr>
          <w:rFonts w:hint="eastAsia" w:ascii="宋体" w:hAnsi="宋体" w:eastAsia="宋体" w:cs="Times New Roman"/>
          <w:color w:val="auto"/>
        </w:rPr>
        <w:t>3.可通过文件哈希校验等方式保护关键系统文件的完整性。</w:t>
      </w:r>
    </w:p>
    <w:p w14:paraId="16EFF4D8">
      <w:pPr>
        <w:pStyle w:val="12"/>
        <w:bidi w:val="0"/>
        <w:ind w:left="864" w:leftChars="0" w:hanging="864" w:firstLineChars="0"/>
        <w:rPr>
          <w:color w:val="auto"/>
        </w:rPr>
      </w:pPr>
      <w:r>
        <w:rPr>
          <w:rFonts w:hint="eastAsia"/>
          <w:color w:val="auto"/>
        </w:rPr>
        <w:t>应用和数据安全</w:t>
      </w:r>
    </w:p>
    <w:p w14:paraId="0926986C">
      <w:pPr>
        <w:ind w:firstLine="480"/>
        <w:rPr>
          <w:color w:val="auto"/>
        </w:rPr>
      </w:pPr>
      <w:r>
        <w:rPr>
          <w:rFonts w:hint="eastAsia"/>
          <w:color w:val="auto"/>
        </w:rPr>
        <w:t>本层面需采用密码保护的对象是樟树市人民医院系统，具体包括应用系统用户登录（含系统管理用户）的身份鉴别、应用系统访问权限控制列表、数据库表访问控制信息的完整性保护，以及对重要数据的传输机密性、存储机密性、传输完整性、传输机密性保护。</w:t>
      </w:r>
    </w:p>
    <w:p w14:paraId="7742CBD2">
      <w:pPr>
        <w:pStyle w:val="9"/>
        <w:ind w:firstLine="480"/>
        <w:rPr>
          <w:color w:val="auto"/>
        </w:rPr>
      </w:pPr>
      <w:r>
        <w:rPr>
          <w:rFonts w:hint="eastAsia"/>
          <w:color w:val="auto"/>
        </w:rPr>
        <w:t>通过部署服务器密码机、SJJ加密机（支持IPSec/SSL VPN）、二级密码模块，部署在安全管理区的签名验签服务器、协同签名系统和已部署的数字证书认证系统，实现医院系统的身份鉴别、访问控制信息完整性、重要数据传输机密性、重要数据存储机密性、重要数据传输完整性、重要数据存储完整性、关键操作行为不可否认性。</w:t>
      </w:r>
    </w:p>
    <w:p w14:paraId="632ED81C">
      <w:pPr>
        <w:pStyle w:val="12"/>
        <w:bidi w:val="0"/>
        <w:ind w:left="864" w:leftChars="0" w:hanging="864" w:firstLineChars="0"/>
        <w:rPr>
          <w:color w:val="auto"/>
        </w:rPr>
      </w:pPr>
      <w:r>
        <w:rPr>
          <w:rFonts w:hint="eastAsia"/>
          <w:color w:val="auto"/>
        </w:rPr>
        <w:t>密钥管理</w:t>
      </w:r>
    </w:p>
    <w:p w14:paraId="1E7D6849">
      <w:pPr>
        <w:pStyle w:val="9"/>
        <w:ind w:firstLine="480"/>
        <w:rPr>
          <w:color w:val="auto"/>
        </w:rPr>
      </w:pPr>
      <w:r>
        <w:rPr>
          <w:rFonts w:hint="eastAsia"/>
          <w:color w:val="auto"/>
        </w:rPr>
        <w:t>密钥是密码安全的核心，密钥管理的完整过程包括密钥的产生、分发、存储、使用、更新、归档、撤销、备份、恢复、销毁十个环节，在密钥管理全生命周期过程中，都需要通过密码技术对密钥进行保护，以确保密钥的全生命周期安全。</w:t>
      </w:r>
    </w:p>
    <w:p w14:paraId="49593251">
      <w:pPr>
        <w:pStyle w:val="9"/>
        <w:ind w:firstLine="480"/>
        <w:rPr>
          <w:color w:val="auto"/>
        </w:rPr>
      </w:pPr>
      <w:r>
        <w:rPr>
          <w:rFonts w:hint="eastAsia"/>
          <w:color w:val="auto"/>
        </w:rPr>
        <w:t>系统设计中，密钥管理包括数字证书认证系统中的用户数字证书密钥对管理（KMC密钥理中心功能）和其他密码设备中的密钥管理服务两种情况。</w:t>
      </w:r>
    </w:p>
    <w:p w14:paraId="2C38585D">
      <w:pPr>
        <w:pStyle w:val="13"/>
        <w:bidi w:val="0"/>
        <w:ind w:left="1008" w:leftChars="0" w:hanging="1008" w:firstLineChars="0"/>
        <w:rPr>
          <w:color w:val="auto"/>
        </w:rPr>
      </w:pPr>
      <w:r>
        <w:rPr>
          <w:rFonts w:hint="eastAsia"/>
          <w:color w:val="auto"/>
        </w:rPr>
        <w:t>数字证书认证系统及用户证书密钥对管理</w:t>
      </w:r>
    </w:p>
    <w:p w14:paraId="1BA3DF45">
      <w:pPr>
        <w:ind w:firstLine="480"/>
        <w:rPr>
          <w:color w:val="auto"/>
        </w:rPr>
      </w:pPr>
      <w:r>
        <w:rPr>
          <w:rFonts w:hint="eastAsia"/>
          <w:color w:val="auto"/>
        </w:rPr>
        <w:t>数字证书认证系统是对生命周期内的数字证书进行全过程管理的安全系统。数字证书认证系统采用双证书（用于数字签名的证书和用于数据加密的证书）机制，并提供证书认证和密钥管理服务。</w:t>
      </w:r>
    </w:p>
    <w:p w14:paraId="56AD1546">
      <w:pPr>
        <w:pStyle w:val="13"/>
        <w:bidi w:val="0"/>
        <w:ind w:left="1008" w:leftChars="0" w:hanging="1008" w:firstLineChars="0"/>
        <w:rPr>
          <w:color w:val="auto"/>
        </w:rPr>
      </w:pPr>
      <w:r>
        <w:rPr>
          <w:rFonts w:hint="eastAsia"/>
          <w:color w:val="auto"/>
        </w:rPr>
        <w:t>其他密码产品密钥管理</w:t>
      </w:r>
    </w:p>
    <w:p w14:paraId="71E21161">
      <w:pPr>
        <w:ind w:firstLine="480"/>
        <w:rPr>
          <w:rFonts w:hint="eastAsia"/>
          <w:color w:val="auto"/>
        </w:rPr>
      </w:pPr>
      <w:r>
        <w:rPr>
          <w:rFonts w:hint="eastAsia"/>
          <w:color w:val="auto"/>
        </w:rPr>
        <w:t>本项目所使用的服务器密码机、签名验签服务器、SJJ加密机（支持IPSec/SSL VPN）均为取得商用密码产品认证的密码产品，遵循《GM/T 0030-2014 服务器密码机技术规范》、《GM/T 0029-2014 签名验签服务器技术规范》、《GM/T 0023-2014 IPSec VPN网关产品规范》和《GM/T 0025-2014 SSL VPN网关产品规范》中密钥管理相关要求，涉及的管理密钥、用户密钥、设备密钥、密钥加密密钥、会话密钥，除了公钥可以导出外，其他密钥均存储于密码设备的安全存储区域或二级以上安全密码模块中，满足密钥全过程管理相关要求，具体情况如下：</w:t>
      </w:r>
    </w:p>
    <w:p w14:paraId="0A8F12F9">
      <w:pPr>
        <w:pStyle w:val="21"/>
        <w:rPr>
          <w:rFonts w:hint="eastAsia" w:eastAsia="宋体"/>
          <w:color w:val="auto"/>
          <w:lang w:eastAsia="zh-CN"/>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rFonts w:hint="eastAsia"/>
          <w:color w:val="auto"/>
          <w:lang w:eastAsia="zh-CN"/>
        </w:rPr>
        <w:t>密钥管理情况</w:t>
      </w:r>
    </w:p>
    <w:tbl>
      <w:tblPr>
        <w:tblStyle w:val="41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625"/>
        <w:gridCol w:w="654"/>
        <w:gridCol w:w="442"/>
        <w:gridCol w:w="654"/>
        <w:gridCol w:w="654"/>
        <w:gridCol w:w="762"/>
        <w:gridCol w:w="762"/>
        <w:gridCol w:w="777"/>
        <w:gridCol w:w="777"/>
        <w:gridCol w:w="762"/>
        <w:gridCol w:w="762"/>
      </w:tblGrid>
      <w:tr w14:paraId="53852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2" w:hRule="atLeast"/>
          <w:tblHeader/>
        </w:trPr>
        <w:tc>
          <w:tcPr>
            <w:tcW w:w="518" w:type="pct"/>
            <w:shd w:val="clear" w:color="auto" w:fill="BEBEBE" w:themeFill="background1" w:themeFillShade="BF"/>
            <w:vAlign w:val="center"/>
          </w:tcPr>
          <w:p w14:paraId="7A56DDF5">
            <w:pPr>
              <w:pStyle w:val="245"/>
              <w:rPr>
                <w:b/>
                <w:i w:val="0"/>
                <w:color w:val="auto"/>
              </w:rPr>
            </w:pPr>
            <w:r>
              <w:rPr>
                <w:rFonts w:hint="eastAsia"/>
                <w:b/>
                <w:i w:val="0"/>
                <w:color w:val="auto"/>
              </w:rPr>
              <w:t>密钥名称</w:t>
            </w:r>
          </w:p>
        </w:tc>
        <w:tc>
          <w:tcPr>
            <w:tcW w:w="363" w:type="pct"/>
            <w:shd w:val="clear" w:color="auto" w:fill="BEBEBE" w:themeFill="background1" w:themeFillShade="BF"/>
            <w:vAlign w:val="center"/>
          </w:tcPr>
          <w:p w14:paraId="0E6D95CF">
            <w:pPr>
              <w:pStyle w:val="245"/>
              <w:rPr>
                <w:b/>
                <w:i w:val="0"/>
                <w:color w:val="auto"/>
              </w:rPr>
            </w:pPr>
            <w:r>
              <w:rPr>
                <w:rFonts w:hint="eastAsia"/>
                <w:b/>
                <w:i w:val="0"/>
                <w:color w:val="auto"/>
              </w:rPr>
              <w:t>密钥类型</w:t>
            </w:r>
          </w:p>
        </w:tc>
        <w:tc>
          <w:tcPr>
            <w:tcW w:w="384" w:type="pct"/>
            <w:shd w:val="clear" w:color="auto" w:fill="BEBEBE" w:themeFill="background1" w:themeFillShade="BF"/>
            <w:vAlign w:val="center"/>
          </w:tcPr>
          <w:p w14:paraId="4936488E">
            <w:pPr>
              <w:pStyle w:val="245"/>
              <w:rPr>
                <w:b/>
                <w:i w:val="0"/>
                <w:color w:val="auto"/>
              </w:rPr>
            </w:pPr>
            <w:r>
              <w:rPr>
                <w:rFonts w:hint="eastAsia"/>
                <w:b/>
                <w:i w:val="0"/>
                <w:color w:val="auto"/>
              </w:rPr>
              <w:t>产生</w:t>
            </w:r>
          </w:p>
        </w:tc>
        <w:tc>
          <w:tcPr>
            <w:tcW w:w="260" w:type="pct"/>
            <w:shd w:val="clear" w:color="auto" w:fill="BEBEBE" w:themeFill="background1" w:themeFillShade="BF"/>
            <w:vAlign w:val="center"/>
          </w:tcPr>
          <w:p w14:paraId="60405108">
            <w:pPr>
              <w:pStyle w:val="245"/>
              <w:rPr>
                <w:b/>
                <w:i w:val="0"/>
                <w:color w:val="auto"/>
              </w:rPr>
            </w:pPr>
            <w:r>
              <w:rPr>
                <w:rFonts w:hint="eastAsia"/>
                <w:b/>
                <w:i w:val="0"/>
                <w:color w:val="auto"/>
              </w:rPr>
              <w:t>分发</w:t>
            </w:r>
          </w:p>
        </w:tc>
        <w:tc>
          <w:tcPr>
            <w:tcW w:w="384" w:type="pct"/>
            <w:shd w:val="clear" w:color="auto" w:fill="BEBEBE" w:themeFill="background1" w:themeFillShade="BF"/>
            <w:vAlign w:val="center"/>
          </w:tcPr>
          <w:p w14:paraId="2285CF3E">
            <w:pPr>
              <w:pStyle w:val="245"/>
              <w:rPr>
                <w:b/>
                <w:i w:val="0"/>
                <w:color w:val="auto"/>
              </w:rPr>
            </w:pPr>
            <w:r>
              <w:rPr>
                <w:rFonts w:hint="eastAsia"/>
                <w:b/>
                <w:i w:val="0"/>
                <w:color w:val="auto"/>
              </w:rPr>
              <w:t>存</w:t>
            </w:r>
            <w:r>
              <w:rPr>
                <w:rFonts w:hint="eastAsia"/>
                <w:b w:val="0"/>
                <w:i w:val="0"/>
                <w:color w:val="auto"/>
              </w:rPr>
              <w:t>储</w:t>
            </w:r>
          </w:p>
        </w:tc>
        <w:tc>
          <w:tcPr>
            <w:tcW w:w="384" w:type="pct"/>
            <w:shd w:val="clear" w:color="auto" w:fill="BEBEBE" w:themeFill="background1" w:themeFillShade="BF"/>
            <w:vAlign w:val="center"/>
          </w:tcPr>
          <w:p w14:paraId="2B4C6372">
            <w:pPr>
              <w:pStyle w:val="245"/>
              <w:rPr>
                <w:b/>
                <w:i w:val="0"/>
                <w:color w:val="auto"/>
              </w:rPr>
            </w:pPr>
            <w:r>
              <w:rPr>
                <w:rFonts w:hint="eastAsia"/>
                <w:b/>
                <w:i w:val="0"/>
                <w:color w:val="auto"/>
              </w:rPr>
              <w:t>使用</w:t>
            </w:r>
          </w:p>
        </w:tc>
        <w:tc>
          <w:tcPr>
            <w:tcW w:w="447" w:type="pct"/>
            <w:shd w:val="clear" w:color="auto" w:fill="BEBEBE" w:themeFill="background1" w:themeFillShade="BF"/>
            <w:vAlign w:val="center"/>
          </w:tcPr>
          <w:p w14:paraId="5E57209B">
            <w:pPr>
              <w:pStyle w:val="245"/>
              <w:rPr>
                <w:b/>
                <w:i w:val="0"/>
                <w:color w:val="auto"/>
              </w:rPr>
            </w:pPr>
            <w:r>
              <w:rPr>
                <w:rFonts w:hint="eastAsia"/>
                <w:b/>
                <w:i w:val="0"/>
                <w:color w:val="auto"/>
              </w:rPr>
              <w:t>更新</w:t>
            </w:r>
          </w:p>
        </w:tc>
        <w:tc>
          <w:tcPr>
            <w:tcW w:w="447" w:type="pct"/>
            <w:shd w:val="clear" w:color="auto" w:fill="BEBEBE" w:themeFill="background1" w:themeFillShade="BF"/>
            <w:vAlign w:val="center"/>
          </w:tcPr>
          <w:p w14:paraId="78A11622">
            <w:pPr>
              <w:pStyle w:val="245"/>
              <w:rPr>
                <w:b/>
                <w:i w:val="0"/>
                <w:color w:val="auto"/>
              </w:rPr>
            </w:pPr>
            <w:r>
              <w:rPr>
                <w:rFonts w:hint="eastAsia"/>
                <w:b/>
                <w:i w:val="0"/>
                <w:color w:val="auto"/>
              </w:rPr>
              <w:t>归档</w:t>
            </w:r>
          </w:p>
        </w:tc>
        <w:tc>
          <w:tcPr>
            <w:tcW w:w="456" w:type="pct"/>
            <w:shd w:val="clear" w:color="auto" w:fill="BEBEBE" w:themeFill="background1" w:themeFillShade="BF"/>
            <w:vAlign w:val="center"/>
          </w:tcPr>
          <w:p w14:paraId="36514F9C">
            <w:pPr>
              <w:pStyle w:val="245"/>
              <w:rPr>
                <w:b/>
                <w:i w:val="0"/>
                <w:color w:val="auto"/>
              </w:rPr>
            </w:pPr>
            <w:r>
              <w:rPr>
                <w:rFonts w:hint="eastAsia"/>
                <w:b/>
                <w:i w:val="0"/>
                <w:color w:val="auto"/>
              </w:rPr>
              <w:t>撤销</w:t>
            </w:r>
          </w:p>
        </w:tc>
        <w:tc>
          <w:tcPr>
            <w:tcW w:w="456" w:type="pct"/>
            <w:shd w:val="clear" w:color="auto" w:fill="BEBEBE" w:themeFill="background1" w:themeFillShade="BF"/>
            <w:vAlign w:val="center"/>
          </w:tcPr>
          <w:p w14:paraId="4E6982A4">
            <w:pPr>
              <w:pStyle w:val="245"/>
              <w:rPr>
                <w:b/>
                <w:i w:val="0"/>
                <w:color w:val="auto"/>
              </w:rPr>
            </w:pPr>
            <w:r>
              <w:rPr>
                <w:rFonts w:hint="eastAsia"/>
                <w:b/>
                <w:i w:val="0"/>
                <w:color w:val="auto"/>
              </w:rPr>
              <w:t>备份</w:t>
            </w:r>
          </w:p>
        </w:tc>
        <w:tc>
          <w:tcPr>
            <w:tcW w:w="447" w:type="pct"/>
            <w:shd w:val="clear" w:color="auto" w:fill="BEBEBE" w:themeFill="background1" w:themeFillShade="BF"/>
            <w:vAlign w:val="center"/>
          </w:tcPr>
          <w:p w14:paraId="09DA9C0E">
            <w:pPr>
              <w:pStyle w:val="245"/>
              <w:rPr>
                <w:b/>
                <w:i w:val="0"/>
                <w:color w:val="auto"/>
              </w:rPr>
            </w:pPr>
            <w:r>
              <w:rPr>
                <w:rFonts w:hint="eastAsia"/>
                <w:b/>
                <w:i w:val="0"/>
                <w:color w:val="auto"/>
              </w:rPr>
              <w:t>恢复</w:t>
            </w:r>
          </w:p>
        </w:tc>
        <w:tc>
          <w:tcPr>
            <w:tcW w:w="447" w:type="pct"/>
            <w:shd w:val="clear" w:color="auto" w:fill="BEBEBE" w:themeFill="background1" w:themeFillShade="BF"/>
            <w:vAlign w:val="center"/>
          </w:tcPr>
          <w:p w14:paraId="5AE218AA">
            <w:pPr>
              <w:pStyle w:val="245"/>
              <w:rPr>
                <w:b/>
                <w:i w:val="0"/>
                <w:color w:val="auto"/>
              </w:rPr>
            </w:pPr>
            <w:r>
              <w:rPr>
                <w:rFonts w:hint="eastAsia"/>
                <w:b/>
                <w:i w:val="0"/>
                <w:color w:val="auto"/>
              </w:rPr>
              <w:t>销毁</w:t>
            </w:r>
          </w:p>
        </w:tc>
      </w:tr>
      <w:tr w14:paraId="7527B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18" w:type="pct"/>
            <w:vAlign w:val="center"/>
          </w:tcPr>
          <w:p w14:paraId="596C147B">
            <w:pPr>
              <w:pStyle w:val="245"/>
              <w:rPr>
                <w:color w:val="auto"/>
              </w:rPr>
            </w:pPr>
            <w:r>
              <w:rPr>
                <w:rFonts w:hint="eastAsia"/>
                <w:color w:val="auto"/>
              </w:rPr>
              <w:t>HMAC密钥</w:t>
            </w:r>
          </w:p>
        </w:tc>
        <w:tc>
          <w:tcPr>
            <w:tcW w:w="363" w:type="pct"/>
            <w:vAlign w:val="center"/>
          </w:tcPr>
          <w:p w14:paraId="084B9881">
            <w:pPr>
              <w:pStyle w:val="245"/>
              <w:rPr>
                <w:color w:val="auto"/>
              </w:rPr>
            </w:pPr>
            <w:r>
              <w:rPr>
                <w:rFonts w:hint="eastAsia"/>
                <w:color w:val="auto"/>
              </w:rPr>
              <w:t>SM3</w:t>
            </w:r>
          </w:p>
        </w:tc>
        <w:tc>
          <w:tcPr>
            <w:tcW w:w="384" w:type="pct"/>
            <w:vAlign w:val="center"/>
          </w:tcPr>
          <w:p w14:paraId="41AFB3FF">
            <w:pPr>
              <w:pStyle w:val="245"/>
              <w:rPr>
                <w:color w:val="auto"/>
              </w:rPr>
            </w:pPr>
            <w:r>
              <w:rPr>
                <w:rFonts w:hint="eastAsia"/>
                <w:color w:val="auto"/>
              </w:rPr>
              <w:t>由服务器密码机生成</w:t>
            </w:r>
          </w:p>
        </w:tc>
        <w:tc>
          <w:tcPr>
            <w:tcW w:w="260" w:type="pct"/>
            <w:vAlign w:val="center"/>
          </w:tcPr>
          <w:p w14:paraId="7668D06F">
            <w:pPr>
              <w:pStyle w:val="245"/>
              <w:rPr>
                <w:color w:val="auto"/>
              </w:rPr>
            </w:pPr>
            <w:r>
              <w:rPr>
                <w:rFonts w:hint="eastAsia"/>
                <w:color w:val="auto"/>
              </w:rPr>
              <w:t>不涉及</w:t>
            </w:r>
          </w:p>
        </w:tc>
        <w:tc>
          <w:tcPr>
            <w:tcW w:w="384" w:type="pct"/>
            <w:vAlign w:val="center"/>
          </w:tcPr>
          <w:p w14:paraId="59BBA5DA">
            <w:pPr>
              <w:pStyle w:val="245"/>
              <w:rPr>
                <w:color w:val="auto"/>
              </w:rPr>
            </w:pPr>
            <w:r>
              <w:rPr>
                <w:rFonts w:hint="eastAsia"/>
                <w:color w:val="auto"/>
              </w:rPr>
              <w:t>服务器密码机中存储</w:t>
            </w:r>
          </w:p>
        </w:tc>
        <w:tc>
          <w:tcPr>
            <w:tcW w:w="384" w:type="pct"/>
            <w:vAlign w:val="center"/>
          </w:tcPr>
          <w:p w14:paraId="79799E61">
            <w:pPr>
              <w:pStyle w:val="245"/>
              <w:rPr>
                <w:color w:val="auto"/>
              </w:rPr>
            </w:pPr>
            <w:r>
              <w:rPr>
                <w:rFonts w:hint="eastAsia"/>
                <w:color w:val="auto"/>
              </w:rPr>
              <w:t>服务器密码机中使用</w:t>
            </w:r>
          </w:p>
        </w:tc>
        <w:tc>
          <w:tcPr>
            <w:tcW w:w="447" w:type="pct"/>
            <w:vAlign w:val="center"/>
          </w:tcPr>
          <w:p w14:paraId="4FD0BF1E">
            <w:pPr>
              <w:pStyle w:val="245"/>
              <w:rPr>
                <w:color w:val="auto"/>
              </w:rPr>
            </w:pPr>
            <w:r>
              <w:rPr>
                <w:rFonts w:hint="eastAsia"/>
                <w:color w:val="auto"/>
              </w:rPr>
              <w:t>设备密钥管理实现密钥更新</w:t>
            </w:r>
          </w:p>
        </w:tc>
        <w:tc>
          <w:tcPr>
            <w:tcW w:w="447" w:type="pct"/>
            <w:vAlign w:val="center"/>
          </w:tcPr>
          <w:p w14:paraId="4FE8042C">
            <w:pPr>
              <w:pStyle w:val="245"/>
              <w:rPr>
                <w:color w:val="auto"/>
              </w:rPr>
            </w:pPr>
            <w:r>
              <w:rPr>
                <w:rFonts w:hint="eastAsia"/>
                <w:color w:val="auto"/>
              </w:rPr>
              <w:t>设备密钥管理实现密钥归档</w:t>
            </w:r>
          </w:p>
        </w:tc>
        <w:tc>
          <w:tcPr>
            <w:tcW w:w="456" w:type="pct"/>
            <w:vAlign w:val="center"/>
          </w:tcPr>
          <w:p w14:paraId="7C3824B6">
            <w:pPr>
              <w:pStyle w:val="245"/>
              <w:rPr>
                <w:color w:val="auto"/>
              </w:rPr>
            </w:pPr>
            <w:r>
              <w:rPr>
                <w:rFonts w:hint="eastAsia"/>
                <w:color w:val="auto"/>
              </w:rPr>
              <w:t>设备密钥管理实现密钥撤销</w:t>
            </w:r>
          </w:p>
        </w:tc>
        <w:tc>
          <w:tcPr>
            <w:tcW w:w="456" w:type="pct"/>
            <w:vAlign w:val="center"/>
          </w:tcPr>
          <w:p w14:paraId="3BCECA85">
            <w:pPr>
              <w:pStyle w:val="245"/>
              <w:rPr>
                <w:color w:val="auto"/>
              </w:rPr>
            </w:pPr>
            <w:r>
              <w:rPr>
                <w:rFonts w:hint="eastAsia"/>
                <w:color w:val="auto"/>
              </w:rPr>
              <w:t>设备密钥管理实现密钥备份</w:t>
            </w:r>
          </w:p>
        </w:tc>
        <w:tc>
          <w:tcPr>
            <w:tcW w:w="447" w:type="pct"/>
            <w:vAlign w:val="center"/>
          </w:tcPr>
          <w:p w14:paraId="3937EA1D">
            <w:pPr>
              <w:pStyle w:val="245"/>
              <w:rPr>
                <w:color w:val="auto"/>
              </w:rPr>
            </w:pPr>
            <w:r>
              <w:rPr>
                <w:rFonts w:hint="eastAsia"/>
                <w:color w:val="auto"/>
              </w:rPr>
              <w:t>设备密钥管理实现密钥恢复</w:t>
            </w:r>
          </w:p>
        </w:tc>
        <w:tc>
          <w:tcPr>
            <w:tcW w:w="447" w:type="pct"/>
            <w:vAlign w:val="center"/>
          </w:tcPr>
          <w:p w14:paraId="6B0A6E36">
            <w:pPr>
              <w:pStyle w:val="245"/>
              <w:rPr>
                <w:color w:val="auto"/>
              </w:rPr>
            </w:pPr>
            <w:r>
              <w:rPr>
                <w:rFonts w:hint="eastAsia"/>
                <w:color w:val="auto"/>
              </w:rPr>
              <w:t>设备密钥管理实现密钥销毁</w:t>
            </w:r>
          </w:p>
        </w:tc>
      </w:tr>
      <w:tr w14:paraId="45925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18" w:type="pct"/>
            <w:vAlign w:val="center"/>
          </w:tcPr>
          <w:p w14:paraId="1AFDE3DD">
            <w:pPr>
              <w:pStyle w:val="245"/>
              <w:rPr>
                <w:color w:val="auto"/>
              </w:rPr>
            </w:pPr>
            <w:r>
              <w:rPr>
                <w:rFonts w:hint="eastAsia"/>
                <w:color w:val="auto"/>
              </w:rPr>
              <w:t>VPN会话密钥</w:t>
            </w:r>
          </w:p>
        </w:tc>
        <w:tc>
          <w:tcPr>
            <w:tcW w:w="363" w:type="pct"/>
            <w:vAlign w:val="center"/>
          </w:tcPr>
          <w:p w14:paraId="72E15DC1">
            <w:pPr>
              <w:pStyle w:val="245"/>
              <w:rPr>
                <w:color w:val="auto"/>
              </w:rPr>
            </w:pPr>
            <w:r>
              <w:rPr>
                <w:rFonts w:hint="eastAsia"/>
                <w:color w:val="auto"/>
              </w:rPr>
              <w:t>SM4</w:t>
            </w:r>
          </w:p>
        </w:tc>
        <w:tc>
          <w:tcPr>
            <w:tcW w:w="384" w:type="pct"/>
            <w:vAlign w:val="center"/>
          </w:tcPr>
          <w:p w14:paraId="1680DC37">
            <w:pPr>
              <w:pStyle w:val="245"/>
              <w:rPr>
                <w:color w:val="auto"/>
              </w:rPr>
            </w:pPr>
            <w:r>
              <w:rPr>
                <w:rFonts w:hint="eastAsia"/>
                <w:color w:val="auto"/>
              </w:rPr>
              <w:t>动态</w:t>
            </w:r>
          </w:p>
          <w:p w14:paraId="4BA2578F">
            <w:pPr>
              <w:pStyle w:val="245"/>
              <w:rPr>
                <w:color w:val="auto"/>
              </w:rPr>
            </w:pPr>
            <w:r>
              <w:rPr>
                <w:rFonts w:hint="eastAsia"/>
                <w:color w:val="auto"/>
              </w:rPr>
              <w:t>协商</w:t>
            </w:r>
          </w:p>
        </w:tc>
        <w:tc>
          <w:tcPr>
            <w:tcW w:w="260" w:type="pct"/>
            <w:vAlign w:val="center"/>
          </w:tcPr>
          <w:p w14:paraId="5DC6E86C">
            <w:pPr>
              <w:pStyle w:val="245"/>
              <w:rPr>
                <w:color w:val="auto"/>
              </w:rPr>
            </w:pPr>
            <w:r>
              <w:rPr>
                <w:rFonts w:hint="eastAsia"/>
                <w:color w:val="auto"/>
              </w:rPr>
              <w:t>不涉及</w:t>
            </w:r>
          </w:p>
        </w:tc>
        <w:tc>
          <w:tcPr>
            <w:tcW w:w="384" w:type="pct"/>
            <w:vAlign w:val="center"/>
          </w:tcPr>
          <w:p w14:paraId="23052F9B">
            <w:pPr>
              <w:pStyle w:val="245"/>
              <w:rPr>
                <w:color w:val="auto"/>
              </w:rPr>
            </w:pPr>
            <w:r>
              <w:rPr>
                <w:rFonts w:hint="eastAsia"/>
                <w:color w:val="auto"/>
              </w:rPr>
              <w:t>不涉及</w:t>
            </w:r>
          </w:p>
        </w:tc>
        <w:tc>
          <w:tcPr>
            <w:tcW w:w="384" w:type="pct"/>
            <w:vAlign w:val="center"/>
          </w:tcPr>
          <w:p w14:paraId="235B861B">
            <w:pPr>
              <w:pStyle w:val="245"/>
              <w:rPr>
                <w:color w:val="auto"/>
              </w:rPr>
            </w:pPr>
            <w:r>
              <w:rPr>
                <w:rFonts w:hint="eastAsia"/>
                <w:color w:val="auto"/>
              </w:rPr>
              <w:t>不涉及</w:t>
            </w:r>
          </w:p>
        </w:tc>
        <w:tc>
          <w:tcPr>
            <w:tcW w:w="447" w:type="pct"/>
            <w:vAlign w:val="center"/>
          </w:tcPr>
          <w:p w14:paraId="71485D6E">
            <w:pPr>
              <w:pStyle w:val="245"/>
              <w:rPr>
                <w:color w:val="auto"/>
              </w:rPr>
            </w:pPr>
            <w:r>
              <w:rPr>
                <w:rFonts w:hint="eastAsia"/>
                <w:color w:val="auto"/>
              </w:rPr>
              <w:t>不涉及</w:t>
            </w:r>
          </w:p>
        </w:tc>
        <w:tc>
          <w:tcPr>
            <w:tcW w:w="447" w:type="pct"/>
            <w:vAlign w:val="center"/>
          </w:tcPr>
          <w:p w14:paraId="7288E7BB">
            <w:pPr>
              <w:pStyle w:val="245"/>
              <w:rPr>
                <w:color w:val="auto"/>
              </w:rPr>
            </w:pPr>
            <w:r>
              <w:rPr>
                <w:rFonts w:hint="eastAsia"/>
                <w:color w:val="auto"/>
              </w:rPr>
              <w:t>不涉及</w:t>
            </w:r>
          </w:p>
        </w:tc>
        <w:tc>
          <w:tcPr>
            <w:tcW w:w="456" w:type="pct"/>
            <w:vAlign w:val="center"/>
          </w:tcPr>
          <w:p w14:paraId="170E4DC2">
            <w:pPr>
              <w:pStyle w:val="245"/>
              <w:rPr>
                <w:color w:val="auto"/>
              </w:rPr>
            </w:pPr>
            <w:r>
              <w:rPr>
                <w:rFonts w:hint="eastAsia"/>
                <w:color w:val="auto"/>
              </w:rPr>
              <w:t>不涉及</w:t>
            </w:r>
          </w:p>
        </w:tc>
        <w:tc>
          <w:tcPr>
            <w:tcW w:w="456" w:type="pct"/>
            <w:vAlign w:val="center"/>
          </w:tcPr>
          <w:p w14:paraId="23D4854A">
            <w:pPr>
              <w:pStyle w:val="245"/>
              <w:rPr>
                <w:color w:val="auto"/>
              </w:rPr>
            </w:pPr>
            <w:r>
              <w:rPr>
                <w:rFonts w:hint="eastAsia"/>
                <w:color w:val="auto"/>
              </w:rPr>
              <w:t>不涉及</w:t>
            </w:r>
          </w:p>
        </w:tc>
        <w:tc>
          <w:tcPr>
            <w:tcW w:w="447" w:type="pct"/>
            <w:vAlign w:val="center"/>
          </w:tcPr>
          <w:p w14:paraId="2F42D674">
            <w:pPr>
              <w:pStyle w:val="245"/>
              <w:rPr>
                <w:color w:val="auto"/>
              </w:rPr>
            </w:pPr>
            <w:r>
              <w:rPr>
                <w:rFonts w:hint="eastAsia"/>
                <w:color w:val="auto"/>
              </w:rPr>
              <w:t>不涉及</w:t>
            </w:r>
          </w:p>
        </w:tc>
        <w:tc>
          <w:tcPr>
            <w:tcW w:w="447" w:type="pct"/>
            <w:vAlign w:val="center"/>
          </w:tcPr>
          <w:p w14:paraId="40406D82">
            <w:pPr>
              <w:pStyle w:val="245"/>
              <w:rPr>
                <w:color w:val="auto"/>
              </w:rPr>
            </w:pPr>
            <w:r>
              <w:rPr>
                <w:rFonts w:hint="eastAsia"/>
                <w:color w:val="auto"/>
              </w:rPr>
              <w:t>不涉及</w:t>
            </w:r>
          </w:p>
        </w:tc>
      </w:tr>
      <w:tr w14:paraId="2D56E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18" w:type="pct"/>
            <w:vAlign w:val="center"/>
          </w:tcPr>
          <w:p w14:paraId="33427766">
            <w:pPr>
              <w:pStyle w:val="245"/>
              <w:rPr>
                <w:color w:val="auto"/>
              </w:rPr>
            </w:pPr>
            <w:r>
              <w:rPr>
                <w:rFonts w:hint="eastAsia"/>
                <w:color w:val="auto"/>
              </w:rPr>
              <w:t>文件加解密密钥</w:t>
            </w:r>
          </w:p>
        </w:tc>
        <w:tc>
          <w:tcPr>
            <w:tcW w:w="363" w:type="pct"/>
            <w:vAlign w:val="center"/>
          </w:tcPr>
          <w:p w14:paraId="3CD5AA69">
            <w:pPr>
              <w:pStyle w:val="245"/>
              <w:rPr>
                <w:color w:val="auto"/>
              </w:rPr>
            </w:pPr>
            <w:r>
              <w:rPr>
                <w:rFonts w:hint="eastAsia"/>
                <w:color w:val="auto"/>
              </w:rPr>
              <w:t>SM4</w:t>
            </w:r>
          </w:p>
        </w:tc>
        <w:tc>
          <w:tcPr>
            <w:tcW w:w="384" w:type="pct"/>
            <w:vAlign w:val="center"/>
          </w:tcPr>
          <w:p w14:paraId="115B070C">
            <w:pPr>
              <w:pStyle w:val="245"/>
              <w:rPr>
                <w:color w:val="auto"/>
              </w:rPr>
            </w:pPr>
            <w:r>
              <w:rPr>
                <w:rFonts w:hint="eastAsia"/>
                <w:color w:val="auto"/>
              </w:rPr>
              <w:t>服务器密码机</w:t>
            </w:r>
          </w:p>
        </w:tc>
        <w:tc>
          <w:tcPr>
            <w:tcW w:w="260" w:type="pct"/>
            <w:vAlign w:val="center"/>
          </w:tcPr>
          <w:p w14:paraId="2D831F8E">
            <w:pPr>
              <w:pStyle w:val="245"/>
              <w:rPr>
                <w:color w:val="auto"/>
              </w:rPr>
            </w:pPr>
            <w:r>
              <w:rPr>
                <w:rFonts w:hint="eastAsia"/>
                <w:color w:val="auto"/>
              </w:rPr>
              <w:t>不涉及</w:t>
            </w:r>
          </w:p>
        </w:tc>
        <w:tc>
          <w:tcPr>
            <w:tcW w:w="384" w:type="pct"/>
            <w:vAlign w:val="center"/>
          </w:tcPr>
          <w:p w14:paraId="4330112A">
            <w:pPr>
              <w:pStyle w:val="245"/>
              <w:rPr>
                <w:color w:val="auto"/>
              </w:rPr>
            </w:pPr>
            <w:r>
              <w:rPr>
                <w:rFonts w:hint="eastAsia"/>
                <w:color w:val="auto"/>
              </w:rPr>
              <w:t>服务器密码机中存储</w:t>
            </w:r>
          </w:p>
        </w:tc>
        <w:tc>
          <w:tcPr>
            <w:tcW w:w="384" w:type="pct"/>
            <w:vAlign w:val="center"/>
          </w:tcPr>
          <w:p w14:paraId="20A2CA48">
            <w:pPr>
              <w:pStyle w:val="245"/>
              <w:rPr>
                <w:color w:val="auto"/>
              </w:rPr>
            </w:pPr>
            <w:r>
              <w:rPr>
                <w:rFonts w:hint="eastAsia"/>
                <w:color w:val="auto"/>
              </w:rPr>
              <w:t>服务器密码机中使用</w:t>
            </w:r>
          </w:p>
        </w:tc>
        <w:tc>
          <w:tcPr>
            <w:tcW w:w="447" w:type="pct"/>
            <w:vAlign w:val="center"/>
          </w:tcPr>
          <w:p w14:paraId="410119D6">
            <w:pPr>
              <w:pStyle w:val="245"/>
              <w:rPr>
                <w:color w:val="auto"/>
              </w:rPr>
            </w:pPr>
            <w:r>
              <w:rPr>
                <w:rFonts w:hint="eastAsia"/>
                <w:color w:val="auto"/>
              </w:rPr>
              <w:t>设备密钥管理实现密钥更新</w:t>
            </w:r>
          </w:p>
        </w:tc>
        <w:tc>
          <w:tcPr>
            <w:tcW w:w="447" w:type="pct"/>
            <w:vAlign w:val="center"/>
          </w:tcPr>
          <w:p w14:paraId="04241DFD">
            <w:pPr>
              <w:pStyle w:val="245"/>
              <w:rPr>
                <w:color w:val="auto"/>
              </w:rPr>
            </w:pPr>
            <w:r>
              <w:rPr>
                <w:rFonts w:hint="eastAsia"/>
                <w:color w:val="auto"/>
              </w:rPr>
              <w:t>设备密钥管理实现密钥归档</w:t>
            </w:r>
          </w:p>
        </w:tc>
        <w:tc>
          <w:tcPr>
            <w:tcW w:w="456" w:type="pct"/>
            <w:vAlign w:val="center"/>
          </w:tcPr>
          <w:p w14:paraId="69F5C34E">
            <w:pPr>
              <w:pStyle w:val="245"/>
              <w:rPr>
                <w:color w:val="auto"/>
              </w:rPr>
            </w:pPr>
            <w:r>
              <w:rPr>
                <w:rFonts w:hint="eastAsia"/>
                <w:color w:val="auto"/>
              </w:rPr>
              <w:t>设备密钥管理实现密钥撤销</w:t>
            </w:r>
          </w:p>
        </w:tc>
        <w:tc>
          <w:tcPr>
            <w:tcW w:w="456" w:type="pct"/>
            <w:vAlign w:val="center"/>
          </w:tcPr>
          <w:p w14:paraId="3F913739">
            <w:pPr>
              <w:pStyle w:val="245"/>
              <w:rPr>
                <w:color w:val="auto"/>
              </w:rPr>
            </w:pPr>
            <w:r>
              <w:rPr>
                <w:rFonts w:hint="eastAsia"/>
                <w:color w:val="auto"/>
              </w:rPr>
              <w:t>设备密钥管理实现密钥备份</w:t>
            </w:r>
          </w:p>
        </w:tc>
        <w:tc>
          <w:tcPr>
            <w:tcW w:w="447" w:type="pct"/>
            <w:vAlign w:val="center"/>
          </w:tcPr>
          <w:p w14:paraId="5CAE23D0">
            <w:pPr>
              <w:pStyle w:val="245"/>
              <w:rPr>
                <w:color w:val="auto"/>
              </w:rPr>
            </w:pPr>
            <w:r>
              <w:rPr>
                <w:rFonts w:hint="eastAsia"/>
                <w:color w:val="auto"/>
              </w:rPr>
              <w:t>设备密钥管理实现密钥恢复</w:t>
            </w:r>
          </w:p>
        </w:tc>
        <w:tc>
          <w:tcPr>
            <w:tcW w:w="447" w:type="pct"/>
            <w:vAlign w:val="center"/>
          </w:tcPr>
          <w:p w14:paraId="34037B18">
            <w:pPr>
              <w:pStyle w:val="245"/>
              <w:rPr>
                <w:color w:val="auto"/>
              </w:rPr>
            </w:pPr>
            <w:r>
              <w:rPr>
                <w:rFonts w:hint="eastAsia"/>
                <w:color w:val="auto"/>
              </w:rPr>
              <w:t>设备密钥管理实现密钥销毁</w:t>
            </w:r>
          </w:p>
        </w:tc>
      </w:tr>
    </w:tbl>
    <w:p w14:paraId="3C65C3E9">
      <w:pPr>
        <w:pStyle w:val="12"/>
        <w:bidi w:val="0"/>
        <w:ind w:left="864" w:leftChars="0" w:hanging="864" w:firstLineChars="0"/>
        <w:rPr>
          <w:color w:val="auto"/>
        </w:rPr>
      </w:pPr>
      <w:r>
        <w:rPr>
          <w:rFonts w:hint="eastAsia"/>
          <w:color w:val="auto"/>
        </w:rPr>
        <w:t>密码产品清单</w:t>
      </w:r>
    </w:p>
    <w:p w14:paraId="25A5AE6F">
      <w:pPr>
        <w:pStyle w:val="21"/>
        <w:rPr>
          <w:rFonts w:hint="eastAsia" w:eastAsia="宋体"/>
          <w:color w:val="auto"/>
          <w:lang w:eastAsia="zh-CN"/>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5</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color w:val="auto"/>
          <w:lang w:eastAsia="zh-CN"/>
        </w:rPr>
        <w:t>密码产品清单</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2"/>
        <w:gridCol w:w="1413"/>
        <w:gridCol w:w="4111"/>
        <w:gridCol w:w="963"/>
        <w:gridCol w:w="1070"/>
      </w:tblGrid>
      <w:tr w14:paraId="6588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blHeader/>
        </w:trPr>
        <w:tc>
          <w:tcPr>
            <w:tcW w:w="56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AAAA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829"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C61DB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硬件名称</w:t>
            </w:r>
          </w:p>
        </w:tc>
        <w:tc>
          <w:tcPr>
            <w:tcW w:w="241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660A4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56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9455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2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5B4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14:paraId="3753E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380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8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密码改造</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39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auto"/>
                <w:sz w:val="21"/>
                <w:szCs w:val="21"/>
                <w:u w:val="none"/>
              </w:rPr>
            </w:pP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620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auto"/>
                <w:sz w:val="21"/>
                <w:szCs w:val="21"/>
                <w:u w:val="none"/>
              </w:rPr>
            </w:pPr>
          </w:p>
        </w:tc>
      </w:tr>
      <w:tr w14:paraId="078CC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D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B81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数据库系统软件</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D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满足本项目应用系统需求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需选用通过国家安全可靠测评的国产数据库</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C4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07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75A0D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5"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91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1AA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签名验签服务器系统</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84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2U,飞腾，银河麒麟，1个管理口，1个HA口，4个千兆电口，4个SFP插槽，32G内存，4TB企业级硬盘,冗余电源,2个扩展槽位,SM2算法密钥最大生成速率：5000对/秒 SM2算法最大签名速率：8000次/秒 SM2算法最大验签速率：4000次/秒 SM3算法最大校验吞吐率：1300Mbps SM4算法最大加解密吞吐率：2100Mbps SM2算法制作数字信封最大速率：4000次/秒 SM2算法拆解数字信封最大速率：3000次/秒； 三年维保</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6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F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67BD6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4"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6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29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加密机</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DA0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2U,内存16G,机械硬盘1T或4T，6个千兆电口，4个千兆光口,冗余电源,2个扩展槽位,IPSEC国际算法吞吐率：1.5Gbps IPSEC国密算法吞吐率：300Mbps IPSEC VPN隧道数：11000 SSL吞吐率：1.5Gbps SSL最大并发用户数：6000 管理用户数：30000；含200个SSL VPN的客户端许可</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5C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F3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05B98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3"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89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C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智能密码钥匙</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80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具备信创《商用密码产品认证证书》，符合《党政机关信创应用功能信息类产品采购名录—商用密码产品》内的技术要求，具有身份认证、加/解密、签名/验签等功能， 支持SM2、SM3、SM4算法。</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2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2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个</w:t>
            </w:r>
          </w:p>
        </w:tc>
      </w:tr>
      <w:tr w14:paraId="6CA06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4"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8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77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服务器密码机系统</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1F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2U,飞腾，统信，1个管理口，1个HA口，4个千兆电口，4个SFP插槽，32G内存，4TB企业级硬盘,冗余电源,2个扩展槽位,SM2算法密钥最大生成速率：5000对/秒 SM2算法最大签名速率：8000次/秒 SM2算法最大验签速率：4000次/秒 SM3算法最大校验吞吐率：1300Mbps SM4算法最大加解密吞吐率：2100Mbps； 三年维保：</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5F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7A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4FF80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3"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05A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3C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协同签名系统</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A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2U,1个管理口，1个HA口，4个千兆电口，4个SFP插槽,冗余电源,2个扩展槽位,分量签名性能：3500次/秒； 验签性能：8000次/秒； 并发用户数：3500； 最大用户数：7000；</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4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6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台</w:t>
            </w:r>
          </w:p>
        </w:tc>
      </w:tr>
      <w:tr w14:paraId="08538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3"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D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85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国密安全浏览器</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AD1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在 Windows 平台支持 Chrome、IE 双核，在国产操作系统支持 Chrome 内核；支持系统环境检测；基于 SM2/SM3/SM4 密码算法套件的单双向 SSL 协议</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0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5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00404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0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3CC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个人证书</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47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提供个人证书，1个/3年</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5C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E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30FA8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7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C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设备证书</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D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提供设备证书，1个/3年</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13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5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3B5D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0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CD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商密站点证书</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4EF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提供商密加密算法的证书，1个/3年</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FF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8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个/3年</w:t>
            </w:r>
          </w:p>
        </w:tc>
      </w:tr>
      <w:tr w14:paraId="44E61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4E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0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密码咨询服务</w:t>
            </w:r>
          </w:p>
        </w:tc>
        <w:tc>
          <w:tcPr>
            <w:tcW w:w="2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14A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密码咨询服务，包含调研准备、差距分析、密码应用解决方案编制、密码管理体系建设、协助建设整改、协助测评等工作。</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A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2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人/30天</w:t>
            </w:r>
          </w:p>
        </w:tc>
      </w:tr>
      <w:bookmarkEnd w:id="30"/>
    </w:tbl>
    <w:p w14:paraId="2EB4C048">
      <w:pPr>
        <w:pStyle w:val="2"/>
        <w:rPr>
          <w:rFonts w:hint="eastAsia"/>
          <w:color w:val="auto"/>
          <w:lang w:val="en-US" w:eastAsia="zh-CN"/>
        </w:rPr>
      </w:pPr>
    </w:p>
    <w:p w14:paraId="51778951">
      <w:pPr>
        <w:pStyle w:val="2"/>
        <w:rPr>
          <w:rFonts w:hint="eastAsia"/>
          <w:color w:val="auto"/>
          <w:lang w:val="en-US" w:eastAsia="zh-CN"/>
        </w:rPr>
      </w:pPr>
    </w:p>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jaVu Sans">
    <w:altName w:val="Segoe Print"/>
    <w:panose1 w:val="020B0603030804020204"/>
    <w:charset w:val="00"/>
    <w:family w:val="roman"/>
    <w:pitch w:val="default"/>
    <w:sig w:usb0="00000000" w:usb1="00000000" w:usb2="0A246029" w:usb3="0400200C" w:csb0="600001FF" w:csb1="DFFF0000"/>
  </w:font>
  <w:font w:name="方正黑体_GBK">
    <w:altName w:val="微软雅黑"/>
    <w:panose1 w:val="02000000000000000000"/>
    <w:charset w:val="86"/>
    <w:family w:val="script"/>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8C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Songti SC">
    <w:altName w:val="宋体"/>
    <w:panose1 w:val="02010600040101010101"/>
    <w:charset w:val="86"/>
    <w:family w:val="auto"/>
    <w:pitch w:val="default"/>
    <w:sig w:usb0="00000000" w:usb1="00000000" w:usb2="00000010" w:usb3="00000000" w:csb0="0004009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600A">
    <w:pPr>
      <w:pStyle w:val="3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B578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6BCC4">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93C7C">
    <w:pPr>
      <w:pStyle w:val="34"/>
      <w:ind w:firstLine="420"/>
      <w:jc w:val="center"/>
      <w:rPr>
        <w:rFonts w:hint="eastAsia" w:ascii="宋体" w:hAnsi="宋体"/>
        <w:sz w:val="21"/>
        <w:szCs w:val="21"/>
      </w:rPr>
    </w:pPr>
  </w:p>
  <w:p w14:paraId="373CB81F">
    <w:pPr>
      <w:pStyle w:val="34"/>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309B">
    <w:pPr>
      <w:pStyle w:val="34"/>
      <w:ind w:firstLine="420"/>
      <w:jc w:val="center"/>
      <w:rPr>
        <w:rFonts w:hint="eastAsia"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303"/>
                          </w:sdtPr>
                          <w:sdtEndPr>
                            <w:rPr>
                              <w:rFonts w:ascii="宋体" w:hAnsi="宋体"/>
                              <w:sz w:val="21"/>
                              <w:szCs w:val="21"/>
                            </w:rPr>
                          </w:sdtEndPr>
                          <w:sdtContent>
                            <w:p w14:paraId="2D7A6124">
                              <w:pPr>
                                <w:pStyle w:val="34"/>
                                <w:ind w:firstLine="360"/>
                                <w:jc w:val="center"/>
                                <w:rPr>
                                  <w:rFonts w:hint="eastAsia"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2</w:t>
                              </w:r>
                              <w:r>
                                <w:rPr>
                                  <w:rFonts w:ascii="宋体" w:hAnsi="宋体"/>
                                  <w:sz w:val="21"/>
                                  <w:szCs w:val="21"/>
                                </w:rPr>
                                <w:fldChar w:fldCharType="end"/>
                              </w:r>
                            </w:p>
                          </w:sdtContent>
                        </w:sdt>
                        <w:p w14:paraId="798D78E0">
                          <w:pPr>
                            <w:pStyle w:val="2"/>
                            <w:ind w:firstLine="280"/>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sdt>
                    <w:sdtPr>
                      <w:id w:val="147457303"/>
                    </w:sdtPr>
                    <w:sdtEndPr>
                      <w:rPr>
                        <w:rFonts w:ascii="宋体" w:hAnsi="宋体"/>
                        <w:sz w:val="21"/>
                        <w:szCs w:val="21"/>
                      </w:rPr>
                    </w:sdtEndPr>
                    <w:sdtContent>
                      <w:p w14:paraId="2D7A6124">
                        <w:pPr>
                          <w:pStyle w:val="34"/>
                          <w:ind w:firstLine="360"/>
                          <w:jc w:val="center"/>
                          <w:rPr>
                            <w:rFonts w:hint="eastAsia"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2</w:t>
                        </w:r>
                        <w:r>
                          <w:rPr>
                            <w:rFonts w:ascii="宋体" w:hAnsi="宋体"/>
                            <w:sz w:val="21"/>
                            <w:szCs w:val="21"/>
                          </w:rPr>
                          <w:fldChar w:fldCharType="end"/>
                        </w:r>
                      </w:p>
                    </w:sdtContent>
                  </w:sdt>
                  <w:p w14:paraId="798D78E0">
                    <w:pPr>
                      <w:pStyle w:val="2"/>
                      <w:ind w:firstLine="280"/>
                      <w:rPr>
                        <w:rFonts w:hint="eastAsia"/>
                      </w:rPr>
                    </w:pPr>
                  </w:p>
                </w:txbxContent>
              </v:textbox>
            </v:shape>
          </w:pict>
        </mc:Fallback>
      </mc:AlternateContent>
    </w:r>
  </w:p>
  <w:p w14:paraId="710410BA">
    <w:pPr>
      <w:pStyle w:val="34"/>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796C">
    <w:pPr>
      <w:pStyle w:val="34"/>
      <w:ind w:firstLine="0" w:firstLineChars="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38730322"/>
                          </w:sdtPr>
                          <w:sdtContent>
                            <w:p w14:paraId="0A9BA0A6">
                              <w:pPr>
                                <w:pStyle w:val="34"/>
                                <w:ind w:firstLine="0" w:firstLineChars="0"/>
                                <w:jc w:val="center"/>
                              </w:pPr>
                              <w:r>
                                <w:fldChar w:fldCharType="begin"/>
                              </w:r>
                              <w:r>
                                <w:instrText xml:space="preserve">PAGE   \* MERGEFORMAT</w:instrText>
                              </w:r>
                              <w:r>
                                <w:fldChar w:fldCharType="separate"/>
                              </w:r>
                              <w:r>
                                <w:rPr>
                                  <w:lang w:val="zh-CN"/>
                                </w:rPr>
                                <w:t>2</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638730322"/>
                    </w:sdtPr>
                    <w:sdtContent>
                      <w:p w14:paraId="0A9BA0A6">
                        <w:pPr>
                          <w:pStyle w:val="34"/>
                          <w:ind w:firstLine="0" w:firstLineChars="0"/>
                          <w:jc w:val="center"/>
                        </w:pPr>
                        <w:r>
                          <w:fldChar w:fldCharType="begin"/>
                        </w:r>
                        <w:r>
                          <w:instrText xml:space="preserve">PAGE   \* MERGEFORMAT</w:instrText>
                        </w:r>
                        <w:r>
                          <w:fldChar w:fldCharType="separate"/>
                        </w:r>
                        <w:r>
                          <w:rPr>
                            <w:lang w:val="zh-CN"/>
                          </w:rPr>
                          <w:t>2</w:t>
                        </w:r>
                        <w: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2B841">
    <w:pPr>
      <w:pStyle w:val="3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E5A3F">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72197">
    <w:pPr>
      <w:ind w:left="560" w:firstLine="0" w:firstLineChars="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5399">
    <w:pPr>
      <w:pStyle w:val="35"/>
      <w:keepNext w:val="0"/>
      <w:keepLines w:val="0"/>
      <w:pageBreakBefore w:val="0"/>
      <w:widowControl w:val="0"/>
      <w:pBdr>
        <w:bottom w:val="single" w:color="auto" w:sz="6" w:space="0"/>
      </w:pBdr>
      <w:kinsoku/>
      <w:wordWrap/>
      <w:overflowPunct/>
      <w:topLinePunct w:val="0"/>
      <w:bidi w:val="0"/>
      <w:adjustRightInd/>
      <w:snapToGrid w:val="0"/>
      <w:spacing w:line="240" w:lineRule="auto"/>
      <w:ind w:firstLine="0" w:firstLineChars="0"/>
      <w:textAlignment w:val="auto"/>
    </w:pPr>
    <w:r>
      <w:rPr>
        <w:rFonts w:hint="eastAsia"/>
        <w:lang w:eastAsia="zh-CN"/>
      </w:rPr>
      <w:t>樟树市人民医院院内信息化建设项目</w:t>
    </w:r>
    <w:r>
      <w:rPr>
        <w:rFonts w:hint="eastAsia"/>
      </w:rPr>
      <w:t>技术方案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28F8E"/>
    <w:multiLevelType w:val="singleLevel"/>
    <w:tmpl w:val="80328F8E"/>
    <w:lvl w:ilvl="0" w:tentative="0">
      <w:start w:val="1"/>
      <w:numFmt w:val="decimal"/>
      <w:lvlText w:val="%1."/>
      <w:lvlJc w:val="left"/>
      <w:pPr>
        <w:ind w:left="425" w:hanging="425"/>
      </w:pPr>
      <w:rPr>
        <w:rFonts w:hint="default"/>
      </w:rPr>
    </w:lvl>
  </w:abstractNum>
  <w:abstractNum w:abstractNumId="1">
    <w:nsid w:val="8515D117"/>
    <w:multiLevelType w:val="singleLevel"/>
    <w:tmpl w:val="8515D117"/>
    <w:lvl w:ilvl="0" w:tentative="0">
      <w:start w:val="1"/>
      <w:numFmt w:val="decimal"/>
      <w:suff w:val="nothing"/>
      <w:lvlText w:val="%1．"/>
      <w:lvlJc w:val="left"/>
      <w:pPr>
        <w:ind w:left="0" w:firstLine="400"/>
      </w:pPr>
      <w:rPr>
        <w:rFonts w:hint="default"/>
      </w:rPr>
    </w:lvl>
  </w:abstractNum>
  <w:abstractNum w:abstractNumId="2">
    <w:nsid w:val="853C9294"/>
    <w:multiLevelType w:val="singleLevel"/>
    <w:tmpl w:val="853C9294"/>
    <w:lvl w:ilvl="0" w:tentative="0">
      <w:start w:val="1"/>
      <w:numFmt w:val="chineseCounting"/>
      <w:suff w:val="nothing"/>
      <w:lvlText w:val="%1、"/>
      <w:lvlJc w:val="left"/>
      <w:pPr>
        <w:ind w:left="0" w:firstLine="420"/>
      </w:pPr>
      <w:rPr>
        <w:rFonts w:hint="eastAsia"/>
      </w:rPr>
    </w:lvl>
  </w:abstractNum>
  <w:abstractNum w:abstractNumId="3">
    <w:nsid w:val="8BA18496"/>
    <w:multiLevelType w:val="multilevel"/>
    <w:tmpl w:val="8BA18496"/>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99D96F5F"/>
    <w:multiLevelType w:val="singleLevel"/>
    <w:tmpl w:val="99D96F5F"/>
    <w:lvl w:ilvl="0" w:tentative="0">
      <w:start w:val="1"/>
      <w:numFmt w:val="decimal"/>
      <w:suff w:val="space"/>
      <w:lvlText w:val="%1."/>
      <w:lvlJc w:val="left"/>
      <w:pPr>
        <w:ind w:left="425" w:hanging="425"/>
      </w:pPr>
      <w:rPr>
        <w:rFonts w:hint="default"/>
      </w:rPr>
    </w:lvl>
  </w:abstractNum>
  <w:abstractNum w:abstractNumId="5">
    <w:nsid w:val="9D25602A"/>
    <w:multiLevelType w:val="singleLevel"/>
    <w:tmpl w:val="9D25602A"/>
    <w:lvl w:ilvl="0" w:tentative="0">
      <w:start w:val="1"/>
      <w:numFmt w:val="decimal"/>
      <w:suff w:val="space"/>
      <w:lvlText w:val="%1."/>
      <w:lvlJc w:val="left"/>
      <w:pPr>
        <w:ind w:left="425" w:hanging="425"/>
      </w:pPr>
      <w:rPr>
        <w:rFonts w:hint="default"/>
      </w:rPr>
    </w:lvl>
  </w:abstractNum>
  <w:abstractNum w:abstractNumId="6">
    <w:nsid w:val="A2854032"/>
    <w:multiLevelType w:val="singleLevel"/>
    <w:tmpl w:val="A2854032"/>
    <w:lvl w:ilvl="0" w:tentative="0">
      <w:start w:val="1"/>
      <w:numFmt w:val="decimal"/>
      <w:lvlText w:val="%1."/>
      <w:lvlJc w:val="left"/>
      <w:pPr>
        <w:ind w:left="425" w:hanging="425"/>
      </w:pPr>
      <w:rPr>
        <w:rFonts w:hint="default"/>
      </w:rPr>
    </w:lvl>
  </w:abstractNum>
  <w:abstractNum w:abstractNumId="7">
    <w:nsid w:val="A8E19898"/>
    <w:multiLevelType w:val="multilevel"/>
    <w:tmpl w:val="A8E19898"/>
    <w:lvl w:ilvl="0" w:tentative="0">
      <w:start w:val="1"/>
      <w:numFmt w:val="decimal"/>
      <w:suff w:val="space"/>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BA6EFA65"/>
    <w:multiLevelType w:val="multilevel"/>
    <w:tmpl w:val="BA6EFA65"/>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BC74B2BE"/>
    <w:multiLevelType w:val="singleLevel"/>
    <w:tmpl w:val="BC74B2BE"/>
    <w:lvl w:ilvl="0" w:tentative="0">
      <w:start w:val="1"/>
      <w:numFmt w:val="decimal"/>
      <w:suff w:val="space"/>
      <w:lvlText w:val="%1."/>
      <w:lvlJc w:val="left"/>
      <w:pPr>
        <w:ind w:left="425" w:hanging="425"/>
      </w:pPr>
      <w:rPr>
        <w:rFonts w:hint="default"/>
      </w:rPr>
    </w:lvl>
  </w:abstractNum>
  <w:abstractNum w:abstractNumId="10">
    <w:nsid w:val="BDB31214"/>
    <w:multiLevelType w:val="singleLevel"/>
    <w:tmpl w:val="BDB31214"/>
    <w:lvl w:ilvl="0" w:tentative="0">
      <w:start w:val="1"/>
      <w:numFmt w:val="decimal"/>
      <w:suff w:val="space"/>
      <w:lvlText w:val="%1."/>
      <w:lvlJc w:val="left"/>
      <w:pPr>
        <w:ind w:left="425" w:hanging="425"/>
      </w:pPr>
      <w:rPr>
        <w:rFonts w:hint="default"/>
      </w:rPr>
    </w:lvl>
  </w:abstractNum>
  <w:abstractNum w:abstractNumId="11">
    <w:nsid w:val="C32CE39E"/>
    <w:multiLevelType w:val="multilevel"/>
    <w:tmpl w:val="C32CE39E"/>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C6AEC704"/>
    <w:multiLevelType w:val="multilevel"/>
    <w:tmpl w:val="C6AEC704"/>
    <w:lvl w:ilvl="0" w:tentative="0">
      <w:start w:val="1"/>
      <w:numFmt w:val="decimal"/>
      <w:suff w:val="nothing"/>
      <w:lvlText w:val="%1）"/>
      <w:lvlJc w:val="left"/>
      <w:pPr>
        <w:ind w:left="358"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CCE5F39F"/>
    <w:multiLevelType w:val="singleLevel"/>
    <w:tmpl w:val="CCE5F39F"/>
    <w:lvl w:ilvl="0" w:tentative="0">
      <w:start w:val="1"/>
      <w:numFmt w:val="chineseCounting"/>
      <w:suff w:val="nothing"/>
      <w:lvlText w:val="%1、"/>
      <w:lvlJc w:val="left"/>
      <w:pPr>
        <w:ind w:left="0" w:firstLine="420"/>
      </w:pPr>
      <w:rPr>
        <w:rFonts w:hint="eastAsia"/>
      </w:rPr>
    </w:lvl>
  </w:abstractNum>
  <w:abstractNum w:abstractNumId="14">
    <w:nsid w:val="D085CE27"/>
    <w:multiLevelType w:val="multilevel"/>
    <w:tmpl w:val="D085CE27"/>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D577954A"/>
    <w:multiLevelType w:val="singleLevel"/>
    <w:tmpl w:val="D577954A"/>
    <w:lvl w:ilvl="0" w:tentative="0">
      <w:start w:val="1"/>
      <w:numFmt w:val="decimal"/>
      <w:suff w:val="space"/>
      <w:lvlText w:val="%1."/>
      <w:lvlJc w:val="left"/>
      <w:pPr>
        <w:ind w:left="425" w:hanging="425"/>
      </w:pPr>
      <w:rPr>
        <w:rFonts w:hint="default"/>
      </w:rPr>
    </w:lvl>
  </w:abstractNum>
  <w:abstractNum w:abstractNumId="16">
    <w:nsid w:val="E6AA5133"/>
    <w:multiLevelType w:val="multilevel"/>
    <w:tmpl w:val="E6AA5133"/>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7">
    <w:nsid w:val="F2378FDD"/>
    <w:multiLevelType w:val="singleLevel"/>
    <w:tmpl w:val="F2378FDD"/>
    <w:lvl w:ilvl="0" w:tentative="0">
      <w:start w:val="1"/>
      <w:numFmt w:val="decimal"/>
      <w:lvlText w:val="%1."/>
      <w:lvlJc w:val="left"/>
      <w:pPr>
        <w:ind w:left="425" w:hanging="425"/>
      </w:pPr>
      <w:rPr>
        <w:rFonts w:hint="default"/>
      </w:rPr>
    </w:lvl>
  </w:abstractNum>
  <w:abstractNum w:abstractNumId="18">
    <w:nsid w:val="F4F1B0E3"/>
    <w:multiLevelType w:val="singleLevel"/>
    <w:tmpl w:val="F4F1B0E3"/>
    <w:lvl w:ilvl="0" w:tentative="0">
      <w:start w:val="1"/>
      <w:numFmt w:val="decimal"/>
      <w:suff w:val="space"/>
      <w:lvlText w:val="(%1)"/>
      <w:lvlJc w:val="left"/>
      <w:pPr>
        <w:ind w:left="425" w:hanging="425"/>
      </w:pPr>
      <w:rPr>
        <w:rFonts w:hint="default"/>
      </w:rPr>
    </w:lvl>
  </w:abstractNum>
  <w:abstractNum w:abstractNumId="19">
    <w:nsid w:val="F689643B"/>
    <w:multiLevelType w:val="multilevel"/>
    <w:tmpl w:val="F689643B"/>
    <w:lvl w:ilvl="0" w:tentative="0">
      <w:start w:val="0"/>
      <w:numFmt w:val="bullet"/>
      <w:lvlText w:val=""/>
      <w:lvlJc w:val="left"/>
      <w:pPr>
        <w:ind w:left="2660" w:hanging="36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3392" w:hanging="360"/>
      </w:pPr>
      <w:rPr>
        <w:rFonts w:hint="default"/>
        <w:lang w:val="zh-CN" w:eastAsia="zh-CN" w:bidi="zh-CN"/>
      </w:rPr>
    </w:lvl>
    <w:lvl w:ilvl="2" w:tentative="0">
      <w:start w:val="0"/>
      <w:numFmt w:val="bullet"/>
      <w:lvlText w:val="•"/>
      <w:lvlJc w:val="left"/>
      <w:pPr>
        <w:ind w:left="4125" w:hanging="360"/>
      </w:pPr>
      <w:rPr>
        <w:rFonts w:hint="default"/>
        <w:lang w:val="zh-CN" w:eastAsia="zh-CN" w:bidi="zh-CN"/>
      </w:rPr>
    </w:lvl>
    <w:lvl w:ilvl="3" w:tentative="0">
      <w:start w:val="0"/>
      <w:numFmt w:val="bullet"/>
      <w:lvlText w:val="•"/>
      <w:lvlJc w:val="left"/>
      <w:pPr>
        <w:ind w:left="4857" w:hanging="360"/>
      </w:pPr>
      <w:rPr>
        <w:rFonts w:hint="default"/>
        <w:lang w:val="zh-CN" w:eastAsia="zh-CN" w:bidi="zh-CN"/>
      </w:rPr>
    </w:lvl>
    <w:lvl w:ilvl="4" w:tentative="0">
      <w:start w:val="0"/>
      <w:numFmt w:val="bullet"/>
      <w:lvlText w:val="•"/>
      <w:lvlJc w:val="left"/>
      <w:pPr>
        <w:ind w:left="5590" w:hanging="360"/>
      </w:pPr>
      <w:rPr>
        <w:rFonts w:hint="default"/>
        <w:lang w:val="zh-CN" w:eastAsia="zh-CN" w:bidi="zh-CN"/>
      </w:rPr>
    </w:lvl>
    <w:lvl w:ilvl="5" w:tentative="0">
      <w:start w:val="0"/>
      <w:numFmt w:val="bullet"/>
      <w:lvlText w:val="•"/>
      <w:lvlJc w:val="left"/>
      <w:pPr>
        <w:ind w:left="6323" w:hanging="360"/>
      </w:pPr>
      <w:rPr>
        <w:rFonts w:hint="default"/>
        <w:lang w:val="zh-CN" w:eastAsia="zh-CN" w:bidi="zh-CN"/>
      </w:rPr>
    </w:lvl>
    <w:lvl w:ilvl="6" w:tentative="0">
      <w:start w:val="0"/>
      <w:numFmt w:val="bullet"/>
      <w:lvlText w:val="•"/>
      <w:lvlJc w:val="left"/>
      <w:pPr>
        <w:ind w:left="7055" w:hanging="360"/>
      </w:pPr>
      <w:rPr>
        <w:rFonts w:hint="default"/>
        <w:lang w:val="zh-CN" w:eastAsia="zh-CN" w:bidi="zh-CN"/>
      </w:rPr>
    </w:lvl>
    <w:lvl w:ilvl="7" w:tentative="0">
      <w:start w:val="0"/>
      <w:numFmt w:val="bullet"/>
      <w:lvlText w:val="•"/>
      <w:lvlJc w:val="left"/>
      <w:pPr>
        <w:ind w:left="7788" w:hanging="360"/>
      </w:pPr>
      <w:rPr>
        <w:rFonts w:hint="default"/>
        <w:lang w:val="zh-CN" w:eastAsia="zh-CN" w:bidi="zh-CN"/>
      </w:rPr>
    </w:lvl>
    <w:lvl w:ilvl="8" w:tentative="0">
      <w:start w:val="0"/>
      <w:numFmt w:val="bullet"/>
      <w:lvlText w:val="•"/>
      <w:lvlJc w:val="left"/>
      <w:pPr>
        <w:ind w:left="8520" w:hanging="360"/>
      </w:pPr>
      <w:rPr>
        <w:rFonts w:hint="default"/>
        <w:lang w:val="zh-CN" w:eastAsia="zh-CN" w:bidi="zh-CN"/>
      </w:rPr>
    </w:lvl>
  </w:abstractNum>
  <w:abstractNum w:abstractNumId="20">
    <w:nsid w:val="F7951BE0"/>
    <w:multiLevelType w:val="multilevel"/>
    <w:tmpl w:val="F7951BE0"/>
    <w:lvl w:ilvl="0" w:tentative="0">
      <w:start w:val="1"/>
      <w:numFmt w:val="decimal"/>
      <w:pStyle w:val="5"/>
      <w:suff w:val="space"/>
      <w:lvlText w:val="第%1章 "/>
      <w:lvlJc w:val="left"/>
      <w:pPr>
        <w:tabs>
          <w:tab w:val="left" w:pos="420"/>
        </w:tabs>
        <w:ind w:left="432" w:hanging="432"/>
      </w:pPr>
      <w:rPr>
        <w:rFonts w:hint="default"/>
      </w:rPr>
    </w:lvl>
    <w:lvl w:ilvl="1" w:tentative="0">
      <w:start w:val="1"/>
      <w:numFmt w:val="decimal"/>
      <w:pStyle w:val="6"/>
      <w:isLgl/>
      <w:suff w:val="space"/>
      <w:lvlText w:val="%1.%2"/>
      <w:lvlJc w:val="left"/>
      <w:pPr>
        <w:tabs>
          <w:tab w:val="left" w:pos="420"/>
        </w:tabs>
        <w:ind w:left="575" w:hanging="575"/>
      </w:pPr>
      <w:rPr>
        <w:rFonts w:hint="default" w:ascii="宋体" w:hAnsi="宋体"/>
        <w:bCs/>
        <w:color w:val="000000" w:themeColor="text1"/>
        <w:szCs w:val="36"/>
        <w14:textFill>
          <w14:solidFill>
            <w14:schemeClr w14:val="tx1"/>
          </w14:solidFill>
        </w14:textFill>
      </w:rPr>
    </w:lvl>
    <w:lvl w:ilvl="2" w:tentative="0">
      <w:start w:val="1"/>
      <w:numFmt w:val="decimal"/>
      <w:pStyle w:val="10"/>
      <w:isLgl/>
      <w:suff w:val="space"/>
      <w:lvlText w:val="%1.%2.%3"/>
      <w:lvlJc w:val="left"/>
      <w:pPr>
        <w:tabs>
          <w:tab w:val="left" w:pos="0"/>
        </w:tabs>
        <w:ind w:left="720" w:hanging="720"/>
      </w:pPr>
      <w:rPr>
        <w:rFonts w:hint="default" w:ascii="宋体" w:hAnsi="宋体"/>
        <w:bCs/>
        <w:color w:val="000000" w:themeColor="text1"/>
        <w:szCs w:val="36"/>
        <w14:textFill>
          <w14:solidFill>
            <w14:schemeClr w14:val="tx1"/>
          </w14:solidFill>
        </w14:textFill>
      </w:rPr>
    </w:lvl>
    <w:lvl w:ilvl="3" w:tentative="0">
      <w:start w:val="1"/>
      <w:numFmt w:val="decimal"/>
      <w:pStyle w:val="12"/>
      <w:isLgl/>
      <w:suff w:val="space"/>
      <w:lvlText w:val="%1.%2.%3.%4"/>
      <w:lvlJc w:val="left"/>
      <w:pPr>
        <w:tabs>
          <w:tab w:val="left" w:pos="420"/>
        </w:tabs>
        <w:ind w:left="864" w:hanging="864"/>
      </w:pPr>
      <w:rPr>
        <w:rFonts w:hint="default" w:ascii="宋体" w:hAnsi="宋体"/>
        <w:bCs/>
        <w:color w:val="000000" w:themeColor="text1"/>
        <w:szCs w:val="36"/>
        <w14:textFill>
          <w14:solidFill>
            <w14:schemeClr w14:val="tx1"/>
          </w14:solidFill>
        </w14:textFill>
      </w:rPr>
    </w:lvl>
    <w:lvl w:ilvl="4" w:tentative="0">
      <w:start w:val="1"/>
      <w:numFmt w:val="decimal"/>
      <w:pStyle w:val="13"/>
      <w:isLgl/>
      <w:suff w:val="space"/>
      <w:lvlText w:val="%1.%2.%3.%4.%5"/>
      <w:lvlJc w:val="left"/>
      <w:pPr>
        <w:tabs>
          <w:tab w:val="left" w:pos="420"/>
        </w:tabs>
        <w:ind w:left="1008" w:hanging="1008"/>
      </w:pPr>
      <w:rPr>
        <w:rFonts w:hint="eastAsia"/>
      </w:rPr>
    </w:lvl>
    <w:lvl w:ilvl="5" w:tentative="0">
      <w:start w:val="1"/>
      <w:numFmt w:val="decimal"/>
      <w:pStyle w:val="14"/>
      <w:isLgl/>
      <w:suff w:val="space"/>
      <w:lvlText w:val="%1.%2.%3.%4.%5.%6"/>
      <w:lvlJc w:val="left"/>
      <w:pPr>
        <w:tabs>
          <w:tab w:val="left" w:pos="420"/>
        </w:tabs>
        <w:ind w:left="1871" w:hanging="1151"/>
      </w:pPr>
      <w:rPr>
        <w:rFonts w:hint="eastAsia"/>
      </w:rPr>
    </w:lvl>
    <w:lvl w:ilvl="6" w:tentative="0">
      <w:start w:val="1"/>
      <w:numFmt w:val="decimal"/>
      <w:pStyle w:val="15"/>
      <w:isLgl/>
      <w:suff w:val="space"/>
      <w:lvlText w:val="%1.%2.%3.%4.%5.%6.%7"/>
      <w:lvlJc w:val="left"/>
      <w:pPr>
        <w:tabs>
          <w:tab w:val="left" w:pos="420"/>
        </w:tabs>
        <w:ind w:left="1296" w:hanging="1296"/>
      </w:pPr>
      <w:rPr>
        <w:rFonts w:hint="eastAsia"/>
      </w:rPr>
    </w:lvl>
    <w:lvl w:ilvl="7" w:tentative="0">
      <w:start w:val="1"/>
      <w:numFmt w:val="decimal"/>
      <w:pStyle w:val="16"/>
      <w:isLgl/>
      <w:lvlText w:val="%1.%2.%3.%4.%5.%6.%7.%8."/>
      <w:lvlJc w:val="left"/>
      <w:pPr>
        <w:ind w:left="1440" w:hanging="1440"/>
      </w:pPr>
      <w:rPr>
        <w:rFonts w:hint="eastAsia"/>
      </w:rPr>
    </w:lvl>
    <w:lvl w:ilvl="8" w:tentative="0">
      <w:start w:val="1"/>
      <w:numFmt w:val="decimal"/>
      <w:pStyle w:val="17"/>
      <w:isLgl/>
      <w:lvlText w:val="%1.%2.%3.%4.%5.%6.%7.%8.%9."/>
      <w:lvlJc w:val="left"/>
      <w:pPr>
        <w:ind w:left="1583" w:hanging="1583"/>
      </w:pPr>
      <w:rPr>
        <w:rFonts w:hint="eastAsia"/>
      </w:rPr>
    </w:lvl>
  </w:abstractNum>
  <w:abstractNum w:abstractNumId="21">
    <w:nsid w:val="00000005"/>
    <w:multiLevelType w:val="multilevel"/>
    <w:tmpl w:val="00000005"/>
    <w:lvl w:ilvl="0" w:tentative="0">
      <w:start w:val="1"/>
      <w:numFmt w:val="bullet"/>
      <w:lvlText w:val=""/>
      <w:lvlJc w:val="left"/>
      <w:pPr>
        <w:ind w:left="845"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0000002D"/>
    <w:multiLevelType w:val="multilevel"/>
    <w:tmpl w:val="0000002D"/>
    <w:lvl w:ilvl="0" w:tentative="0">
      <w:start w:val="1"/>
      <w:numFmt w:val="decimal"/>
      <w:pStyle w:val="336"/>
      <w:lvlText w:val="第%1章"/>
      <w:lvlJc w:val="left"/>
      <w:pPr>
        <w:ind w:left="420" w:hanging="420"/>
      </w:pPr>
      <w:rPr>
        <w:rFonts w:hint="eastAsia"/>
        <w:sz w:val="36"/>
        <w:szCs w:val="36"/>
      </w:rPr>
    </w:lvl>
    <w:lvl w:ilvl="1" w:tentative="0">
      <w:start w:val="1"/>
      <w:numFmt w:val="decimal"/>
      <w:pStyle w:val="334"/>
      <w:lvlText w:val="%1.%2."/>
      <w:lvlJc w:val="left"/>
      <w:pPr>
        <w:ind w:left="567" w:hanging="567"/>
      </w:pPr>
      <w:rPr>
        <w:b/>
      </w:rPr>
    </w:lvl>
    <w:lvl w:ilvl="2" w:tentative="0">
      <w:start w:val="1"/>
      <w:numFmt w:val="decimal"/>
      <w:lvlText w:val="%1.%2.%3."/>
      <w:lvlJc w:val="left"/>
      <w:pPr>
        <w:ind w:left="709" w:hanging="709"/>
      </w:pPr>
      <w:rPr>
        <w:b/>
      </w:rPr>
    </w:lvl>
    <w:lvl w:ilvl="3" w:tentative="0">
      <w:start w:val="1"/>
      <w:numFmt w:val="decimal"/>
      <w:pStyle w:val="335"/>
      <w:lvlText w:val="%1.%2.%3.%4."/>
      <w:lvlJc w:val="left"/>
      <w:pPr>
        <w:ind w:left="851" w:hanging="851"/>
      </w:pPr>
      <w:rPr>
        <w:rFonts w:ascii="宋体" w:hAnsi="宋体" w:eastAsia="宋体"/>
        <w:b/>
      </w:rPr>
    </w:lvl>
    <w:lvl w:ilvl="4" w:tentative="0">
      <w:start w:val="1"/>
      <w:numFmt w:val="decimal"/>
      <w:lvlText w:val="%1.%2.%3.%4.%5."/>
      <w:lvlJc w:val="left"/>
      <w:pPr>
        <w:ind w:left="3119" w:hanging="992"/>
      </w:pPr>
      <w:rPr>
        <w:rFonts w:ascii="宋体" w:hAnsi="宋体" w:eastAsia="宋体"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3">
    <w:nsid w:val="00E1776B"/>
    <w:multiLevelType w:val="multilevel"/>
    <w:tmpl w:val="00E1776B"/>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01FC42CC"/>
    <w:multiLevelType w:val="multilevel"/>
    <w:tmpl w:val="01FC42CC"/>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5">
    <w:nsid w:val="029B280B"/>
    <w:multiLevelType w:val="multilevel"/>
    <w:tmpl w:val="029B280B"/>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6">
    <w:nsid w:val="02C0FD15"/>
    <w:multiLevelType w:val="singleLevel"/>
    <w:tmpl w:val="02C0FD15"/>
    <w:lvl w:ilvl="0" w:tentative="0">
      <w:start w:val="1"/>
      <w:numFmt w:val="chineseCounting"/>
      <w:suff w:val="nothing"/>
      <w:lvlText w:val="%1、"/>
      <w:lvlJc w:val="left"/>
      <w:pPr>
        <w:ind w:left="0" w:firstLine="420"/>
      </w:pPr>
      <w:rPr>
        <w:rFonts w:hint="eastAsia"/>
      </w:rPr>
    </w:lvl>
  </w:abstractNum>
  <w:abstractNum w:abstractNumId="27">
    <w:nsid w:val="03A21987"/>
    <w:multiLevelType w:val="multilevel"/>
    <w:tmpl w:val="03A2198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03ED3D45"/>
    <w:multiLevelType w:val="multilevel"/>
    <w:tmpl w:val="03ED3D4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04212429"/>
    <w:multiLevelType w:val="multilevel"/>
    <w:tmpl w:val="04212429"/>
    <w:lvl w:ilvl="0" w:tentative="0">
      <w:start w:val="1"/>
      <w:numFmt w:val="decimal"/>
      <w:suff w:val="nothing"/>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30">
    <w:nsid w:val="0491524A"/>
    <w:multiLevelType w:val="multilevel"/>
    <w:tmpl w:val="0491524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05E83C17"/>
    <w:multiLevelType w:val="multilevel"/>
    <w:tmpl w:val="05E83C17"/>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06017DDB"/>
    <w:multiLevelType w:val="multilevel"/>
    <w:tmpl w:val="06017DDB"/>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3">
    <w:nsid w:val="07347FC8"/>
    <w:multiLevelType w:val="multilevel"/>
    <w:tmpl w:val="07347F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85142FD"/>
    <w:multiLevelType w:val="multilevel"/>
    <w:tmpl w:val="085142FD"/>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08C82356"/>
    <w:multiLevelType w:val="multilevel"/>
    <w:tmpl w:val="08C82356"/>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36">
    <w:nsid w:val="08FF4B07"/>
    <w:multiLevelType w:val="multilevel"/>
    <w:tmpl w:val="08FF4B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0A12171D"/>
    <w:multiLevelType w:val="singleLevel"/>
    <w:tmpl w:val="0A12171D"/>
    <w:lvl w:ilvl="0" w:tentative="0">
      <w:start w:val="1"/>
      <w:numFmt w:val="decimal"/>
      <w:lvlText w:val="%1."/>
      <w:lvlJc w:val="left"/>
      <w:pPr>
        <w:tabs>
          <w:tab w:val="left" w:pos="312"/>
        </w:tabs>
      </w:pPr>
    </w:lvl>
  </w:abstractNum>
  <w:abstractNum w:abstractNumId="38">
    <w:nsid w:val="0A533BD4"/>
    <w:multiLevelType w:val="multilevel"/>
    <w:tmpl w:val="0A533BD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9">
    <w:nsid w:val="0AC9018D"/>
    <w:multiLevelType w:val="multilevel"/>
    <w:tmpl w:val="0AC9018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B335F0E"/>
    <w:multiLevelType w:val="multilevel"/>
    <w:tmpl w:val="0B335F0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0B58B931"/>
    <w:multiLevelType w:val="singleLevel"/>
    <w:tmpl w:val="0B58B931"/>
    <w:lvl w:ilvl="0" w:tentative="0">
      <w:start w:val="1"/>
      <w:numFmt w:val="decimal"/>
      <w:suff w:val="space"/>
      <w:lvlText w:val="%1."/>
      <w:lvlJc w:val="left"/>
      <w:pPr>
        <w:ind w:left="425" w:hanging="425"/>
      </w:pPr>
      <w:rPr>
        <w:rFonts w:hint="default"/>
      </w:rPr>
    </w:lvl>
  </w:abstractNum>
  <w:abstractNum w:abstractNumId="42">
    <w:nsid w:val="0BA030C9"/>
    <w:multiLevelType w:val="multilevel"/>
    <w:tmpl w:val="0BA030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0BB124FF"/>
    <w:multiLevelType w:val="multilevel"/>
    <w:tmpl w:val="0BB124F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0BE62017"/>
    <w:multiLevelType w:val="multilevel"/>
    <w:tmpl w:val="0BE620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0C3B5FD7"/>
    <w:multiLevelType w:val="multilevel"/>
    <w:tmpl w:val="0C3B5FD7"/>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6">
    <w:nsid w:val="0CB40912"/>
    <w:multiLevelType w:val="multilevel"/>
    <w:tmpl w:val="0CB40912"/>
    <w:lvl w:ilvl="0" w:tentative="0">
      <w:start w:val="1"/>
      <w:numFmt w:val="chineseCountingThousand"/>
      <w:pStyle w:val="412"/>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7">
    <w:nsid w:val="0D1647E6"/>
    <w:multiLevelType w:val="multilevel"/>
    <w:tmpl w:val="0D1647E6"/>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48">
    <w:nsid w:val="0D4C442C"/>
    <w:multiLevelType w:val="multilevel"/>
    <w:tmpl w:val="0D4C442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0D5943B4"/>
    <w:multiLevelType w:val="multilevel"/>
    <w:tmpl w:val="0D5943B4"/>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0">
    <w:nsid w:val="0E475B97"/>
    <w:multiLevelType w:val="multilevel"/>
    <w:tmpl w:val="0E475B97"/>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1">
    <w:nsid w:val="0E4800CA"/>
    <w:multiLevelType w:val="multilevel"/>
    <w:tmpl w:val="0E4800C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0E516045"/>
    <w:multiLevelType w:val="multilevel"/>
    <w:tmpl w:val="0E516045"/>
    <w:lvl w:ilvl="0" w:tentative="0">
      <w:start w:val="1"/>
      <w:numFmt w:val="decimal"/>
      <w:pStyle w:val="406"/>
      <w:lvlText w:val="3.1.%1"/>
      <w:lvlJc w:val="left"/>
      <w:pPr>
        <w:ind w:left="640" w:hanging="440"/>
      </w:pPr>
      <w:rPr>
        <w:rFonts w:hint="eastAsia" w:ascii="宋体" w:hAnsi="宋体" w:eastAsia="宋体"/>
        <w:b/>
        <w:bCs/>
        <w:sz w:val="28"/>
        <w:szCs w:val="24"/>
      </w:rPr>
    </w:lvl>
    <w:lvl w:ilvl="1" w:tentative="0">
      <w:start w:val="1"/>
      <w:numFmt w:val="lowerLetter"/>
      <w:lvlText w:val="%2)"/>
      <w:lvlJc w:val="left"/>
      <w:pPr>
        <w:ind w:left="1080" w:hanging="440"/>
      </w:pPr>
    </w:lvl>
    <w:lvl w:ilvl="2" w:tentative="0">
      <w:start w:val="1"/>
      <w:numFmt w:val="lowerRoman"/>
      <w:lvlText w:val="%3."/>
      <w:lvlJc w:val="right"/>
      <w:pPr>
        <w:ind w:left="1520" w:hanging="440"/>
      </w:pPr>
    </w:lvl>
    <w:lvl w:ilvl="3" w:tentative="0">
      <w:start w:val="1"/>
      <w:numFmt w:val="decimal"/>
      <w:lvlText w:val="%4."/>
      <w:lvlJc w:val="left"/>
      <w:pPr>
        <w:ind w:left="1960" w:hanging="440"/>
      </w:pPr>
    </w:lvl>
    <w:lvl w:ilvl="4" w:tentative="0">
      <w:start w:val="1"/>
      <w:numFmt w:val="lowerLetter"/>
      <w:lvlText w:val="%5)"/>
      <w:lvlJc w:val="left"/>
      <w:pPr>
        <w:ind w:left="2400" w:hanging="440"/>
      </w:pPr>
    </w:lvl>
    <w:lvl w:ilvl="5" w:tentative="0">
      <w:start w:val="1"/>
      <w:numFmt w:val="lowerRoman"/>
      <w:lvlText w:val="%6."/>
      <w:lvlJc w:val="right"/>
      <w:pPr>
        <w:ind w:left="2840" w:hanging="440"/>
      </w:pPr>
    </w:lvl>
    <w:lvl w:ilvl="6" w:tentative="0">
      <w:start w:val="1"/>
      <w:numFmt w:val="decimal"/>
      <w:lvlText w:val="%7."/>
      <w:lvlJc w:val="left"/>
      <w:pPr>
        <w:ind w:left="3280" w:hanging="440"/>
      </w:pPr>
    </w:lvl>
    <w:lvl w:ilvl="7" w:tentative="0">
      <w:start w:val="1"/>
      <w:numFmt w:val="lowerLetter"/>
      <w:lvlText w:val="%8)"/>
      <w:lvlJc w:val="left"/>
      <w:pPr>
        <w:ind w:left="3720" w:hanging="440"/>
      </w:pPr>
    </w:lvl>
    <w:lvl w:ilvl="8" w:tentative="0">
      <w:start w:val="1"/>
      <w:numFmt w:val="lowerRoman"/>
      <w:lvlText w:val="%9."/>
      <w:lvlJc w:val="right"/>
      <w:pPr>
        <w:ind w:left="4160" w:hanging="440"/>
      </w:pPr>
    </w:lvl>
  </w:abstractNum>
  <w:abstractNum w:abstractNumId="53">
    <w:nsid w:val="0E5F169E"/>
    <w:multiLevelType w:val="multilevel"/>
    <w:tmpl w:val="0E5F169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0F031930"/>
    <w:multiLevelType w:val="multilevel"/>
    <w:tmpl w:val="0F0319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0F206057"/>
    <w:multiLevelType w:val="multilevel"/>
    <w:tmpl w:val="0F20605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6">
    <w:nsid w:val="0F8C4646"/>
    <w:multiLevelType w:val="singleLevel"/>
    <w:tmpl w:val="0F8C4646"/>
    <w:lvl w:ilvl="0" w:tentative="0">
      <w:start w:val="1"/>
      <w:numFmt w:val="decimal"/>
      <w:suff w:val="nothing"/>
      <w:lvlText w:val="%1、"/>
      <w:lvlJc w:val="left"/>
    </w:lvl>
  </w:abstractNum>
  <w:abstractNum w:abstractNumId="57">
    <w:nsid w:val="0FC93885"/>
    <w:multiLevelType w:val="multilevel"/>
    <w:tmpl w:val="0FC93885"/>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8">
    <w:nsid w:val="0FED250C"/>
    <w:multiLevelType w:val="multilevel"/>
    <w:tmpl w:val="0FED250C"/>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9">
    <w:nsid w:val="0FFFFF7C"/>
    <w:multiLevelType w:val="singleLevel"/>
    <w:tmpl w:val="0FFFFF7C"/>
    <w:lvl w:ilvl="0" w:tentative="0">
      <w:start w:val="1"/>
      <w:numFmt w:val="decimal"/>
      <w:pStyle w:val="26"/>
      <w:lvlText w:val="%1."/>
      <w:lvlJc w:val="left"/>
      <w:pPr>
        <w:tabs>
          <w:tab w:val="left" w:pos="2040"/>
        </w:tabs>
        <w:ind w:left="2040" w:hanging="360"/>
      </w:pPr>
    </w:lvl>
  </w:abstractNum>
  <w:abstractNum w:abstractNumId="60">
    <w:nsid w:val="10001421"/>
    <w:multiLevelType w:val="multilevel"/>
    <w:tmpl w:val="1000142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1">
    <w:nsid w:val="10332D05"/>
    <w:multiLevelType w:val="multilevel"/>
    <w:tmpl w:val="10332D0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10900F87"/>
    <w:multiLevelType w:val="multilevel"/>
    <w:tmpl w:val="10900F8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10930F39"/>
    <w:multiLevelType w:val="multilevel"/>
    <w:tmpl w:val="10930F3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4">
    <w:nsid w:val="11174783"/>
    <w:multiLevelType w:val="multilevel"/>
    <w:tmpl w:val="11174783"/>
    <w:lvl w:ilvl="0" w:tentative="0">
      <w:start w:val="1"/>
      <w:numFmt w:val="decimal"/>
      <w:suff w:val="nothing"/>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65">
    <w:nsid w:val="11AB7A5B"/>
    <w:multiLevelType w:val="multilevel"/>
    <w:tmpl w:val="11AB7A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1217386A"/>
    <w:multiLevelType w:val="multilevel"/>
    <w:tmpl w:val="1217386A"/>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12306560"/>
    <w:multiLevelType w:val="multilevel"/>
    <w:tmpl w:val="12306560"/>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8">
    <w:nsid w:val="13C821EB"/>
    <w:multiLevelType w:val="multilevel"/>
    <w:tmpl w:val="13C821E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9">
    <w:nsid w:val="146C352A"/>
    <w:multiLevelType w:val="multilevel"/>
    <w:tmpl w:val="146C352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0">
    <w:nsid w:val="14955A10"/>
    <w:multiLevelType w:val="multilevel"/>
    <w:tmpl w:val="14955A10"/>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1">
    <w:nsid w:val="15BC6FE6"/>
    <w:multiLevelType w:val="multilevel"/>
    <w:tmpl w:val="15BC6FE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2">
    <w:nsid w:val="16225D8E"/>
    <w:multiLevelType w:val="multilevel"/>
    <w:tmpl w:val="16225D8E"/>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3">
    <w:nsid w:val="163E725E"/>
    <w:multiLevelType w:val="multilevel"/>
    <w:tmpl w:val="163E725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4">
    <w:nsid w:val="17A42E21"/>
    <w:multiLevelType w:val="multilevel"/>
    <w:tmpl w:val="17A42E21"/>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5">
    <w:nsid w:val="17B9491B"/>
    <w:multiLevelType w:val="multilevel"/>
    <w:tmpl w:val="17B9491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19EE7808"/>
    <w:multiLevelType w:val="multilevel"/>
    <w:tmpl w:val="19EE7808"/>
    <w:lvl w:ilvl="0" w:tentative="0">
      <w:start w:val="1"/>
      <w:numFmt w:val="bullet"/>
      <w:pStyle w:val="339"/>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77">
    <w:nsid w:val="1A032DBE"/>
    <w:multiLevelType w:val="multilevel"/>
    <w:tmpl w:val="1A032DB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1A6B2A50"/>
    <w:multiLevelType w:val="multilevel"/>
    <w:tmpl w:val="1A6B2A50"/>
    <w:lvl w:ilvl="0" w:tentative="0">
      <w:start w:val="1"/>
      <w:numFmt w:val="decimal"/>
      <w:suff w:val="nothing"/>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79">
    <w:nsid w:val="1B233DE0"/>
    <w:multiLevelType w:val="multilevel"/>
    <w:tmpl w:val="1B233DE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0">
    <w:nsid w:val="1B4859B5"/>
    <w:multiLevelType w:val="multilevel"/>
    <w:tmpl w:val="1B4859B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1">
    <w:nsid w:val="1BC17247"/>
    <w:multiLevelType w:val="multilevel"/>
    <w:tmpl w:val="1BC17247"/>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2">
    <w:nsid w:val="1BCD459D"/>
    <w:multiLevelType w:val="multilevel"/>
    <w:tmpl w:val="1BCD459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1CE3583D"/>
    <w:multiLevelType w:val="multilevel"/>
    <w:tmpl w:val="1CE3583D"/>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4">
    <w:nsid w:val="1F704B54"/>
    <w:multiLevelType w:val="multilevel"/>
    <w:tmpl w:val="1F704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5">
    <w:nsid w:val="20D8304C"/>
    <w:multiLevelType w:val="multilevel"/>
    <w:tmpl w:val="20D8304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212D6AFA"/>
    <w:multiLevelType w:val="multilevel"/>
    <w:tmpl w:val="212D6AF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7">
    <w:nsid w:val="21AE49CC"/>
    <w:multiLevelType w:val="multilevel"/>
    <w:tmpl w:val="21AE49CC"/>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8">
    <w:nsid w:val="21B78D15"/>
    <w:multiLevelType w:val="singleLevel"/>
    <w:tmpl w:val="21B78D15"/>
    <w:lvl w:ilvl="0" w:tentative="0">
      <w:start w:val="1"/>
      <w:numFmt w:val="decimal"/>
      <w:suff w:val="space"/>
      <w:lvlText w:val="%1."/>
      <w:lvlJc w:val="left"/>
    </w:lvl>
  </w:abstractNum>
  <w:abstractNum w:abstractNumId="89">
    <w:nsid w:val="230720C9"/>
    <w:multiLevelType w:val="singleLevel"/>
    <w:tmpl w:val="230720C9"/>
    <w:lvl w:ilvl="0" w:tentative="0">
      <w:start w:val="1"/>
      <w:numFmt w:val="decimal"/>
      <w:lvlText w:val="%1."/>
      <w:lvlJc w:val="left"/>
      <w:pPr>
        <w:ind w:left="425" w:hanging="425"/>
      </w:pPr>
      <w:rPr>
        <w:rFonts w:hint="default"/>
      </w:rPr>
    </w:lvl>
  </w:abstractNum>
  <w:abstractNum w:abstractNumId="90">
    <w:nsid w:val="23326BF5"/>
    <w:multiLevelType w:val="multilevel"/>
    <w:tmpl w:val="23326B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238D0FD0"/>
    <w:multiLevelType w:val="multilevel"/>
    <w:tmpl w:val="238D0FD0"/>
    <w:lvl w:ilvl="0" w:tentative="0">
      <w:start w:val="1"/>
      <w:numFmt w:val="decimal"/>
      <w:suff w:val="nothing"/>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92">
    <w:nsid w:val="23E42141"/>
    <w:multiLevelType w:val="multilevel"/>
    <w:tmpl w:val="23E4214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3">
    <w:nsid w:val="247AA7C1"/>
    <w:multiLevelType w:val="singleLevel"/>
    <w:tmpl w:val="247AA7C1"/>
    <w:lvl w:ilvl="0" w:tentative="0">
      <w:start w:val="1"/>
      <w:numFmt w:val="decimal"/>
      <w:lvlText w:val="%1."/>
      <w:lvlJc w:val="left"/>
      <w:pPr>
        <w:ind w:left="425" w:hanging="425"/>
      </w:pPr>
      <w:rPr>
        <w:rFonts w:hint="default"/>
      </w:rPr>
    </w:lvl>
  </w:abstractNum>
  <w:abstractNum w:abstractNumId="94">
    <w:nsid w:val="24A45AD2"/>
    <w:multiLevelType w:val="multilevel"/>
    <w:tmpl w:val="24A45AD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5">
    <w:nsid w:val="25950899"/>
    <w:multiLevelType w:val="multilevel"/>
    <w:tmpl w:val="2595089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260B37B6"/>
    <w:multiLevelType w:val="multilevel"/>
    <w:tmpl w:val="260B37B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7">
    <w:nsid w:val="26293CB0"/>
    <w:multiLevelType w:val="multilevel"/>
    <w:tmpl w:val="26293CB0"/>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8">
    <w:nsid w:val="27645E84"/>
    <w:multiLevelType w:val="multilevel"/>
    <w:tmpl w:val="27645E84"/>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99">
    <w:nsid w:val="28D95509"/>
    <w:multiLevelType w:val="multilevel"/>
    <w:tmpl w:val="28D955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28E34A4D"/>
    <w:multiLevelType w:val="multilevel"/>
    <w:tmpl w:val="28E34A4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1">
    <w:nsid w:val="299168B8"/>
    <w:multiLevelType w:val="multilevel"/>
    <w:tmpl w:val="299168B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29A84383"/>
    <w:multiLevelType w:val="multilevel"/>
    <w:tmpl w:val="29A84383"/>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03">
    <w:nsid w:val="29D751A0"/>
    <w:multiLevelType w:val="multilevel"/>
    <w:tmpl w:val="29D751A0"/>
    <w:lvl w:ilvl="0" w:tentative="0">
      <w:start w:val="1"/>
      <w:numFmt w:val="decimal"/>
      <w:pStyle w:val="156"/>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4">
    <w:nsid w:val="2A2B7ADA"/>
    <w:multiLevelType w:val="multilevel"/>
    <w:tmpl w:val="2A2B7ADA"/>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5">
    <w:nsid w:val="2AC92EE3"/>
    <w:multiLevelType w:val="multilevel"/>
    <w:tmpl w:val="2AC92EE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6">
    <w:nsid w:val="2BD964E5"/>
    <w:multiLevelType w:val="multilevel"/>
    <w:tmpl w:val="2BD964E5"/>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7">
    <w:nsid w:val="2CE20542"/>
    <w:multiLevelType w:val="multilevel"/>
    <w:tmpl w:val="2CE2054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2D427F5D"/>
    <w:multiLevelType w:val="multilevel"/>
    <w:tmpl w:val="2D427F5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2DBD54E9"/>
    <w:multiLevelType w:val="multilevel"/>
    <w:tmpl w:val="2DBD54E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2DE15A5D"/>
    <w:multiLevelType w:val="multilevel"/>
    <w:tmpl w:val="2DE15A5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2E92417F"/>
    <w:multiLevelType w:val="multilevel"/>
    <w:tmpl w:val="2E92417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2">
    <w:nsid w:val="2E9E27E5"/>
    <w:multiLevelType w:val="multilevel"/>
    <w:tmpl w:val="2E9E27E5"/>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13">
    <w:nsid w:val="2EAE1449"/>
    <w:multiLevelType w:val="multilevel"/>
    <w:tmpl w:val="2EAE1449"/>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4">
    <w:nsid w:val="2EC6199D"/>
    <w:multiLevelType w:val="multilevel"/>
    <w:tmpl w:val="2EC6199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5">
    <w:nsid w:val="2ED31A27"/>
    <w:multiLevelType w:val="multilevel"/>
    <w:tmpl w:val="2ED31A2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2F0F1A0B"/>
    <w:multiLevelType w:val="multilevel"/>
    <w:tmpl w:val="2F0F1A0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7">
    <w:nsid w:val="2F505C69"/>
    <w:multiLevelType w:val="multilevel"/>
    <w:tmpl w:val="2F505C69"/>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8">
    <w:nsid w:val="31350526"/>
    <w:multiLevelType w:val="multilevel"/>
    <w:tmpl w:val="313505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31A00CA8"/>
    <w:multiLevelType w:val="multilevel"/>
    <w:tmpl w:val="31A00CA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0">
    <w:nsid w:val="32175DC0"/>
    <w:multiLevelType w:val="multilevel"/>
    <w:tmpl w:val="32175D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32C16336"/>
    <w:multiLevelType w:val="multilevel"/>
    <w:tmpl w:val="32C16336"/>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2">
    <w:nsid w:val="341B364E"/>
    <w:multiLevelType w:val="multilevel"/>
    <w:tmpl w:val="341B364E"/>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3">
    <w:nsid w:val="345CC983"/>
    <w:multiLevelType w:val="singleLevel"/>
    <w:tmpl w:val="345CC983"/>
    <w:lvl w:ilvl="0" w:tentative="0">
      <w:start w:val="1"/>
      <w:numFmt w:val="decimal"/>
      <w:lvlText w:val="%1."/>
      <w:lvlJc w:val="left"/>
      <w:pPr>
        <w:ind w:left="425" w:hanging="425"/>
      </w:pPr>
      <w:rPr>
        <w:rFonts w:hint="default"/>
      </w:rPr>
    </w:lvl>
  </w:abstractNum>
  <w:abstractNum w:abstractNumId="124">
    <w:nsid w:val="360068F8"/>
    <w:multiLevelType w:val="multilevel"/>
    <w:tmpl w:val="360068F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5">
    <w:nsid w:val="38793545"/>
    <w:multiLevelType w:val="multilevel"/>
    <w:tmpl w:val="3879354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6">
    <w:nsid w:val="38FC569C"/>
    <w:multiLevelType w:val="multilevel"/>
    <w:tmpl w:val="38FC569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3919458A"/>
    <w:multiLevelType w:val="multilevel"/>
    <w:tmpl w:val="3919458A"/>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8">
    <w:nsid w:val="3985792A"/>
    <w:multiLevelType w:val="singleLevel"/>
    <w:tmpl w:val="3985792A"/>
    <w:lvl w:ilvl="0" w:tentative="0">
      <w:start w:val="1"/>
      <w:numFmt w:val="decimal"/>
      <w:lvlText w:val="%1."/>
      <w:lvlJc w:val="left"/>
      <w:pPr>
        <w:ind w:left="425" w:hanging="425"/>
      </w:pPr>
      <w:rPr>
        <w:rFonts w:hint="default"/>
      </w:rPr>
    </w:lvl>
  </w:abstractNum>
  <w:abstractNum w:abstractNumId="129">
    <w:nsid w:val="398D02E2"/>
    <w:multiLevelType w:val="multilevel"/>
    <w:tmpl w:val="398D02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3B8A6810"/>
    <w:multiLevelType w:val="multilevel"/>
    <w:tmpl w:val="3B8A681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1">
    <w:nsid w:val="3BF14D57"/>
    <w:multiLevelType w:val="multilevel"/>
    <w:tmpl w:val="3BF14D57"/>
    <w:lvl w:ilvl="0" w:tentative="0">
      <w:start w:val="1"/>
      <w:numFmt w:val="bullet"/>
      <w:pStyle w:val="342"/>
      <w:lvlText w:val=""/>
      <w:lvlJc w:val="left"/>
      <w:pPr>
        <w:tabs>
          <w:tab w:val="left" w:pos="269"/>
        </w:tabs>
        <w:ind w:left="269" w:hanging="360"/>
      </w:pPr>
      <w:rPr>
        <w:rFonts w:hint="default" w:ascii="Wingdings" w:hAnsi="Wingdings"/>
      </w:rPr>
    </w:lvl>
    <w:lvl w:ilvl="1" w:tentative="0">
      <w:start w:val="1"/>
      <w:numFmt w:val="bullet"/>
      <w:lvlText w:val="o"/>
      <w:lvlJc w:val="left"/>
      <w:pPr>
        <w:tabs>
          <w:tab w:val="left" w:pos="1894"/>
        </w:tabs>
        <w:ind w:left="1894" w:hanging="360"/>
      </w:pPr>
      <w:rPr>
        <w:rFonts w:hint="default" w:ascii="Courier New" w:hAnsi="Courier New"/>
      </w:rPr>
    </w:lvl>
    <w:lvl w:ilvl="2" w:tentative="0">
      <w:start w:val="1"/>
      <w:numFmt w:val="bullet"/>
      <w:lvlText w:val=""/>
      <w:lvlJc w:val="left"/>
      <w:pPr>
        <w:tabs>
          <w:tab w:val="left" w:pos="2614"/>
        </w:tabs>
        <w:ind w:left="2614" w:hanging="360"/>
      </w:pPr>
      <w:rPr>
        <w:rFonts w:hint="default" w:ascii="Wingdings" w:hAnsi="Wingdings"/>
      </w:rPr>
    </w:lvl>
    <w:lvl w:ilvl="3" w:tentative="0">
      <w:start w:val="1"/>
      <w:numFmt w:val="bullet"/>
      <w:lvlText w:val=""/>
      <w:lvlJc w:val="left"/>
      <w:pPr>
        <w:tabs>
          <w:tab w:val="left" w:pos="3334"/>
        </w:tabs>
        <w:ind w:left="3334" w:hanging="360"/>
      </w:pPr>
      <w:rPr>
        <w:rFonts w:hint="default" w:ascii="Symbol" w:hAnsi="Symbol"/>
      </w:rPr>
    </w:lvl>
    <w:lvl w:ilvl="4" w:tentative="0">
      <w:start w:val="1"/>
      <w:numFmt w:val="bullet"/>
      <w:lvlText w:val="o"/>
      <w:lvlJc w:val="left"/>
      <w:pPr>
        <w:tabs>
          <w:tab w:val="left" w:pos="4054"/>
        </w:tabs>
        <w:ind w:left="4054" w:hanging="360"/>
      </w:pPr>
      <w:rPr>
        <w:rFonts w:hint="default" w:ascii="Courier New" w:hAnsi="Courier New"/>
      </w:rPr>
    </w:lvl>
    <w:lvl w:ilvl="5" w:tentative="0">
      <w:start w:val="1"/>
      <w:numFmt w:val="bullet"/>
      <w:lvlText w:val=""/>
      <w:lvlJc w:val="left"/>
      <w:pPr>
        <w:tabs>
          <w:tab w:val="left" w:pos="4774"/>
        </w:tabs>
        <w:ind w:left="4774" w:hanging="360"/>
      </w:pPr>
      <w:rPr>
        <w:rFonts w:hint="default" w:ascii="Wingdings" w:hAnsi="Wingdings"/>
      </w:rPr>
    </w:lvl>
    <w:lvl w:ilvl="6" w:tentative="0">
      <w:start w:val="1"/>
      <w:numFmt w:val="bullet"/>
      <w:lvlText w:val=""/>
      <w:lvlJc w:val="left"/>
      <w:pPr>
        <w:tabs>
          <w:tab w:val="left" w:pos="5494"/>
        </w:tabs>
        <w:ind w:left="5494" w:hanging="360"/>
      </w:pPr>
      <w:rPr>
        <w:rFonts w:hint="default" w:ascii="Symbol" w:hAnsi="Symbol"/>
      </w:rPr>
    </w:lvl>
    <w:lvl w:ilvl="7" w:tentative="0">
      <w:start w:val="1"/>
      <w:numFmt w:val="bullet"/>
      <w:lvlText w:val="o"/>
      <w:lvlJc w:val="left"/>
      <w:pPr>
        <w:tabs>
          <w:tab w:val="left" w:pos="6214"/>
        </w:tabs>
        <w:ind w:left="6214" w:hanging="360"/>
      </w:pPr>
      <w:rPr>
        <w:rFonts w:hint="default" w:ascii="Courier New" w:hAnsi="Courier New"/>
      </w:rPr>
    </w:lvl>
    <w:lvl w:ilvl="8" w:tentative="0">
      <w:start w:val="1"/>
      <w:numFmt w:val="bullet"/>
      <w:lvlText w:val=""/>
      <w:lvlJc w:val="left"/>
      <w:pPr>
        <w:tabs>
          <w:tab w:val="left" w:pos="6934"/>
        </w:tabs>
        <w:ind w:left="6934" w:hanging="360"/>
      </w:pPr>
      <w:rPr>
        <w:rFonts w:hint="default" w:ascii="Wingdings" w:hAnsi="Wingdings"/>
      </w:rPr>
    </w:lvl>
  </w:abstractNum>
  <w:abstractNum w:abstractNumId="132">
    <w:nsid w:val="3CC16759"/>
    <w:multiLevelType w:val="multilevel"/>
    <w:tmpl w:val="3CC1675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3">
    <w:nsid w:val="3E4A5744"/>
    <w:multiLevelType w:val="multilevel"/>
    <w:tmpl w:val="3E4A574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3E644C41"/>
    <w:multiLevelType w:val="multilevel"/>
    <w:tmpl w:val="3E644C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3E7B23DF"/>
    <w:multiLevelType w:val="multilevel"/>
    <w:tmpl w:val="3E7B23D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6">
    <w:nsid w:val="3EA32CEF"/>
    <w:multiLevelType w:val="multilevel"/>
    <w:tmpl w:val="3EA32CE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7">
    <w:nsid w:val="3EBC782A"/>
    <w:multiLevelType w:val="multilevel"/>
    <w:tmpl w:val="3EBC782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8">
    <w:nsid w:val="3EE10E17"/>
    <w:multiLevelType w:val="multilevel"/>
    <w:tmpl w:val="3EE10E1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9">
    <w:nsid w:val="3FD34B61"/>
    <w:multiLevelType w:val="multilevel"/>
    <w:tmpl w:val="3FD34B6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0">
    <w:nsid w:val="4050F4E6"/>
    <w:multiLevelType w:val="singleLevel"/>
    <w:tmpl w:val="4050F4E6"/>
    <w:lvl w:ilvl="0" w:tentative="0">
      <w:start w:val="1"/>
      <w:numFmt w:val="decimal"/>
      <w:lvlText w:val="%1)"/>
      <w:lvlJc w:val="left"/>
      <w:pPr>
        <w:ind w:left="425" w:hanging="425"/>
      </w:pPr>
      <w:rPr>
        <w:rFonts w:hint="default"/>
      </w:rPr>
    </w:lvl>
  </w:abstractNum>
  <w:abstractNum w:abstractNumId="141">
    <w:nsid w:val="41552917"/>
    <w:multiLevelType w:val="multilevel"/>
    <w:tmpl w:val="41552917"/>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42">
    <w:nsid w:val="41E95B8A"/>
    <w:multiLevelType w:val="multilevel"/>
    <w:tmpl w:val="41E95B8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3">
    <w:nsid w:val="41FA65EA"/>
    <w:multiLevelType w:val="multilevel"/>
    <w:tmpl w:val="41FA65E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4">
    <w:nsid w:val="427B213B"/>
    <w:multiLevelType w:val="multilevel"/>
    <w:tmpl w:val="427B213B"/>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5">
    <w:nsid w:val="43740B8A"/>
    <w:multiLevelType w:val="multilevel"/>
    <w:tmpl w:val="43740B8A"/>
    <w:lvl w:ilvl="0" w:tentative="0">
      <w:start w:val="1"/>
      <w:numFmt w:val="chineseCountingThousand"/>
      <w:pStyle w:val="241"/>
      <w:suff w:val="space"/>
      <w:lvlText w:val="第%1章"/>
      <w:lvlJc w:val="left"/>
      <w:pPr>
        <w:ind w:left="0" w:firstLine="0"/>
      </w:pPr>
      <w:rPr>
        <w:rFonts w:hint="default" w:ascii="Times New Roman" w:hAnsi="Times New Roman" w:eastAsia="宋体"/>
        <w:b/>
        <w:i w:val="0"/>
        <w:sz w:val="44"/>
        <w:szCs w:val="44"/>
      </w:rPr>
    </w:lvl>
    <w:lvl w:ilvl="1" w:tentative="0">
      <w:start w:val="1"/>
      <w:numFmt w:val="decimal"/>
      <w:pStyle w:val="242"/>
      <w:isLgl/>
      <w:suff w:val="space"/>
      <w:lvlText w:val="%1.%2."/>
      <w:lvlJc w:val="left"/>
      <w:pPr>
        <w:ind w:left="0" w:firstLine="0"/>
      </w:pPr>
      <w:rPr>
        <w:rFonts w:hint="default" w:ascii="宋体" w:hAnsi="宋体" w:eastAsia="宋体"/>
        <w:b/>
        <w:i w:val="0"/>
        <w:sz w:val="36"/>
        <w:szCs w:val="36"/>
      </w:rPr>
    </w:lvl>
    <w:lvl w:ilvl="2" w:tentative="0">
      <w:start w:val="1"/>
      <w:numFmt w:val="decimal"/>
      <w:pStyle w:val="243"/>
      <w:isLgl/>
      <w:suff w:val="space"/>
      <w:lvlText w:val="%1.%2.%3."/>
      <w:lvlJc w:val="left"/>
      <w:pPr>
        <w:ind w:left="0" w:firstLine="0"/>
      </w:pPr>
      <w:rPr>
        <w:rFonts w:hint="default" w:ascii="宋体" w:hAnsi="宋体" w:eastAsia="宋体"/>
        <w:b/>
        <w:i w:val="0"/>
        <w:sz w:val="32"/>
        <w:szCs w:val="22"/>
      </w:rPr>
    </w:lvl>
    <w:lvl w:ilvl="3" w:tentative="0">
      <w:start w:val="1"/>
      <w:numFmt w:val="decimal"/>
      <w:pStyle w:val="244"/>
      <w:isLgl/>
      <w:suff w:val="space"/>
      <w:lvlText w:val="%1.%2.%3.%4."/>
      <w:lvlJc w:val="left"/>
      <w:pPr>
        <w:ind w:left="0" w:firstLine="0"/>
      </w:pPr>
      <w:rPr>
        <w:rFonts w:hint="default" w:ascii="宋体" w:hAnsi="宋体" w:eastAsia="宋体"/>
        <w:b/>
        <w:i w:val="0"/>
        <w:sz w:val="28"/>
        <w:szCs w:val="22"/>
      </w:rPr>
    </w:lvl>
    <w:lvl w:ilvl="4" w:tentative="0">
      <w:start w:val="1"/>
      <w:numFmt w:val="decimal"/>
      <w:isLgl/>
      <w:suff w:val="space"/>
      <w:lvlText w:val="%1.%2.%3.%4.%5."/>
      <w:lvlJc w:val="left"/>
      <w:pPr>
        <w:ind w:left="0" w:firstLine="0"/>
      </w:pPr>
      <w:rPr>
        <w:rFonts w:hint="default" w:ascii="宋体" w:hAnsi="宋体" w:eastAsia="宋体"/>
        <w:b/>
        <w:i w:val="0"/>
        <w:sz w:val="28"/>
        <w:szCs w:val="22"/>
      </w:rPr>
    </w:lvl>
    <w:lvl w:ilvl="5" w:tentative="0">
      <w:start w:val="1"/>
      <w:numFmt w:val="decimal"/>
      <w:isLgl/>
      <w:suff w:val="space"/>
      <w:lvlText w:val="%1.%2.%3.%4.%5.%6."/>
      <w:lvlJc w:val="left"/>
      <w:pPr>
        <w:ind w:left="0" w:firstLine="0"/>
      </w:pPr>
      <w:rPr>
        <w:rFonts w:hint="default" w:ascii="宋体" w:hAnsi="宋体" w:eastAsia="宋体"/>
        <w:b/>
        <w:i w:val="0"/>
        <w:sz w:val="24"/>
      </w:rPr>
    </w:lvl>
    <w:lvl w:ilvl="6" w:tentative="0">
      <w:start w:val="1"/>
      <w:numFmt w:val="decimal"/>
      <w:isLgl/>
      <w:suff w:val="space"/>
      <w:lvlText w:val="%1.%2.%3.%4.%5.%6.%7."/>
      <w:lvlJc w:val="left"/>
      <w:pPr>
        <w:ind w:left="0" w:firstLine="0"/>
      </w:pPr>
      <w:rPr>
        <w:rFonts w:hint="default" w:ascii="Times New Roman" w:hAnsi="Times New Roman" w:eastAsia="宋体"/>
        <w:b/>
        <w:i w:val="0"/>
        <w:sz w:val="24"/>
      </w:rPr>
    </w:lvl>
    <w:lvl w:ilvl="7" w:tentative="0">
      <w:start w:val="1"/>
      <w:numFmt w:val="decimal"/>
      <w:isLgl/>
      <w:suff w:val="space"/>
      <w:lvlText w:val="%1.%2.%3.%4.%5.%6.%7.%8."/>
      <w:lvlJc w:val="left"/>
      <w:pPr>
        <w:ind w:left="0" w:firstLine="0"/>
      </w:pPr>
      <w:rPr>
        <w:rFonts w:hint="default" w:ascii="Times New Roman" w:hAnsi="Times New Roman" w:eastAsia="宋体"/>
        <w:b/>
        <w:i w:val="0"/>
        <w:sz w:val="24"/>
      </w:rPr>
    </w:lvl>
    <w:lvl w:ilvl="8" w:tentative="0">
      <w:start w:val="1"/>
      <w:numFmt w:val="decimal"/>
      <w:isLgl/>
      <w:suff w:val="space"/>
      <w:lvlText w:val="%1.%2.%3.%4.%5.%6.%7.%8.%9."/>
      <w:lvlJc w:val="left"/>
      <w:pPr>
        <w:ind w:left="0" w:firstLine="0"/>
      </w:pPr>
      <w:rPr>
        <w:rFonts w:hint="default" w:ascii="Times New Roman" w:hAnsi="Times New Roman" w:eastAsia="宋体"/>
        <w:b/>
        <w:i w:val="0"/>
        <w:sz w:val="24"/>
      </w:rPr>
    </w:lvl>
  </w:abstractNum>
  <w:abstractNum w:abstractNumId="146">
    <w:nsid w:val="43990375"/>
    <w:multiLevelType w:val="multilevel"/>
    <w:tmpl w:val="43990375"/>
    <w:lvl w:ilvl="0" w:tentative="0">
      <w:start w:val="1"/>
      <w:numFmt w:val="decimal"/>
      <w:lvlText w:val="%1."/>
      <w:lvlJc w:val="left"/>
      <w:pPr>
        <w:ind w:left="360" w:hanging="360"/>
      </w:pPr>
      <w:rPr>
        <w:rFonts w:hint="default"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7">
    <w:nsid w:val="448B5616"/>
    <w:multiLevelType w:val="multilevel"/>
    <w:tmpl w:val="448B5616"/>
    <w:lvl w:ilvl="0" w:tentative="0">
      <w:start w:val="1"/>
      <w:numFmt w:val="decimal"/>
      <w:lvlText w:val="%1."/>
      <w:lvlJc w:val="left"/>
      <w:pPr>
        <w:ind w:left="360" w:hanging="360"/>
      </w:pPr>
      <w:rPr>
        <w:rFonts w:hint="default"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8">
    <w:nsid w:val="44BA646A"/>
    <w:multiLevelType w:val="multilevel"/>
    <w:tmpl w:val="44BA646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9">
    <w:nsid w:val="454A75A2"/>
    <w:multiLevelType w:val="multilevel"/>
    <w:tmpl w:val="454A75A2"/>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0">
    <w:nsid w:val="45BA364C"/>
    <w:multiLevelType w:val="multilevel"/>
    <w:tmpl w:val="45BA364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1">
    <w:nsid w:val="45D16007"/>
    <w:multiLevelType w:val="singleLevel"/>
    <w:tmpl w:val="45D16007"/>
    <w:lvl w:ilvl="0" w:tentative="0">
      <w:start w:val="1"/>
      <w:numFmt w:val="decimal"/>
      <w:suff w:val="nothing"/>
      <w:lvlText w:val="%1、"/>
      <w:lvlJc w:val="left"/>
    </w:lvl>
  </w:abstractNum>
  <w:abstractNum w:abstractNumId="152">
    <w:nsid w:val="46975CD5"/>
    <w:multiLevelType w:val="multilevel"/>
    <w:tmpl w:val="46975CD5"/>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53">
    <w:nsid w:val="480D52F6"/>
    <w:multiLevelType w:val="multilevel"/>
    <w:tmpl w:val="480D52F6"/>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4">
    <w:nsid w:val="488C77EF"/>
    <w:multiLevelType w:val="multilevel"/>
    <w:tmpl w:val="488C77EF"/>
    <w:lvl w:ilvl="0" w:tentative="0">
      <w:start w:val="1"/>
      <w:numFmt w:val="decimal"/>
      <w:pStyle w:val="263"/>
      <w:lvlText w:val="（%1）"/>
      <w:lvlJc w:val="left"/>
      <w:pPr>
        <w:ind w:left="517" w:hanging="375"/>
      </w:pPr>
      <w:rPr>
        <w:rFonts w:hint="default"/>
        <w:lang w:val="en-US"/>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55">
    <w:nsid w:val="49F03405"/>
    <w:multiLevelType w:val="singleLevel"/>
    <w:tmpl w:val="49F03405"/>
    <w:lvl w:ilvl="0" w:tentative="0">
      <w:start w:val="1"/>
      <w:numFmt w:val="bullet"/>
      <w:pStyle w:val="18"/>
      <w:lvlText w:val=""/>
      <w:lvlJc w:val="left"/>
      <w:pPr>
        <w:ind w:left="420" w:hanging="420"/>
      </w:pPr>
      <w:rPr>
        <w:rFonts w:hint="default" w:ascii="Wingdings" w:hAnsi="Wingdings"/>
      </w:rPr>
    </w:lvl>
  </w:abstractNum>
  <w:abstractNum w:abstractNumId="156">
    <w:nsid w:val="4A804E89"/>
    <w:multiLevelType w:val="multilevel"/>
    <w:tmpl w:val="4A804E8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7">
    <w:nsid w:val="4ACE736C"/>
    <w:multiLevelType w:val="multilevel"/>
    <w:tmpl w:val="4ACE736C"/>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8">
    <w:nsid w:val="4B6532CF"/>
    <w:multiLevelType w:val="multilevel"/>
    <w:tmpl w:val="4B6532CF"/>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9">
    <w:nsid w:val="4B94B4DE"/>
    <w:multiLevelType w:val="singleLevel"/>
    <w:tmpl w:val="4B94B4DE"/>
    <w:lvl w:ilvl="0" w:tentative="0">
      <w:start w:val="1"/>
      <w:numFmt w:val="decimal"/>
      <w:suff w:val="nothing"/>
      <w:lvlText w:val="%1、"/>
      <w:lvlJc w:val="left"/>
    </w:lvl>
  </w:abstractNum>
  <w:abstractNum w:abstractNumId="160">
    <w:nsid w:val="4D822D0D"/>
    <w:multiLevelType w:val="multilevel"/>
    <w:tmpl w:val="4D822D0D"/>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1">
    <w:nsid w:val="4DBD578E"/>
    <w:multiLevelType w:val="multilevel"/>
    <w:tmpl w:val="4DBD578E"/>
    <w:lvl w:ilvl="0" w:tentative="0">
      <w:start w:val="1"/>
      <w:numFmt w:val="decimal"/>
      <w:suff w:val="space"/>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2">
    <w:nsid w:val="4E276677"/>
    <w:multiLevelType w:val="multilevel"/>
    <w:tmpl w:val="4E27667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3">
    <w:nsid w:val="4E3877F5"/>
    <w:multiLevelType w:val="multilevel"/>
    <w:tmpl w:val="4E3877F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4">
    <w:nsid w:val="4E3D4925"/>
    <w:multiLevelType w:val="multilevel"/>
    <w:tmpl w:val="4E3D4925"/>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65">
    <w:nsid w:val="4E6E06E7"/>
    <w:multiLevelType w:val="multilevel"/>
    <w:tmpl w:val="4E6E06E7"/>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66">
    <w:nsid w:val="51B261C1"/>
    <w:multiLevelType w:val="multilevel"/>
    <w:tmpl w:val="51B261C1"/>
    <w:lvl w:ilvl="0" w:tentative="0">
      <w:start w:val="1"/>
      <w:numFmt w:val="chineseCountingThousand"/>
      <w:lvlText w:val="(%1)"/>
      <w:lvlJc w:val="left"/>
      <w:pPr>
        <w:ind w:left="360" w:hanging="360"/>
      </w:pPr>
      <w:rPr>
        <w:rFonts w:hint="default"/>
        <w:b/>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7">
    <w:nsid w:val="51DB018B"/>
    <w:multiLevelType w:val="multilevel"/>
    <w:tmpl w:val="51DB018B"/>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8">
    <w:nsid w:val="51ECEFB4"/>
    <w:multiLevelType w:val="singleLevel"/>
    <w:tmpl w:val="51ECEFB4"/>
    <w:lvl w:ilvl="0" w:tentative="0">
      <w:start w:val="1"/>
      <w:numFmt w:val="decimal"/>
      <w:suff w:val="nothing"/>
      <w:lvlText w:val="%1、"/>
      <w:lvlJc w:val="left"/>
    </w:lvl>
  </w:abstractNum>
  <w:abstractNum w:abstractNumId="169">
    <w:nsid w:val="52BB252C"/>
    <w:multiLevelType w:val="multilevel"/>
    <w:tmpl w:val="52BB252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0">
    <w:nsid w:val="540E6E9B"/>
    <w:multiLevelType w:val="multilevel"/>
    <w:tmpl w:val="540E6E9B"/>
    <w:lvl w:ilvl="0" w:tentative="0">
      <w:start w:val="1"/>
      <w:numFmt w:val="decimal"/>
      <w:suff w:val="nothing"/>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171">
    <w:nsid w:val="54354279"/>
    <w:multiLevelType w:val="multilevel"/>
    <w:tmpl w:val="543542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2">
    <w:nsid w:val="552536AA"/>
    <w:multiLevelType w:val="multilevel"/>
    <w:tmpl w:val="552536AA"/>
    <w:lvl w:ilvl="0" w:tentative="0">
      <w:start w:val="1"/>
      <w:numFmt w:val="decimal"/>
      <w:lvlText w:val="%1."/>
      <w:lvlJc w:val="left"/>
      <w:pPr>
        <w:ind w:left="360" w:hanging="360"/>
      </w:pPr>
      <w:rPr>
        <w:rFonts w:hint="default"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3">
    <w:nsid w:val="562043B0"/>
    <w:multiLevelType w:val="multilevel"/>
    <w:tmpl w:val="562043B0"/>
    <w:lvl w:ilvl="0" w:tentative="0">
      <w:start w:val="1"/>
      <w:numFmt w:val="decimal"/>
      <w:suff w:val="space"/>
      <w:lvlText w:val="（%1）"/>
      <w:lvlJc w:val="left"/>
      <w:pPr>
        <w:ind w:left="1440" w:hanging="720"/>
      </w:pPr>
      <w:rPr>
        <w:rFonts w:hint="default"/>
      </w:rPr>
    </w:lvl>
    <w:lvl w:ilvl="1" w:tentative="0">
      <w:start w:val="1"/>
      <w:numFmt w:val="lowerLetter"/>
      <w:lvlText w:val="%2)"/>
      <w:lvlJc w:val="left"/>
      <w:pPr>
        <w:ind w:left="1560" w:hanging="420"/>
      </w:pPr>
      <w:rPr>
        <w:rFonts w:hint="eastAsia"/>
      </w:rPr>
    </w:lvl>
    <w:lvl w:ilvl="2" w:tentative="0">
      <w:start w:val="1"/>
      <w:numFmt w:val="lowerRoman"/>
      <w:lvlText w:val="%3."/>
      <w:lvlJc w:val="right"/>
      <w:pPr>
        <w:ind w:left="1980" w:hanging="420"/>
      </w:pPr>
      <w:rPr>
        <w:rFonts w:hint="eastAsia"/>
      </w:rPr>
    </w:lvl>
    <w:lvl w:ilvl="3" w:tentative="0">
      <w:start w:val="1"/>
      <w:numFmt w:val="decimal"/>
      <w:lvlText w:val="%4."/>
      <w:lvlJc w:val="left"/>
      <w:pPr>
        <w:ind w:left="2400" w:hanging="420"/>
      </w:pPr>
      <w:rPr>
        <w:rFonts w:hint="eastAsia"/>
      </w:rPr>
    </w:lvl>
    <w:lvl w:ilvl="4" w:tentative="0">
      <w:start w:val="1"/>
      <w:numFmt w:val="lowerLetter"/>
      <w:lvlText w:val="%5)"/>
      <w:lvlJc w:val="left"/>
      <w:pPr>
        <w:ind w:left="2820" w:hanging="420"/>
      </w:pPr>
      <w:rPr>
        <w:rFonts w:hint="eastAsia"/>
      </w:rPr>
    </w:lvl>
    <w:lvl w:ilvl="5" w:tentative="0">
      <w:start w:val="1"/>
      <w:numFmt w:val="lowerRoman"/>
      <w:lvlText w:val="%6."/>
      <w:lvlJc w:val="right"/>
      <w:pPr>
        <w:ind w:left="3240" w:hanging="420"/>
      </w:pPr>
      <w:rPr>
        <w:rFonts w:hint="eastAsia"/>
      </w:rPr>
    </w:lvl>
    <w:lvl w:ilvl="6" w:tentative="0">
      <w:start w:val="1"/>
      <w:numFmt w:val="decimal"/>
      <w:lvlText w:val="%7."/>
      <w:lvlJc w:val="left"/>
      <w:pPr>
        <w:ind w:left="3660" w:hanging="420"/>
      </w:pPr>
      <w:rPr>
        <w:rFonts w:hint="eastAsia"/>
      </w:rPr>
    </w:lvl>
    <w:lvl w:ilvl="7" w:tentative="0">
      <w:start w:val="1"/>
      <w:numFmt w:val="lowerLetter"/>
      <w:lvlText w:val="%8)"/>
      <w:lvlJc w:val="left"/>
      <w:pPr>
        <w:ind w:left="4080" w:hanging="420"/>
      </w:pPr>
      <w:rPr>
        <w:rFonts w:hint="eastAsia"/>
      </w:rPr>
    </w:lvl>
    <w:lvl w:ilvl="8" w:tentative="0">
      <w:start w:val="1"/>
      <w:numFmt w:val="lowerRoman"/>
      <w:lvlText w:val="%9."/>
      <w:lvlJc w:val="right"/>
      <w:pPr>
        <w:ind w:left="4500" w:hanging="420"/>
      </w:pPr>
      <w:rPr>
        <w:rFonts w:hint="eastAsia"/>
      </w:rPr>
    </w:lvl>
  </w:abstractNum>
  <w:abstractNum w:abstractNumId="174">
    <w:nsid w:val="56555451"/>
    <w:multiLevelType w:val="multilevel"/>
    <w:tmpl w:val="56555451"/>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5">
    <w:nsid w:val="56F70317"/>
    <w:multiLevelType w:val="multilevel"/>
    <w:tmpl w:val="56F7031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6">
    <w:nsid w:val="580017FD"/>
    <w:multiLevelType w:val="singleLevel"/>
    <w:tmpl w:val="580017FD"/>
    <w:lvl w:ilvl="0" w:tentative="0">
      <w:start w:val="1"/>
      <w:numFmt w:val="decimal"/>
      <w:suff w:val="nothing"/>
      <w:lvlText w:val="%1、"/>
      <w:lvlJc w:val="left"/>
    </w:lvl>
  </w:abstractNum>
  <w:abstractNum w:abstractNumId="177">
    <w:nsid w:val="580D307E"/>
    <w:multiLevelType w:val="multilevel"/>
    <w:tmpl w:val="580D307E"/>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8">
    <w:nsid w:val="580F6F63"/>
    <w:multiLevelType w:val="multilevel"/>
    <w:tmpl w:val="580F6F63"/>
    <w:lvl w:ilvl="0" w:tentative="0">
      <w:start w:val="1"/>
      <w:numFmt w:val="decimal"/>
      <w:pStyle w:val="405"/>
      <w:lvlText w:val="3.2.%1"/>
      <w:lvlJc w:val="left"/>
      <w:pPr>
        <w:ind w:left="1282" w:hanging="440"/>
      </w:pPr>
      <w:rPr>
        <w:rFonts w:hint="eastAsia" w:ascii="宋体" w:hAnsi="宋体" w:eastAsia="宋体"/>
        <w:b/>
        <w:bCs/>
        <w:sz w:val="28"/>
        <w:szCs w:val="24"/>
      </w:rPr>
    </w:lvl>
    <w:lvl w:ilvl="1" w:tentative="0">
      <w:start w:val="1"/>
      <w:numFmt w:val="lowerLetter"/>
      <w:lvlText w:val="%2)"/>
      <w:lvlJc w:val="left"/>
      <w:pPr>
        <w:ind w:left="1722" w:hanging="440"/>
      </w:pPr>
    </w:lvl>
    <w:lvl w:ilvl="2" w:tentative="0">
      <w:start w:val="1"/>
      <w:numFmt w:val="lowerRoman"/>
      <w:lvlText w:val="%3."/>
      <w:lvlJc w:val="right"/>
      <w:pPr>
        <w:ind w:left="2162" w:hanging="440"/>
      </w:pPr>
    </w:lvl>
    <w:lvl w:ilvl="3" w:tentative="0">
      <w:start w:val="1"/>
      <w:numFmt w:val="decimal"/>
      <w:lvlText w:val="%4."/>
      <w:lvlJc w:val="left"/>
      <w:pPr>
        <w:ind w:left="2602" w:hanging="440"/>
      </w:pPr>
    </w:lvl>
    <w:lvl w:ilvl="4" w:tentative="0">
      <w:start w:val="1"/>
      <w:numFmt w:val="lowerLetter"/>
      <w:lvlText w:val="%5)"/>
      <w:lvlJc w:val="left"/>
      <w:pPr>
        <w:ind w:left="3042" w:hanging="440"/>
      </w:pPr>
    </w:lvl>
    <w:lvl w:ilvl="5" w:tentative="0">
      <w:start w:val="1"/>
      <w:numFmt w:val="lowerRoman"/>
      <w:lvlText w:val="%6."/>
      <w:lvlJc w:val="right"/>
      <w:pPr>
        <w:ind w:left="3482" w:hanging="440"/>
      </w:pPr>
    </w:lvl>
    <w:lvl w:ilvl="6" w:tentative="0">
      <w:start w:val="1"/>
      <w:numFmt w:val="decimal"/>
      <w:lvlText w:val="%7."/>
      <w:lvlJc w:val="left"/>
      <w:pPr>
        <w:ind w:left="3922" w:hanging="440"/>
      </w:pPr>
    </w:lvl>
    <w:lvl w:ilvl="7" w:tentative="0">
      <w:start w:val="1"/>
      <w:numFmt w:val="lowerLetter"/>
      <w:lvlText w:val="%8)"/>
      <w:lvlJc w:val="left"/>
      <w:pPr>
        <w:ind w:left="4362" w:hanging="440"/>
      </w:pPr>
    </w:lvl>
    <w:lvl w:ilvl="8" w:tentative="0">
      <w:start w:val="1"/>
      <w:numFmt w:val="lowerRoman"/>
      <w:lvlText w:val="%9."/>
      <w:lvlJc w:val="right"/>
      <w:pPr>
        <w:ind w:left="4802" w:hanging="440"/>
      </w:pPr>
    </w:lvl>
  </w:abstractNum>
  <w:abstractNum w:abstractNumId="179">
    <w:nsid w:val="58644419"/>
    <w:multiLevelType w:val="multilevel"/>
    <w:tmpl w:val="58644419"/>
    <w:lvl w:ilvl="0" w:tentative="0">
      <w:start w:val="1"/>
      <w:numFmt w:val="decimal"/>
      <w:suff w:val="nothing"/>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180">
    <w:nsid w:val="58E220FD"/>
    <w:multiLevelType w:val="multilevel"/>
    <w:tmpl w:val="58E220FD"/>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1">
    <w:nsid w:val="595B3418"/>
    <w:multiLevelType w:val="multilevel"/>
    <w:tmpl w:val="595B3418"/>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2">
    <w:nsid w:val="59B37F10"/>
    <w:multiLevelType w:val="multilevel"/>
    <w:tmpl w:val="59B37F10"/>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3">
    <w:nsid w:val="5A066CE1"/>
    <w:multiLevelType w:val="multilevel"/>
    <w:tmpl w:val="5A066CE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4">
    <w:nsid w:val="5A234970"/>
    <w:multiLevelType w:val="multilevel"/>
    <w:tmpl w:val="5A234970"/>
    <w:lvl w:ilvl="0" w:tentative="0">
      <w:start w:val="1"/>
      <w:numFmt w:val="decimal"/>
      <w:suff w:val="space"/>
      <w:lvlText w:val="%1."/>
      <w:lvlJc w:val="left"/>
      <w:pPr>
        <w:ind w:left="1320" w:hanging="420"/>
      </w:pPr>
      <w:rPr>
        <w:rFonts w:hint="eastAsia"/>
      </w:rPr>
    </w:lvl>
    <w:lvl w:ilvl="1" w:tentative="0">
      <w:start w:val="1"/>
      <w:numFmt w:val="lowerLetter"/>
      <w:lvlText w:val="%2)"/>
      <w:lvlJc w:val="left"/>
      <w:pPr>
        <w:ind w:left="1740" w:hanging="420"/>
      </w:pPr>
      <w:rPr>
        <w:rFonts w:hint="eastAsia"/>
      </w:rPr>
    </w:lvl>
    <w:lvl w:ilvl="2" w:tentative="0">
      <w:start w:val="1"/>
      <w:numFmt w:val="lowerRoman"/>
      <w:lvlText w:val="%3."/>
      <w:lvlJc w:val="right"/>
      <w:pPr>
        <w:ind w:left="2160" w:hanging="420"/>
      </w:pPr>
      <w:rPr>
        <w:rFonts w:hint="eastAsia"/>
      </w:rPr>
    </w:lvl>
    <w:lvl w:ilvl="3" w:tentative="0">
      <w:start w:val="1"/>
      <w:numFmt w:val="decimal"/>
      <w:lvlText w:val="%4."/>
      <w:lvlJc w:val="left"/>
      <w:pPr>
        <w:ind w:left="2580" w:hanging="420"/>
      </w:pPr>
      <w:rPr>
        <w:rFonts w:hint="eastAsia"/>
      </w:rPr>
    </w:lvl>
    <w:lvl w:ilvl="4" w:tentative="0">
      <w:start w:val="1"/>
      <w:numFmt w:val="lowerLetter"/>
      <w:lvlText w:val="%5)"/>
      <w:lvlJc w:val="left"/>
      <w:pPr>
        <w:ind w:left="3000" w:hanging="420"/>
      </w:pPr>
      <w:rPr>
        <w:rFonts w:hint="eastAsia"/>
      </w:rPr>
    </w:lvl>
    <w:lvl w:ilvl="5" w:tentative="0">
      <w:start w:val="1"/>
      <w:numFmt w:val="lowerRoman"/>
      <w:lvlText w:val="%6."/>
      <w:lvlJc w:val="right"/>
      <w:pPr>
        <w:ind w:left="3420" w:hanging="420"/>
      </w:pPr>
      <w:rPr>
        <w:rFonts w:hint="eastAsia"/>
      </w:rPr>
    </w:lvl>
    <w:lvl w:ilvl="6" w:tentative="0">
      <w:start w:val="1"/>
      <w:numFmt w:val="decimal"/>
      <w:lvlText w:val="%7."/>
      <w:lvlJc w:val="left"/>
      <w:pPr>
        <w:ind w:left="3840" w:hanging="420"/>
      </w:pPr>
      <w:rPr>
        <w:rFonts w:hint="eastAsia"/>
      </w:rPr>
    </w:lvl>
    <w:lvl w:ilvl="7" w:tentative="0">
      <w:start w:val="1"/>
      <w:numFmt w:val="lowerLetter"/>
      <w:lvlText w:val="%8)"/>
      <w:lvlJc w:val="left"/>
      <w:pPr>
        <w:ind w:left="4260" w:hanging="420"/>
      </w:pPr>
      <w:rPr>
        <w:rFonts w:hint="eastAsia"/>
      </w:rPr>
    </w:lvl>
    <w:lvl w:ilvl="8" w:tentative="0">
      <w:start w:val="1"/>
      <w:numFmt w:val="lowerRoman"/>
      <w:lvlText w:val="%9."/>
      <w:lvlJc w:val="right"/>
      <w:pPr>
        <w:ind w:left="4680" w:hanging="420"/>
      </w:pPr>
      <w:rPr>
        <w:rFonts w:hint="eastAsia"/>
      </w:rPr>
    </w:lvl>
  </w:abstractNum>
  <w:abstractNum w:abstractNumId="185">
    <w:nsid w:val="5A64717C"/>
    <w:multiLevelType w:val="multilevel"/>
    <w:tmpl w:val="5A64717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6">
    <w:nsid w:val="5A677A84"/>
    <w:multiLevelType w:val="multilevel"/>
    <w:tmpl w:val="5A677A84"/>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87">
    <w:nsid w:val="5A7AB182"/>
    <w:multiLevelType w:val="singleLevel"/>
    <w:tmpl w:val="5A7AB182"/>
    <w:lvl w:ilvl="0" w:tentative="0">
      <w:start w:val="1"/>
      <w:numFmt w:val="decimal"/>
      <w:lvlText w:val="%1."/>
      <w:lvlJc w:val="left"/>
      <w:pPr>
        <w:ind w:left="425" w:hanging="425"/>
      </w:pPr>
      <w:rPr>
        <w:rFonts w:hint="default"/>
      </w:rPr>
    </w:lvl>
  </w:abstractNum>
  <w:abstractNum w:abstractNumId="188">
    <w:nsid w:val="5A941838"/>
    <w:multiLevelType w:val="multilevel"/>
    <w:tmpl w:val="5A941838"/>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89">
    <w:nsid w:val="5AF659B6"/>
    <w:multiLevelType w:val="multilevel"/>
    <w:tmpl w:val="5AF659B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0">
    <w:nsid w:val="5B257308"/>
    <w:multiLevelType w:val="multilevel"/>
    <w:tmpl w:val="5B2573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1">
    <w:nsid w:val="5C8F128F"/>
    <w:multiLevelType w:val="multilevel"/>
    <w:tmpl w:val="5C8F128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2">
    <w:nsid w:val="5DDD34BD"/>
    <w:multiLevelType w:val="multilevel"/>
    <w:tmpl w:val="5DDD34B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3">
    <w:nsid w:val="5E0B1B45"/>
    <w:multiLevelType w:val="multilevel"/>
    <w:tmpl w:val="5E0B1B45"/>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94">
    <w:nsid w:val="5EB10009"/>
    <w:multiLevelType w:val="multilevel"/>
    <w:tmpl w:val="5EB10009"/>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5">
    <w:nsid w:val="5FE117BB"/>
    <w:multiLevelType w:val="multilevel"/>
    <w:tmpl w:val="5FE117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6">
    <w:nsid w:val="60DA4F2B"/>
    <w:multiLevelType w:val="multilevel"/>
    <w:tmpl w:val="60DA4F2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7">
    <w:nsid w:val="61B7630E"/>
    <w:multiLevelType w:val="multilevel"/>
    <w:tmpl w:val="61B7630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8">
    <w:nsid w:val="623B2A2E"/>
    <w:multiLevelType w:val="multilevel"/>
    <w:tmpl w:val="623B2A2E"/>
    <w:lvl w:ilvl="0" w:tentative="0">
      <w:start w:val="1"/>
      <w:numFmt w:val="decimal"/>
      <w:suff w:val="space"/>
      <w:lvlText w:val="%1）"/>
      <w:lvlJc w:val="left"/>
      <w:pPr>
        <w:ind w:left="720" w:hanging="360"/>
      </w:pPr>
      <w:rPr>
        <w:rFonts w:hint="default"/>
      </w:rPr>
    </w:lvl>
    <w:lvl w:ilvl="1" w:tentative="0">
      <w:start w:val="1"/>
      <w:numFmt w:val="lowerLetter"/>
      <w:lvlText w:val="%2)"/>
      <w:lvlJc w:val="left"/>
      <w:pPr>
        <w:ind w:left="1200" w:hanging="420"/>
      </w:pPr>
      <w:rPr>
        <w:rFonts w:hint="eastAsia"/>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199">
    <w:nsid w:val="62581E96"/>
    <w:multiLevelType w:val="multilevel"/>
    <w:tmpl w:val="62581E9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0">
    <w:nsid w:val="62E962AD"/>
    <w:multiLevelType w:val="multilevel"/>
    <w:tmpl w:val="62E962AD"/>
    <w:lvl w:ilvl="0" w:tentative="0">
      <w:start w:val="1"/>
      <w:numFmt w:val="decimal"/>
      <w:suff w:val="space"/>
      <w:lvlText w:val="%1."/>
      <w:lvlJc w:val="left"/>
      <w:pPr>
        <w:ind w:left="1320" w:hanging="420"/>
      </w:pPr>
      <w:rPr>
        <w:rFonts w:hint="eastAsia"/>
      </w:rPr>
    </w:lvl>
    <w:lvl w:ilvl="1" w:tentative="0">
      <w:start w:val="1"/>
      <w:numFmt w:val="lowerLetter"/>
      <w:lvlText w:val="%2)"/>
      <w:lvlJc w:val="left"/>
      <w:pPr>
        <w:ind w:left="1740" w:hanging="420"/>
      </w:pPr>
      <w:rPr>
        <w:rFonts w:hint="eastAsia"/>
      </w:rPr>
    </w:lvl>
    <w:lvl w:ilvl="2" w:tentative="0">
      <w:start w:val="1"/>
      <w:numFmt w:val="lowerRoman"/>
      <w:lvlText w:val="%3."/>
      <w:lvlJc w:val="right"/>
      <w:pPr>
        <w:ind w:left="2160" w:hanging="420"/>
      </w:pPr>
      <w:rPr>
        <w:rFonts w:hint="eastAsia"/>
      </w:rPr>
    </w:lvl>
    <w:lvl w:ilvl="3" w:tentative="0">
      <w:start w:val="1"/>
      <w:numFmt w:val="decimal"/>
      <w:lvlText w:val="%4."/>
      <w:lvlJc w:val="left"/>
      <w:pPr>
        <w:ind w:left="2580" w:hanging="420"/>
      </w:pPr>
      <w:rPr>
        <w:rFonts w:hint="eastAsia"/>
      </w:rPr>
    </w:lvl>
    <w:lvl w:ilvl="4" w:tentative="0">
      <w:start w:val="1"/>
      <w:numFmt w:val="lowerLetter"/>
      <w:lvlText w:val="%5)"/>
      <w:lvlJc w:val="left"/>
      <w:pPr>
        <w:ind w:left="3000" w:hanging="420"/>
      </w:pPr>
      <w:rPr>
        <w:rFonts w:hint="eastAsia"/>
      </w:rPr>
    </w:lvl>
    <w:lvl w:ilvl="5" w:tentative="0">
      <w:start w:val="1"/>
      <w:numFmt w:val="lowerRoman"/>
      <w:lvlText w:val="%6."/>
      <w:lvlJc w:val="right"/>
      <w:pPr>
        <w:ind w:left="3420" w:hanging="420"/>
      </w:pPr>
      <w:rPr>
        <w:rFonts w:hint="eastAsia"/>
      </w:rPr>
    </w:lvl>
    <w:lvl w:ilvl="6" w:tentative="0">
      <w:start w:val="1"/>
      <w:numFmt w:val="decimal"/>
      <w:lvlText w:val="%7."/>
      <w:lvlJc w:val="left"/>
      <w:pPr>
        <w:ind w:left="3840" w:hanging="420"/>
      </w:pPr>
      <w:rPr>
        <w:rFonts w:hint="eastAsia"/>
      </w:rPr>
    </w:lvl>
    <w:lvl w:ilvl="7" w:tentative="0">
      <w:start w:val="1"/>
      <w:numFmt w:val="lowerLetter"/>
      <w:lvlText w:val="%8)"/>
      <w:lvlJc w:val="left"/>
      <w:pPr>
        <w:ind w:left="4260" w:hanging="420"/>
      </w:pPr>
      <w:rPr>
        <w:rFonts w:hint="eastAsia"/>
      </w:rPr>
    </w:lvl>
    <w:lvl w:ilvl="8" w:tentative="0">
      <w:start w:val="1"/>
      <w:numFmt w:val="lowerRoman"/>
      <w:lvlText w:val="%9."/>
      <w:lvlJc w:val="right"/>
      <w:pPr>
        <w:ind w:left="4680" w:hanging="420"/>
      </w:pPr>
      <w:rPr>
        <w:rFonts w:hint="eastAsia"/>
      </w:rPr>
    </w:lvl>
  </w:abstractNum>
  <w:abstractNum w:abstractNumId="201">
    <w:nsid w:val="63A57096"/>
    <w:multiLevelType w:val="multilevel"/>
    <w:tmpl w:val="63A570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2">
    <w:nsid w:val="6452607E"/>
    <w:multiLevelType w:val="multilevel"/>
    <w:tmpl w:val="6452607E"/>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3">
    <w:nsid w:val="651A580E"/>
    <w:multiLevelType w:val="multilevel"/>
    <w:tmpl w:val="651A580E"/>
    <w:lvl w:ilvl="0" w:tentative="0">
      <w:start w:val="1"/>
      <w:numFmt w:val="decimal"/>
      <w:suff w:val="space"/>
      <w:lvlText w:val="%1."/>
      <w:lvlJc w:val="left"/>
      <w:pPr>
        <w:ind w:left="705" w:hanging="705"/>
      </w:pPr>
      <w:rPr>
        <w:rFonts w:hint="default"/>
      </w:rPr>
    </w:lvl>
    <w:lvl w:ilvl="1" w:tentative="0">
      <w:start w:val="1"/>
      <w:numFmt w:val="decimal"/>
      <w:lvlText w:val="%2)"/>
      <w:lvlJc w:val="left"/>
      <w:pPr>
        <w:tabs>
          <w:tab w:val="left" w:pos="1140"/>
        </w:tabs>
        <w:ind w:left="1140" w:hanging="720"/>
      </w:pPr>
      <w:rPr>
        <w:rFonts w:hint="default"/>
        <w:lang w:val="en-US"/>
      </w:rPr>
    </w:lvl>
    <w:lvl w:ilvl="2" w:tentative="0">
      <w:start w:val="1"/>
      <w:numFmt w:val="decimal"/>
      <w:lvlText w:val="%1.%2.%3"/>
      <w:lvlJc w:val="left"/>
      <w:pPr>
        <w:tabs>
          <w:tab w:val="left" w:pos="1560"/>
        </w:tabs>
        <w:ind w:left="1560" w:hanging="720"/>
      </w:pPr>
      <w:rPr>
        <w:rFonts w:hint="default"/>
      </w:rPr>
    </w:lvl>
    <w:lvl w:ilvl="3" w:tentative="0">
      <w:start w:val="1"/>
      <w:numFmt w:val="decimal"/>
      <w:lvlText w:val="%1.%2.%3.%4"/>
      <w:lvlJc w:val="left"/>
      <w:pPr>
        <w:tabs>
          <w:tab w:val="left" w:pos="2340"/>
        </w:tabs>
        <w:ind w:left="2340" w:hanging="1080"/>
      </w:pPr>
      <w:rPr>
        <w:rFonts w:hint="default"/>
      </w:rPr>
    </w:lvl>
    <w:lvl w:ilvl="4" w:tentative="0">
      <w:start w:val="1"/>
      <w:numFmt w:val="decimal"/>
      <w:lvlText w:val="%1.%2.%3.%4.%5"/>
      <w:lvlJc w:val="left"/>
      <w:pPr>
        <w:tabs>
          <w:tab w:val="left" w:pos="3120"/>
        </w:tabs>
        <w:ind w:left="3120" w:hanging="1440"/>
      </w:pPr>
      <w:rPr>
        <w:rFonts w:hint="default"/>
      </w:rPr>
    </w:lvl>
    <w:lvl w:ilvl="5" w:tentative="0">
      <w:start w:val="1"/>
      <w:numFmt w:val="decimal"/>
      <w:lvlText w:val="%1.%2.%3.%4.%5.%6"/>
      <w:lvlJc w:val="left"/>
      <w:pPr>
        <w:tabs>
          <w:tab w:val="left" w:pos="3900"/>
        </w:tabs>
        <w:ind w:left="3900" w:hanging="1800"/>
      </w:pPr>
      <w:rPr>
        <w:rFonts w:hint="default"/>
      </w:rPr>
    </w:lvl>
    <w:lvl w:ilvl="6" w:tentative="0">
      <w:start w:val="1"/>
      <w:numFmt w:val="decimal"/>
      <w:lvlText w:val="%1.%2.%3.%4.%5.%6.%7"/>
      <w:lvlJc w:val="left"/>
      <w:pPr>
        <w:tabs>
          <w:tab w:val="left" w:pos="4680"/>
        </w:tabs>
        <w:ind w:left="4680" w:hanging="2160"/>
      </w:pPr>
      <w:rPr>
        <w:rFonts w:hint="default"/>
      </w:rPr>
    </w:lvl>
    <w:lvl w:ilvl="7" w:tentative="0">
      <w:start w:val="1"/>
      <w:numFmt w:val="decimal"/>
      <w:lvlText w:val="%1.%2.%3.%4.%5.%6.%7.%8"/>
      <w:lvlJc w:val="left"/>
      <w:pPr>
        <w:tabs>
          <w:tab w:val="left" w:pos="5100"/>
        </w:tabs>
        <w:ind w:left="5100" w:hanging="2160"/>
      </w:pPr>
      <w:rPr>
        <w:rFonts w:hint="default"/>
      </w:rPr>
    </w:lvl>
    <w:lvl w:ilvl="8" w:tentative="0">
      <w:start w:val="1"/>
      <w:numFmt w:val="decimal"/>
      <w:lvlText w:val="%1.%2.%3.%4.%5.%6.%7.%8.%9"/>
      <w:lvlJc w:val="left"/>
      <w:pPr>
        <w:tabs>
          <w:tab w:val="left" w:pos="5880"/>
        </w:tabs>
        <w:ind w:left="5880" w:hanging="2520"/>
      </w:pPr>
      <w:rPr>
        <w:rFonts w:hint="default"/>
      </w:rPr>
    </w:lvl>
  </w:abstractNum>
  <w:abstractNum w:abstractNumId="204">
    <w:nsid w:val="65263354"/>
    <w:multiLevelType w:val="multilevel"/>
    <w:tmpl w:val="6526335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5">
    <w:nsid w:val="656659BE"/>
    <w:multiLevelType w:val="multilevel"/>
    <w:tmpl w:val="656659B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6">
    <w:nsid w:val="6697747F"/>
    <w:multiLevelType w:val="multilevel"/>
    <w:tmpl w:val="6697747F"/>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7">
    <w:nsid w:val="66ED5798"/>
    <w:multiLevelType w:val="multilevel"/>
    <w:tmpl w:val="66ED5798"/>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8">
    <w:nsid w:val="66F16D19"/>
    <w:multiLevelType w:val="multilevel"/>
    <w:tmpl w:val="66F16D19"/>
    <w:lvl w:ilvl="0" w:tentative="0">
      <w:start w:val="1"/>
      <w:numFmt w:val="decimal"/>
      <w:suff w:val="space"/>
      <w:lvlText w:val="%1."/>
      <w:lvlJc w:val="left"/>
      <w:pPr>
        <w:ind w:left="1320" w:hanging="420"/>
      </w:pPr>
      <w:rPr>
        <w:rFonts w:hint="eastAsia"/>
      </w:rPr>
    </w:lvl>
    <w:lvl w:ilvl="1" w:tentative="0">
      <w:start w:val="1"/>
      <w:numFmt w:val="lowerLetter"/>
      <w:lvlText w:val="%2)"/>
      <w:lvlJc w:val="left"/>
      <w:pPr>
        <w:ind w:left="1740" w:hanging="420"/>
      </w:pPr>
      <w:rPr>
        <w:rFonts w:hint="eastAsia"/>
      </w:rPr>
    </w:lvl>
    <w:lvl w:ilvl="2" w:tentative="0">
      <w:start w:val="1"/>
      <w:numFmt w:val="lowerRoman"/>
      <w:lvlText w:val="%3."/>
      <w:lvlJc w:val="right"/>
      <w:pPr>
        <w:ind w:left="2160" w:hanging="420"/>
      </w:pPr>
      <w:rPr>
        <w:rFonts w:hint="eastAsia"/>
      </w:rPr>
    </w:lvl>
    <w:lvl w:ilvl="3" w:tentative="0">
      <w:start w:val="1"/>
      <w:numFmt w:val="decimal"/>
      <w:lvlText w:val="%4."/>
      <w:lvlJc w:val="left"/>
      <w:pPr>
        <w:ind w:left="2580" w:hanging="420"/>
      </w:pPr>
      <w:rPr>
        <w:rFonts w:hint="eastAsia"/>
      </w:rPr>
    </w:lvl>
    <w:lvl w:ilvl="4" w:tentative="0">
      <w:start w:val="1"/>
      <w:numFmt w:val="lowerLetter"/>
      <w:lvlText w:val="%5)"/>
      <w:lvlJc w:val="left"/>
      <w:pPr>
        <w:ind w:left="3000" w:hanging="420"/>
      </w:pPr>
      <w:rPr>
        <w:rFonts w:hint="eastAsia"/>
      </w:rPr>
    </w:lvl>
    <w:lvl w:ilvl="5" w:tentative="0">
      <w:start w:val="1"/>
      <w:numFmt w:val="lowerRoman"/>
      <w:lvlText w:val="%6."/>
      <w:lvlJc w:val="right"/>
      <w:pPr>
        <w:ind w:left="3420" w:hanging="420"/>
      </w:pPr>
      <w:rPr>
        <w:rFonts w:hint="eastAsia"/>
      </w:rPr>
    </w:lvl>
    <w:lvl w:ilvl="6" w:tentative="0">
      <w:start w:val="1"/>
      <w:numFmt w:val="decimal"/>
      <w:lvlText w:val="%7."/>
      <w:lvlJc w:val="left"/>
      <w:pPr>
        <w:ind w:left="3840" w:hanging="420"/>
      </w:pPr>
      <w:rPr>
        <w:rFonts w:hint="eastAsia"/>
      </w:rPr>
    </w:lvl>
    <w:lvl w:ilvl="7" w:tentative="0">
      <w:start w:val="1"/>
      <w:numFmt w:val="lowerLetter"/>
      <w:lvlText w:val="%8)"/>
      <w:lvlJc w:val="left"/>
      <w:pPr>
        <w:ind w:left="4260" w:hanging="420"/>
      </w:pPr>
      <w:rPr>
        <w:rFonts w:hint="eastAsia"/>
      </w:rPr>
    </w:lvl>
    <w:lvl w:ilvl="8" w:tentative="0">
      <w:start w:val="1"/>
      <w:numFmt w:val="lowerRoman"/>
      <w:lvlText w:val="%9."/>
      <w:lvlJc w:val="right"/>
      <w:pPr>
        <w:ind w:left="4680" w:hanging="420"/>
      </w:pPr>
      <w:rPr>
        <w:rFonts w:hint="eastAsia"/>
      </w:rPr>
    </w:lvl>
  </w:abstractNum>
  <w:abstractNum w:abstractNumId="209">
    <w:nsid w:val="67561954"/>
    <w:multiLevelType w:val="multilevel"/>
    <w:tmpl w:val="6756195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0">
    <w:nsid w:val="67C36769"/>
    <w:multiLevelType w:val="multilevel"/>
    <w:tmpl w:val="67C3676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1">
    <w:nsid w:val="68141FB8"/>
    <w:multiLevelType w:val="multilevel"/>
    <w:tmpl w:val="68141FB8"/>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2">
    <w:nsid w:val="68EA35F9"/>
    <w:multiLevelType w:val="multilevel"/>
    <w:tmpl w:val="68EA35F9"/>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3">
    <w:nsid w:val="69273E07"/>
    <w:multiLevelType w:val="multilevel"/>
    <w:tmpl w:val="69273E07"/>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4">
    <w:nsid w:val="69681544"/>
    <w:multiLevelType w:val="multilevel"/>
    <w:tmpl w:val="69681544"/>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5">
    <w:nsid w:val="6B5017A1"/>
    <w:multiLevelType w:val="multilevel"/>
    <w:tmpl w:val="6B5017A1"/>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6">
    <w:nsid w:val="6B6A1015"/>
    <w:multiLevelType w:val="multilevel"/>
    <w:tmpl w:val="6B6A1015"/>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7">
    <w:nsid w:val="6B8179AB"/>
    <w:multiLevelType w:val="multilevel"/>
    <w:tmpl w:val="6B8179A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8">
    <w:nsid w:val="6BCE0534"/>
    <w:multiLevelType w:val="multilevel"/>
    <w:tmpl w:val="6BCE0534"/>
    <w:lvl w:ilvl="0" w:tentative="0">
      <w:start w:val="1"/>
      <w:numFmt w:val="chineseCountingThousand"/>
      <w:suff w:val="space"/>
      <w:lvlText w:val="第%1章"/>
      <w:lvlJc w:val="center"/>
      <w:pPr>
        <w:ind w:left="5955" w:hanging="142"/>
      </w:pPr>
      <w:rPr>
        <w:rFonts w:hint="eastAsia" w:ascii="宋体" w:hAnsi="黑体" w:eastAsia="宋体"/>
        <w:b/>
        <w:i w:val="0"/>
        <w:caps w:val="0"/>
        <w:sz w:val="32"/>
        <w:szCs w:val="32"/>
      </w:rPr>
    </w:lvl>
    <w:lvl w:ilvl="1" w:tentative="0">
      <w:start w:val="1"/>
      <w:numFmt w:val="decimal"/>
      <w:isLgl/>
      <w:suff w:val="space"/>
      <w:lvlText w:val="%1.%2"/>
      <w:lvlJc w:val="left"/>
      <w:pPr>
        <w:ind w:left="284" w:hanging="199"/>
      </w:pPr>
      <w:rPr>
        <w:rFonts w:hint="eastAsia" w:ascii="宋体" w:hAnsi="黑体" w:eastAsia="宋体"/>
        <w:b/>
        <w:i w:val="0"/>
        <w:caps w:val="0"/>
        <w:sz w:val="30"/>
        <w:szCs w:val="30"/>
      </w:rPr>
    </w:lvl>
    <w:lvl w:ilvl="2" w:tentative="0">
      <w:start w:val="1"/>
      <w:numFmt w:val="decimal"/>
      <w:isLgl/>
      <w:suff w:val="space"/>
      <w:lvlText w:val="%1.%2.%3"/>
      <w:lvlJc w:val="left"/>
      <w:pPr>
        <w:ind w:left="425" w:hanging="255"/>
      </w:pPr>
      <w:rPr>
        <w:rFonts w:hint="eastAsia" w:ascii="宋体" w:hAnsi="黑体" w:eastAsia="宋体"/>
        <w:b/>
        <w:i w:val="0"/>
        <w:caps w:val="0"/>
        <w:sz w:val="28"/>
        <w:szCs w:val="28"/>
      </w:rPr>
    </w:lvl>
    <w:lvl w:ilvl="3" w:tentative="0">
      <w:start w:val="1"/>
      <w:numFmt w:val="decimal"/>
      <w:isLgl/>
      <w:suff w:val="space"/>
      <w:lvlText w:val="%1.%2.%3.%4"/>
      <w:lvlJc w:val="left"/>
      <w:pPr>
        <w:ind w:left="567" w:hanging="312"/>
      </w:pPr>
      <w:rPr>
        <w:rFonts w:hint="eastAsia" w:ascii="宋体" w:hAnsi="黑体" w:eastAsia="宋体"/>
        <w:b/>
        <w:i w:val="0"/>
        <w:caps w:val="0"/>
        <w:sz w:val="28"/>
        <w:szCs w:val="28"/>
      </w:rPr>
    </w:lvl>
    <w:lvl w:ilvl="4" w:tentative="0">
      <w:start w:val="1"/>
      <w:numFmt w:val="decimal"/>
      <w:isLgl/>
      <w:suff w:val="space"/>
      <w:lvlText w:val="%1.%2.%3.%4.%5"/>
      <w:lvlJc w:val="left"/>
      <w:pPr>
        <w:ind w:left="709" w:hanging="369"/>
      </w:pPr>
      <w:rPr>
        <w:rFonts w:hint="eastAsia" w:ascii="宋体" w:hAnsi="宋体" w:eastAsia="宋体"/>
        <w:b/>
        <w:bCs/>
        <w:sz w:val="28"/>
        <w:szCs w:val="28"/>
      </w:rPr>
    </w:lvl>
    <w:lvl w:ilvl="5" w:tentative="0">
      <w:start w:val="1"/>
      <w:numFmt w:val="decimal"/>
      <w:isLgl/>
      <w:lvlText w:val="%1.%2.%3.%4.%5.%6"/>
      <w:lvlJc w:val="left"/>
      <w:pPr>
        <w:ind w:left="0" w:firstLine="0"/>
      </w:pPr>
      <w:rPr>
        <w:rFonts w:hint="default" w:ascii="宋体" w:hAnsi="宋体" w:eastAsia="宋体"/>
        <w:b/>
        <w:i w:val="0"/>
        <w:caps w:val="0"/>
        <w:color w:val="000000" w:themeColor="text1"/>
        <w:sz w:val="28"/>
        <w:szCs w:val="28"/>
        <w14:textFill>
          <w14:solidFill>
            <w14:schemeClr w14:val="tx1"/>
          </w14:solidFill>
        </w14:textFill>
      </w:rPr>
    </w:lvl>
    <w:lvl w:ilvl="6" w:tentative="0">
      <w:start w:val="1"/>
      <w:numFmt w:val="decimal"/>
      <w:lvlText w:val="%1.%2.%3.%4.%5.%6.%7"/>
      <w:lvlJc w:val="left"/>
      <w:pPr>
        <w:ind w:left="0" w:firstLine="0"/>
      </w:pPr>
      <w:rPr>
        <w:rFonts w:hint="eastAsia" w:ascii="宋体" w:hAnsi="宋体" w:eastAsia="宋体"/>
      </w:rPr>
    </w:lvl>
    <w:lvl w:ilvl="7" w:tentative="0">
      <w:start w:val="1"/>
      <w:numFmt w:val="decimal"/>
      <w:lvlText w:val="%1.%2.%3.%4.%5.%6.%7.%8"/>
      <w:lvlJc w:val="left"/>
      <w:pPr>
        <w:ind w:left="0" w:firstLine="0"/>
      </w:pPr>
      <w:rPr>
        <w:rFonts w:hint="eastAsia" w:ascii="宋体" w:hAnsi="宋体" w:eastAsia="宋体"/>
      </w:rPr>
    </w:lvl>
    <w:lvl w:ilvl="8" w:tentative="0">
      <w:start w:val="1"/>
      <w:numFmt w:val="decimal"/>
      <w:lvlText w:val="%1.%2.%3.%4.%5.%6.%7.%8.%9"/>
      <w:lvlJc w:val="left"/>
      <w:pPr>
        <w:ind w:left="0" w:firstLine="0"/>
      </w:pPr>
      <w:rPr>
        <w:rFonts w:hint="eastAsia" w:ascii="宋体" w:hAnsi="宋体" w:eastAsia="宋体"/>
      </w:rPr>
    </w:lvl>
  </w:abstractNum>
  <w:abstractNum w:abstractNumId="219">
    <w:nsid w:val="6EC6638A"/>
    <w:multiLevelType w:val="multilevel"/>
    <w:tmpl w:val="6EC6638A"/>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0">
    <w:nsid w:val="6FCB18FF"/>
    <w:multiLevelType w:val="multilevel"/>
    <w:tmpl w:val="6FCB18FF"/>
    <w:lvl w:ilvl="0" w:tentative="0">
      <w:start w:val="1"/>
      <w:numFmt w:val="decimal"/>
      <w:suff w:val="nothing"/>
      <w:lvlText w:val="%1）"/>
      <w:lvlJc w:val="left"/>
      <w:pPr>
        <w:ind w:left="720" w:hanging="360"/>
      </w:pPr>
      <w:rPr>
        <w:rFonts w:hint="default"/>
      </w:rPr>
    </w:lvl>
    <w:lvl w:ilvl="1" w:tentative="0">
      <w:start w:val="9"/>
      <w:numFmt w:val="decimal"/>
      <w:lvlText w:val="%2、"/>
      <w:lvlJc w:val="left"/>
      <w:pPr>
        <w:ind w:left="1140" w:hanging="360"/>
      </w:pPr>
      <w:rPr>
        <w:rFonts w:hint="default"/>
      </w:rPr>
    </w:lvl>
    <w:lvl w:ilvl="2" w:tentative="0">
      <w:start w:val="1"/>
      <w:numFmt w:val="lowerRoman"/>
      <w:lvlText w:val="%3."/>
      <w:lvlJc w:val="right"/>
      <w:pPr>
        <w:ind w:left="1620" w:hanging="420"/>
      </w:pPr>
      <w:rPr>
        <w:rFonts w:hint="eastAsia"/>
      </w:rPr>
    </w:lvl>
    <w:lvl w:ilvl="3" w:tentative="0">
      <w:start w:val="1"/>
      <w:numFmt w:val="decimal"/>
      <w:lvlText w:val="%4."/>
      <w:lvlJc w:val="left"/>
      <w:pPr>
        <w:ind w:left="2040" w:hanging="420"/>
      </w:pPr>
      <w:rPr>
        <w:rFonts w:hint="eastAsia"/>
      </w:rPr>
    </w:lvl>
    <w:lvl w:ilvl="4" w:tentative="0">
      <w:start w:val="1"/>
      <w:numFmt w:val="lowerLetter"/>
      <w:lvlText w:val="%5)"/>
      <w:lvlJc w:val="left"/>
      <w:pPr>
        <w:ind w:left="2460" w:hanging="420"/>
      </w:pPr>
      <w:rPr>
        <w:rFonts w:hint="eastAsia"/>
      </w:rPr>
    </w:lvl>
    <w:lvl w:ilvl="5" w:tentative="0">
      <w:start w:val="1"/>
      <w:numFmt w:val="lowerRoman"/>
      <w:lvlText w:val="%6."/>
      <w:lvlJc w:val="right"/>
      <w:pPr>
        <w:ind w:left="2880" w:hanging="420"/>
      </w:pPr>
      <w:rPr>
        <w:rFonts w:hint="eastAsia"/>
      </w:rPr>
    </w:lvl>
    <w:lvl w:ilvl="6" w:tentative="0">
      <w:start w:val="1"/>
      <w:numFmt w:val="decimal"/>
      <w:lvlText w:val="%7."/>
      <w:lvlJc w:val="left"/>
      <w:pPr>
        <w:ind w:left="3300" w:hanging="420"/>
      </w:pPr>
      <w:rPr>
        <w:rFonts w:hint="eastAsia"/>
      </w:rPr>
    </w:lvl>
    <w:lvl w:ilvl="7" w:tentative="0">
      <w:start w:val="1"/>
      <w:numFmt w:val="lowerLetter"/>
      <w:lvlText w:val="%8)"/>
      <w:lvlJc w:val="left"/>
      <w:pPr>
        <w:ind w:left="3720" w:hanging="420"/>
      </w:pPr>
      <w:rPr>
        <w:rFonts w:hint="eastAsia"/>
      </w:rPr>
    </w:lvl>
    <w:lvl w:ilvl="8" w:tentative="0">
      <w:start w:val="1"/>
      <w:numFmt w:val="lowerRoman"/>
      <w:lvlText w:val="%9."/>
      <w:lvlJc w:val="right"/>
      <w:pPr>
        <w:ind w:left="4140" w:hanging="420"/>
      </w:pPr>
      <w:rPr>
        <w:rFonts w:hint="eastAsia"/>
      </w:rPr>
    </w:lvl>
  </w:abstractNum>
  <w:abstractNum w:abstractNumId="221">
    <w:nsid w:val="705E14B3"/>
    <w:multiLevelType w:val="multilevel"/>
    <w:tmpl w:val="705E14B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2">
    <w:nsid w:val="71080D34"/>
    <w:multiLevelType w:val="multilevel"/>
    <w:tmpl w:val="71080D34"/>
    <w:lvl w:ilvl="0" w:tentative="0">
      <w:start w:val="1"/>
      <w:numFmt w:val="chineseCountingThousand"/>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3">
    <w:nsid w:val="713260AD"/>
    <w:multiLevelType w:val="multilevel"/>
    <w:tmpl w:val="713260AD"/>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4">
    <w:nsid w:val="715819D3"/>
    <w:multiLevelType w:val="multilevel"/>
    <w:tmpl w:val="71581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5">
    <w:nsid w:val="71593594"/>
    <w:multiLevelType w:val="multilevel"/>
    <w:tmpl w:val="71593594"/>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26">
    <w:nsid w:val="71AC2EB4"/>
    <w:multiLevelType w:val="multilevel"/>
    <w:tmpl w:val="71AC2EB4"/>
    <w:lvl w:ilvl="0" w:tentative="0">
      <w:start w:val="1"/>
      <w:numFmt w:val="decimal"/>
      <w:lvlText w:val="%1."/>
      <w:lvlJc w:val="left"/>
      <w:pPr>
        <w:ind w:left="360" w:hanging="360"/>
      </w:pPr>
      <w:rPr>
        <w:rFonts w:hint="default"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7">
    <w:nsid w:val="72602FC0"/>
    <w:multiLevelType w:val="multilevel"/>
    <w:tmpl w:val="72602F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8">
    <w:nsid w:val="73DD444D"/>
    <w:multiLevelType w:val="multilevel"/>
    <w:tmpl w:val="73DD444D"/>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9">
    <w:nsid w:val="74BD4248"/>
    <w:multiLevelType w:val="multilevel"/>
    <w:tmpl w:val="74BD424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0">
    <w:nsid w:val="75FD47A8"/>
    <w:multiLevelType w:val="multilevel"/>
    <w:tmpl w:val="75FD47A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1">
    <w:nsid w:val="76264FB7"/>
    <w:multiLevelType w:val="multilevel"/>
    <w:tmpl w:val="76264FB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2">
    <w:nsid w:val="76591099"/>
    <w:multiLevelType w:val="multilevel"/>
    <w:tmpl w:val="7659109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3">
    <w:nsid w:val="772A4AD6"/>
    <w:multiLevelType w:val="multilevel"/>
    <w:tmpl w:val="772A4AD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4">
    <w:nsid w:val="780660E0"/>
    <w:multiLevelType w:val="multilevel"/>
    <w:tmpl w:val="780660E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5">
    <w:nsid w:val="784D6B19"/>
    <w:multiLevelType w:val="multilevel"/>
    <w:tmpl w:val="784D6B19"/>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36">
    <w:nsid w:val="784E0830"/>
    <w:multiLevelType w:val="multilevel"/>
    <w:tmpl w:val="784E083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7">
    <w:nsid w:val="78A23FB2"/>
    <w:multiLevelType w:val="multilevel"/>
    <w:tmpl w:val="78A23FB2"/>
    <w:lvl w:ilvl="0" w:tentative="0">
      <w:start w:val="1"/>
      <w:numFmt w:val="decimal"/>
      <w:suff w:val="space"/>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8">
    <w:nsid w:val="7A5C628E"/>
    <w:multiLevelType w:val="multilevel"/>
    <w:tmpl w:val="7A5C628E"/>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39">
    <w:nsid w:val="7D37746F"/>
    <w:multiLevelType w:val="multilevel"/>
    <w:tmpl w:val="7D3774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0">
    <w:nsid w:val="7D3F2151"/>
    <w:multiLevelType w:val="multilevel"/>
    <w:tmpl w:val="7D3F2151"/>
    <w:lvl w:ilvl="0" w:tentative="0">
      <w:start w:val="1"/>
      <w:numFmt w:val="decimal"/>
      <w:suff w:val="space"/>
      <w:lvlText w:val="%1."/>
      <w:lvlJc w:val="left"/>
      <w:pPr>
        <w:ind w:left="1320" w:hanging="420"/>
      </w:pPr>
      <w:rPr>
        <w:rFonts w:hint="eastAsia"/>
      </w:rPr>
    </w:lvl>
    <w:lvl w:ilvl="1" w:tentative="0">
      <w:start w:val="1"/>
      <w:numFmt w:val="lowerLetter"/>
      <w:lvlText w:val="%2)"/>
      <w:lvlJc w:val="left"/>
      <w:pPr>
        <w:ind w:left="1740" w:hanging="420"/>
      </w:pPr>
      <w:rPr>
        <w:rFonts w:hint="eastAsia"/>
      </w:rPr>
    </w:lvl>
    <w:lvl w:ilvl="2" w:tentative="0">
      <w:start w:val="1"/>
      <w:numFmt w:val="lowerRoman"/>
      <w:lvlText w:val="%3."/>
      <w:lvlJc w:val="right"/>
      <w:pPr>
        <w:ind w:left="2160" w:hanging="420"/>
      </w:pPr>
      <w:rPr>
        <w:rFonts w:hint="eastAsia"/>
      </w:rPr>
    </w:lvl>
    <w:lvl w:ilvl="3" w:tentative="0">
      <w:start w:val="1"/>
      <w:numFmt w:val="decimal"/>
      <w:lvlText w:val="%4."/>
      <w:lvlJc w:val="left"/>
      <w:pPr>
        <w:ind w:left="2580" w:hanging="420"/>
      </w:pPr>
      <w:rPr>
        <w:rFonts w:hint="eastAsia"/>
      </w:rPr>
    </w:lvl>
    <w:lvl w:ilvl="4" w:tentative="0">
      <w:start w:val="1"/>
      <w:numFmt w:val="lowerLetter"/>
      <w:lvlText w:val="%5)"/>
      <w:lvlJc w:val="left"/>
      <w:pPr>
        <w:ind w:left="3000" w:hanging="420"/>
      </w:pPr>
      <w:rPr>
        <w:rFonts w:hint="eastAsia"/>
      </w:rPr>
    </w:lvl>
    <w:lvl w:ilvl="5" w:tentative="0">
      <w:start w:val="1"/>
      <w:numFmt w:val="lowerRoman"/>
      <w:lvlText w:val="%6."/>
      <w:lvlJc w:val="right"/>
      <w:pPr>
        <w:ind w:left="3420" w:hanging="420"/>
      </w:pPr>
      <w:rPr>
        <w:rFonts w:hint="eastAsia"/>
      </w:rPr>
    </w:lvl>
    <w:lvl w:ilvl="6" w:tentative="0">
      <w:start w:val="1"/>
      <w:numFmt w:val="decimal"/>
      <w:lvlText w:val="%7."/>
      <w:lvlJc w:val="left"/>
      <w:pPr>
        <w:ind w:left="3840" w:hanging="420"/>
      </w:pPr>
      <w:rPr>
        <w:rFonts w:hint="eastAsia"/>
      </w:rPr>
    </w:lvl>
    <w:lvl w:ilvl="7" w:tentative="0">
      <w:start w:val="1"/>
      <w:numFmt w:val="lowerLetter"/>
      <w:lvlText w:val="%8)"/>
      <w:lvlJc w:val="left"/>
      <w:pPr>
        <w:ind w:left="4260" w:hanging="420"/>
      </w:pPr>
      <w:rPr>
        <w:rFonts w:hint="eastAsia"/>
      </w:rPr>
    </w:lvl>
    <w:lvl w:ilvl="8" w:tentative="0">
      <w:start w:val="1"/>
      <w:numFmt w:val="lowerRoman"/>
      <w:lvlText w:val="%9."/>
      <w:lvlJc w:val="right"/>
      <w:pPr>
        <w:ind w:left="4680" w:hanging="420"/>
      </w:pPr>
      <w:rPr>
        <w:rFonts w:hint="eastAsia"/>
      </w:rPr>
    </w:lvl>
  </w:abstractNum>
  <w:abstractNum w:abstractNumId="241">
    <w:nsid w:val="7D682C6C"/>
    <w:multiLevelType w:val="singleLevel"/>
    <w:tmpl w:val="7D682C6C"/>
    <w:lvl w:ilvl="0" w:tentative="0">
      <w:start w:val="1"/>
      <w:numFmt w:val="decimal"/>
      <w:suff w:val="space"/>
      <w:lvlText w:val="(%1)"/>
      <w:lvlJc w:val="left"/>
      <w:pPr>
        <w:ind w:left="425" w:hanging="425"/>
      </w:pPr>
      <w:rPr>
        <w:rFonts w:hint="default"/>
      </w:rPr>
    </w:lvl>
  </w:abstractNum>
  <w:abstractNum w:abstractNumId="242">
    <w:nsid w:val="7D811040"/>
    <w:multiLevelType w:val="multilevel"/>
    <w:tmpl w:val="7D81104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3">
    <w:nsid w:val="7FC320CB"/>
    <w:multiLevelType w:val="multilevel"/>
    <w:tmpl w:val="7FC320C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4">
    <w:nsid w:val="7FDC6CF6"/>
    <w:multiLevelType w:val="multilevel"/>
    <w:tmpl w:val="7FDC6CF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0"/>
  </w:num>
  <w:num w:numId="2">
    <w:abstractNumId w:val="155"/>
  </w:num>
  <w:num w:numId="3">
    <w:abstractNumId w:val="59"/>
  </w:num>
  <w:num w:numId="4">
    <w:abstractNumId w:val="103"/>
  </w:num>
  <w:num w:numId="5">
    <w:abstractNumId w:val="145"/>
  </w:num>
  <w:num w:numId="6">
    <w:abstractNumId w:val="154"/>
  </w:num>
  <w:num w:numId="7">
    <w:abstractNumId w:val="22"/>
  </w:num>
  <w:num w:numId="8">
    <w:abstractNumId w:val="76"/>
  </w:num>
  <w:num w:numId="9">
    <w:abstractNumId w:val="131"/>
  </w:num>
  <w:num w:numId="10">
    <w:abstractNumId w:val="178"/>
  </w:num>
  <w:num w:numId="11">
    <w:abstractNumId w:val="52"/>
  </w:num>
  <w:num w:numId="12">
    <w:abstractNumId w:val="46"/>
  </w:num>
  <w:num w:numId="13">
    <w:abstractNumId w:val="218"/>
  </w:num>
  <w:num w:numId="14">
    <w:abstractNumId w:val="88"/>
  </w:num>
  <w:num w:numId="15">
    <w:abstractNumId w:val="16"/>
  </w:num>
  <w:num w:numId="16">
    <w:abstractNumId w:val="164"/>
  </w:num>
  <w:num w:numId="17">
    <w:abstractNumId w:val="98"/>
  </w:num>
  <w:num w:numId="18">
    <w:abstractNumId w:val="135"/>
  </w:num>
  <w:num w:numId="19">
    <w:abstractNumId w:val="10"/>
  </w:num>
  <w:num w:numId="20">
    <w:abstractNumId w:val="17"/>
  </w:num>
  <w:num w:numId="21">
    <w:abstractNumId w:val="187"/>
  </w:num>
  <w:num w:numId="22">
    <w:abstractNumId w:val="204"/>
  </w:num>
  <w:num w:numId="23">
    <w:abstractNumId w:val="147"/>
  </w:num>
  <w:num w:numId="24">
    <w:abstractNumId w:val="89"/>
  </w:num>
  <w:num w:numId="25">
    <w:abstractNumId w:val="15"/>
  </w:num>
  <w:num w:numId="26">
    <w:abstractNumId w:val="4"/>
  </w:num>
  <w:num w:numId="27">
    <w:abstractNumId w:val="9"/>
  </w:num>
  <w:num w:numId="28">
    <w:abstractNumId w:val="21"/>
  </w:num>
  <w:num w:numId="29">
    <w:abstractNumId w:val="128"/>
  </w:num>
  <w:num w:numId="30">
    <w:abstractNumId w:val="146"/>
  </w:num>
  <w:num w:numId="31">
    <w:abstractNumId w:val="226"/>
  </w:num>
  <w:num w:numId="32">
    <w:abstractNumId w:val="172"/>
  </w:num>
  <w:num w:numId="33">
    <w:abstractNumId w:val="8"/>
  </w:num>
  <w:num w:numId="34">
    <w:abstractNumId w:val="3"/>
  </w:num>
  <w:num w:numId="35">
    <w:abstractNumId w:val="11"/>
  </w:num>
  <w:num w:numId="36">
    <w:abstractNumId w:val="14"/>
  </w:num>
  <w:num w:numId="37">
    <w:abstractNumId w:val="171"/>
  </w:num>
  <w:num w:numId="38">
    <w:abstractNumId w:val="183"/>
  </w:num>
  <w:num w:numId="39">
    <w:abstractNumId w:val="90"/>
  </w:num>
  <w:num w:numId="40">
    <w:abstractNumId w:val="130"/>
  </w:num>
  <w:num w:numId="41">
    <w:abstractNumId w:val="37"/>
  </w:num>
  <w:num w:numId="42">
    <w:abstractNumId w:val="222"/>
  </w:num>
  <w:num w:numId="43">
    <w:abstractNumId w:val="41"/>
  </w:num>
  <w:num w:numId="44">
    <w:abstractNumId w:val="232"/>
  </w:num>
  <w:num w:numId="45">
    <w:abstractNumId w:val="84"/>
  </w:num>
  <w:num w:numId="46">
    <w:abstractNumId w:val="149"/>
  </w:num>
  <w:num w:numId="47">
    <w:abstractNumId w:val="157"/>
  </w:num>
  <w:num w:numId="48">
    <w:abstractNumId w:val="70"/>
  </w:num>
  <w:num w:numId="49">
    <w:abstractNumId w:val="167"/>
  </w:num>
  <w:num w:numId="50">
    <w:abstractNumId w:val="156"/>
  </w:num>
  <w:num w:numId="51">
    <w:abstractNumId w:val="174"/>
  </w:num>
  <w:num w:numId="52">
    <w:abstractNumId w:val="109"/>
  </w:num>
  <w:num w:numId="53">
    <w:abstractNumId w:val="134"/>
  </w:num>
  <w:num w:numId="54">
    <w:abstractNumId w:val="228"/>
  </w:num>
  <w:num w:numId="55">
    <w:abstractNumId w:val="74"/>
  </w:num>
  <w:num w:numId="56">
    <w:abstractNumId w:val="121"/>
  </w:num>
  <w:num w:numId="57">
    <w:abstractNumId w:val="23"/>
  </w:num>
  <w:num w:numId="58">
    <w:abstractNumId w:val="83"/>
  </w:num>
  <w:num w:numId="59">
    <w:abstractNumId w:val="223"/>
  </w:num>
  <w:num w:numId="60">
    <w:abstractNumId w:val="177"/>
  </w:num>
  <w:num w:numId="61">
    <w:abstractNumId w:val="136"/>
  </w:num>
  <w:num w:numId="62">
    <w:abstractNumId w:val="142"/>
  </w:num>
  <w:num w:numId="63">
    <w:abstractNumId w:val="97"/>
  </w:num>
  <w:num w:numId="64">
    <w:abstractNumId w:val="144"/>
  </w:num>
  <w:num w:numId="65">
    <w:abstractNumId w:val="31"/>
  </w:num>
  <w:num w:numId="66">
    <w:abstractNumId w:val="85"/>
  </w:num>
  <w:num w:numId="67">
    <w:abstractNumId w:val="27"/>
  </w:num>
  <w:num w:numId="68">
    <w:abstractNumId w:val="53"/>
  </w:num>
  <w:num w:numId="69">
    <w:abstractNumId w:val="139"/>
  </w:num>
  <w:num w:numId="70">
    <w:abstractNumId w:val="148"/>
  </w:num>
  <w:num w:numId="71">
    <w:abstractNumId w:val="38"/>
  </w:num>
  <w:num w:numId="72">
    <w:abstractNumId w:val="115"/>
  </w:num>
  <w:num w:numId="73">
    <w:abstractNumId w:val="63"/>
  </w:num>
  <w:num w:numId="74">
    <w:abstractNumId w:val="207"/>
  </w:num>
  <w:num w:numId="75">
    <w:abstractNumId w:val="34"/>
  </w:num>
  <w:num w:numId="76">
    <w:abstractNumId w:val="42"/>
  </w:num>
  <w:num w:numId="77">
    <w:abstractNumId w:val="44"/>
  </w:num>
  <w:num w:numId="78">
    <w:abstractNumId w:val="6"/>
  </w:num>
  <w:num w:numId="79">
    <w:abstractNumId w:val="213"/>
  </w:num>
  <w:num w:numId="80">
    <w:abstractNumId w:val="161"/>
  </w:num>
  <w:num w:numId="81">
    <w:abstractNumId w:val="110"/>
  </w:num>
  <w:num w:numId="82">
    <w:abstractNumId w:val="190"/>
  </w:num>
  <w:num w:numId="83">
    <w:abstractNumId w:val="205"/>
  </w:num>
  <w:num w:numId="84">
    <w:abstractNumId w:val="75"/>
  </w:num>
  <w:num w:numId="85">
    <w:abstractNumId w:val="133"/>
  </w:num>
  <w:num w:numId="86">
    <w:abstractNumId w:val="99"/>
  </w:num>
  <w:num w:numId="87">
    <w:abstractNumId w:val="229"/>
  </w:num>
  <w:num w:numId="88">
    <w:abstractNumId w:val="108"/>
  </w:num>
  <w:num w:numId="89">
    <w:abstractNumId w:val="137"/>
  </w:num>
  <w:num w:numId="90">
    <w:abstractNumId w:val="239"/>
  </w:num>
  <w:num w:numId="91">
    <w:abstractNumId w:val="51"/>
  </w:num>
  <w:num w:numId="92">
    <w:abstractNumId w:val="71"/>
  </w:num>
  <w:num w:numId="93">
    <w:abstractNumId w:val="236"/>
  </w:num>
  <w:num w:numId="94">
    <w:abstractNumId w:val="158"/>
  </w:num>
  <w:num w:numId="95">
    <w:abstractNumId w:val="215"/>
  </w:num>
  <w:num w:numId="96">
    <w:abstractNumId w:val="48"/>
  </w:num>
  <w:num w:numId="97">
    <w:abstractNumId w:val="105"/>
  </w:num>
  <w:num w:numId="98">
    <w:abstractNumId w:val="61"/>
  </w:num>
  <w:num w:numId="99">
    <w:abstractNumId w:val="92"/>
  </w:num>
  <w:num w:numId="100">
    <w:abstractNumId w:val="237"/>
  </w:num>
  <w:num w:numId="101">
    <w:abstractNumId w:val="1"/>
  </w:num>
  <w:num w:numId="102">
    <w:abstractNumId w:val="241"/>
  </w:num>
  <w:num w:numId="103">
    <w:abstractNumId w:val="18"/>
  </w:num>
  <w:num w:numId="104">
    <w:abstractNumId w:val="210"/>
  </w:num>
  <w:num w:numId="105">
    <w:abstractNumId w:val="65"/>
  </w:num>
  <w:num w:numId="106">
    <w:abstractNumId w:val="120"/>
  </w:num>
  <w:num w:numId="107">
    <w:abstractNumId w:val="189"/>
  </w:num>
  <w:num w:numId="108">
    <w:abstractNumId w:val="95"/>
  </w:num>
  <w:num w:numId="109">
    <w:abstractNumId w:val="195"/>
  </w:num>
  <w:num w:numId="110">
    <w:abstractNumId w:val="118"/>
  </w:num>
  <w:num w:numId="111">
    <w:abstractNumId w:val="231"/>
  </w:num>
  <w:num w:numId="112">
    <w:abstractNumId w:val="32"/>
  </w:num>
  <w:num w:numId="113">
    <w:abstractNumId w:val="173"/>
  </w:num>
  <w:num w:numId="114">
    <w:abstractNumId w:val="86"/>
  </w:num>
  <w:num w:numId="115">
    <w:abstractNumId w:val="132"/>
  </w:num>
  <w:num w:numId="116">
    <w:abstractNumId w:val="45"/>
  </w:num>
  <w:num w:numId="117">
    <w:abstractNumId w:val="73"/>
  </w:num>
  <w:num w:numId="118">
    <w:abstractNumId w:val="113"/>
  </w:num>
  <w:num w:numId="119">
    <w:abstractNumId w:val="211"/>
  </w:num>
  <w:num w:numId="120">
    <w:abstractNumId w:val="81"/>
  </w:num>
  <w:num w:numId="121">
    <w:abstractNumId w:val="206"/>
  </w:num>
  <w:num w:numId="122">
    <w:abstractNumId w:val="67"/>
  </w:num>
  <w:num w:numId="123">
    <w:abstractNumId w:val="50"/>
  </w:num>
  <w:num w:numId="124">
    <w:abstractNumId w:val="166"/>
  </w:num>
  <w:num w:numId="125">
    <w:abstractNumId w:val="91"/>
  </w:num>
  <w:num w:numId="126">
    <w:abstractNumId w:val="179"/>
  </w:num>
  <w:num w:numId="127">
    <w:abstractNumId w:val="198"/>
  </w:num>
  <w:num w:numId="128">
    <w:abstractNumId w:val="64"/>
  </w:num>
  <w:num w:numId="129">
    <w:abstractNumId w:val="78"/>
  </w:num>
  <w:num w:numId="130">
    <w:abstractNumId w:val="29"/>
  </w:num>
  <w:num w:numId="131">
    <w:abstractNumId w:val="170"/>
  </w:num>
  <w:num w:numId="132">
    <w:abstractNumId w:val="220"/>
  </w:num>
  <w:num w:numId="133">
    <w:abstractNumId w:val="216"/>
  </w:num>
  <w:num w:numId="134">
    <w:abstractNumId w:val="194"/>
  </w:num>
  <w:num w:numId="135">
    <w:abstractNumId w:val="72"/>
  </w:num>
  <w:num w:numId="136">
    <w:abstractNumId w:val="49"/>
  </w:num>
  <w:num w:numId="137">
    <w:abstractNumId w:val="181"/>
  </w:num>
  <w:num w:numId="138">
    <w:abstractNumId w:val="202"/>
  </w:num>
  <w:num w:numId="139">
    <w:abstractNumId w:val="160"/>
  </w:num>
  <w:num w:numId="140">
    <w:abstractNumId w:val="219"/>
  </w:num>
  <w:num w:numId="141">
    <w:abstractNumId w:val="104"/>
  </w:num>
  <w:num w:numId="142">
    <w:abstractNumId w:val="117"/>
  </w:num>
  <w:num w:numId="143">
    <w:abstractNumId w:val="168"/>
  </w:num>
  <w:num w:numId="144">
    <w:abstractNumId w:val="159"/>
  </w:num>
  <w:num w:numId="145">
    <w:abstractNumId w:val="56"/>
  </w:num>
  <w:num w:numId="146">
    <w:abstractNumId w:val="151"/>
  </w:num>
  <w:num w:numId="147">
    <w:abstractNumId w:val="176"/>
  </w:num>
  <w:num w:numId="148">
    <w:abstractNumId w:val="201"/>
  </w:num>
  <w:num w:numId="149">
    <w:abstractNumId w:val="30"/>
  </w:num>
  <w:num w:numId="150">
    <w:abstractNumId w:val="233"/>
  </w:num>
  <w:num w:numId="151">
    <w:abstractNumId w:val="244"/>
  </w:num>
  <w:num w:numId="152">
    <w:abstractNumId w:val="57"/>
  </w:num>
  <w:num w:numId="153">
    <w:abstractNumId w:val="214"/>
  </w:num>
  <w:num w:numId="154">
    <w:abstractNumId w:val="106"/>
  </w:num>
  <w:num w:numId="155">
    <w:abstractNumId w:val="127"/>
  </w:num>
  <w:num w:numId="156">
    <w:abstractNumId w:val="208"/>
  </w:num>
  <w:num w:numId="157">
    <w:abstractNumId w:val="184"/>
  </w:num>
  <w:num w:numId="158">
    <w:abstractNumId w:val="240"/>
  </w:num>
  <w:num w:numId="159">
    <w:abstractNumId w:val="200"/>
  </w:num>
  <w:num w:numId="160">
    <w:abstractNumId w:val="58"/>
  </w:num>
  <w:num w:numId="161">
    <w:abstractNumId w:val="225"/>
  </w:num>
  <w:num w:numId="162">
    <w:abstractNumId w:val="24"/>
  </w:num>
  <w:num w:numId="163">
    <w:abstractNumId w:val="47"/>
  </w:num>
  <w:num w:numId="164">
    <w:abstractNumId w:val="235"/>
  </w:num>
  <w:num w:numId="165">
    <w:abstractNumId w:val="122"/>
  </w:num>
  <w:num w:numId="166">
    <w:abstractNumId w:val="165"/>
  </w:num>
  <w:num w:numId="167">
    <w:abstractNumId w:val="193"/>
  </w:num>
  <w:num w:numId="168">
    <w:abstractNumId w:val="238"/>
  </w:num>
  <w:num w:numId="169">
    <w:abstractNumId w:val="35"/>
  </w:num>
  <w:num w:numId="170">
    <w:abstractNumId w:val="102"/>
  </w:num>
  <w:num w:numId="171">
    <w:abstractNumId w:val="112"/>
  </w:num>
  <w:num w:numId="172">
    <w:abstractNumId w:val="186"/>
  </w:num>
  <w:num w:numId="173">
    <w:abstractNumId w:val="66"/>
  </w:num>
  <w:num w:numId="174">
    <w:abstractNumId w:val="141"/>
  </w:num>
  <w:num w:numId="175">
    <w:abstractNumId w:val="152"/>
  </w:num>
  <w:num w:numId="176">
    <w:abstractNumId w:val="188"/>
  </w:num>
  <w:num w:numId="177">
    <w:abstractNumId w:val="25"/>
  </w:num>
  <w:num w:numId="178">
    <w:abstractNumId w:val="199"/>
  </w:num>
  <w:num w:numId="179">
    <w:abstractNumId w:val="87"/>
  </w:num>
  <w:num w:numId="180">
    <w:abstractNumId w:val="94"/>
  </w:num>
  <w:num w:numId="181">
    <w:abstractNumId w:val="96"/>
  </w:num>
  <w:num w:numId="182">
    <w:abstractNumId w:val="140"/>
  </w:num>
  <w:num w:numId="183">
    <w:abstractNumId w:val="163"/>
  </w:num>
  <w:num w:numId="184">
    <w:abstractNumId w:val="7"/>
  </w:num>
  <w:num w:numId="185">
    <w:abstractNumId w:val="68"/>
  </w:num>
  <w:num w:numId="186">
    <w:abstractNumId w:val="138"/>
  </w:num>
  <w:num w:numId="187">
    <w:abstractNumId w:val="150"/>
  </w:num>
  <w:num w:numId="188">
    <w:abstractNumId w:val="143"/>
  </w:num>
  <w:num w:numId="189">
    <w:abstractNumId w:val="60"/>
  </w:num>
  <w:num w:numId="190">
    <w:abstractNumId w:val="196"/>
  </w:num>
  <w:num w:numId="191">
    <w:abstractNumId w:val="124"/>
  </w:num>
  <w:num w:numId="192">
    <w:abstractNumId w:val="197"/>
  </w:num>
  <w:num w:numId="193">
    <w:abstractNumId w:val="119"/>
  </w:num>
  <w:num w:numId="194">
    <w:abstractNumId w:val="111"/>
  </w:num>
  <w:num w:numId="195">
    <w:abstractNumId w:val="217"/>
  </w:num>
  <w:num w:numId="196">
    <w:abstractNumId w:val="125"/>
  </w:num>
  <w:num w:numId="197">
    <w:abstractNumId w:val="69"/>
  </w:num>
  <w:num w:numId="198">
    <w:abstractNumId w:val="192"/>
  </w:num>
  <w:num w:numId="199">
    <w:abstractNumId w:val="79"/>
  </w:num>
  <w:num w:numId="200">
    <w:abstractNumId w:val="77"/>
  </w:num>
  <w:num w:numId="201">
    <w:abstractNumId w:val="212"/>
  </w:num>
  <w:num w:numId="202">
    <w:abstractNumId w:val="243"/>
  </w:num>
  <w:num w:numId="203">
    <w:abstractNumId w:val="114"/>
  </w:num>
  <w:num w:numId="204">
    <w:abstractNumId w:val="185"/>
  </w:num>
  <w:num w:numId="205">
    <w:abstractNumId w:val="175"/>
  </w:num>
  <w:num w:numId="206">
    <w:abstractNumId w:val="62"/>
  </w:num>
  <w:num w:numId="207">
    <w:abstractNumId w:val="242"/>
  </w:num>
  <w:num w:numId="208">
    <w:abstractNumId w:val="100"/>
  </w:num>
  <w:num w:numId="209">
    <w:abstractNumId w:val="203"/>
  </w:num>
  <w:num w:numId="210">
    <w:abstractNumId w:val="153"/>
  </w:num>
  <w:num w:numId="211">
    <w:abstractNumId w:val="55"/>
  </w:num>
  <w:num w:numId="212">
    <w:abstractNumId w:val="116"/>
  </w:num>
  <w:num w:numId="213">
    <w:abstractNumId w:val="80"/>
  </w:num>
  <w:num w:numId="214">
    <w:abstractNumId w:val="209"/>
  </w:num>
  <w:num w:numId="215">
    <w:abstractNumId w:val="40"/>
  </w:num>
  <w:num w:numId="216">
    <w:abstractNumId w:val="19"/>
  </w:num>
  <w:num w:numId="217">
    <w:abstractNumId w:val="43"/>
  </w:num>
  <w:num w:numId="218">
    <w:abstractNumId w:val="33"/>
  </w:num>
  <w:num w:numId="219">
    <w:abstractNumId w:val="126"/>
  </w:num>
  <w:num w:numId="220">
    <w:abstractNumId w:val="129"/>
  </w:num>
  <w:num w:numId="221">
    <w:abstractNumId w:val="227"/>
  </w:num>
  <w:num w:numId="222">
    <w:abstractNumId w:val="180"/>
  </w:num>
  <w:num w:numId="223">
    <w:abstractNumId w:val="54"/>
  </w:num>
  <w:num w:numId="224">
    <w:abstractNumId w:val="169"/>
  </w:num>
  <w:num w:numId="225">
    <w:abstractNumId w:val="107"/>
  </w:num>
  <w:num w:numId="226">
    <w:abstractNumId w:val="221"/>
  </w:num>
  <w:num w:numId="227">
    <w:abstractNumId w:val="224"/>
  </w:num>
  <w:num w:numId="228">
    <w:abstractNumId w:val="182"/>
  </w:num>
  <w:num w:numId="229">
    <w:abstractNumId w:val="191"/>
  </w:num>
  <w:num w:numId="230">
    <w:abstractNumId w:val="39"/>
  </w:num>
  <w:num w:numId="231">
    <w:abstractNumId w:val="28"/>
  </w:num>
  <w:num w:numId="232">
    <w:abstractNumId w:val="230"/>
  </w:num>
  <w:num w:numId="233">
    <w:abstractNumId w:val="36"/>
  </w:num>
  <w:num w:numId="234">
    <w:abstractNumId w:val="234"/>
  </w:num>
  <w:num w:numId="235">
    <w:abstractNumId w:val="101"/>
  </w:num>
  <w:num w:numId="236">
    <w:abstractNumId w:val="82"/>
  </w:num>
  <w:num w:numId="237">
    <w:abstractNumId w:val="162"/>
  </w:num>
  <w:num w:numId="238">
    <w:abstractNumId w:val="5"/>
  </w:num>
  <w:num w:numId="239">
    <w:abstractNumId w:val="123"/>
  </w:num>
  <w:num w:numId="240">
    <w:abstractNumId w:val="13"/>
  </w:num>
  <w:num w:numId="241">
    <w:abstractNumId w:val="0"/>
  </w:num>
  <w:num w:numId="242">
    <w:abstractNumId w:val="93"/>
  </w:num>
  <w:num w:numId="243">
    <w:abstractNumId w:val="26"/>
  </w:num>
  <w:num w:numId="244">
    <w:abstractNumId w:val="2"/>
  </w:num>
  <w:num w:numId="2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5NzQxYzI2Y2QwNWYwZWVhM2JmNWM3YWJiN2ZkMGIifQ=="/>
  </w:docVars>
  <w:rsids>
    <w:rsidRoot w:val="00FC649C"/>
    <w:rsid w:val="0000186A"/>
    <w:rsid w:val="00003163"/>
    <w:rsid w:val="00005B77"/>
    <w:rsid w:val="00007028"/>
    <w:rsid w:val="00036C1E"/>
    <w:rsid w:val="00043181"/>
    <w:rsid w:val="00044163"/>
    <w:rsid w:val="0004423F"/>
    <w:rsid w:val="00044F09"/>
    <w:rsid w:val="0005020A"/>
    <w:rsid w:val="00051B93"/>
    <w:rsid w:val="000662AC"/>
    <w:rsid w:val="000708EA"/>
    <w:rsid w:val="000774E5"/>
    <w:rsid w:val="0008729C"/>
    <w:rsid w:val="00087657"/>
    <w:rsid w:val="000905BF"/>
    <w:rsid w:val="00095673"/>
    <w:rsid w:val="000A0D5D"/>
    <w:rsid w:val="000A684A"/>
    <w:rsid w:val="000B4739"/>
    <w:rsid w:val="000B5C26"/>
    <w:rsid w:val="000B6535"/>
    <w:rsid w:val="000C54AB"/>
    <w:rsid w:val="000C61E9"/>
    <w:rsid w:val="000C7ED4"/>
    <w:rsid w:val="000D24C3"/>
    <w:rsid w:val="000E7D2D"/>
    <w:rsid w:val="000E7E58"/>
    <w:rsid w:val="000F00CD"/>
    <w:rsid w:val="000F250A"/>
    <w:rsid w:val="000F2E96"/>
    <w:rsid w:val="000F4A83"/>
    <w:rsid w:val="000F4EC6"/>
    <w:rsid w:val="000F5B5E"/>
    <w:rsid w:val="001064FA"/>
    <w:rsid w:val="00106FB5"/>
    <w:rsid w:val="00107D29"/>
    <w:rsid w:val="00114BC2"/>
    <w:rsid w:val="00114E90"/>
    <w:rsid w:val="001216EA"/>
    <w:rsid w:val="00125C70"/>
    <w:rsid w:val="0013500F"/>
    <w:rsid w:val="00136368"/>
    <w:rsid w:val="00137C3F"/>
    <w:rsid w:val="0014192C"/>
    <w:rsid w:val="00142919"/>
    <w:rsid w:val="00147576"/>
    <w:rsid w:val="00154163"/>
    <w:rsid w:val="001603C9"/>
    <w:rsid w:val="00184B7B"/>
    <w:rsid w:val="0018617B"/>
    <w:rsid w:val="0019426F"/>
    <w:rsid w:val="001A0460"/>
    <w:rsid w:val="001A0F3C"/>
    <w:rsid w:val="001B3CD7"/>
    <w:rsid w:val="001B45AF"/>
    <w:rsid w:val="001C0BC0"/>
    <w:rsid w:val="001C2509"/>
    <w:rsid w:val="001C70CF"/>
    <w:rsid w:val="001E2C85"/>
    <w:rsid w:val="001F5F30"/>
    <w:rsid w:val="001F644B"/>
    <w:rsid w:val="002004A0"/>
    <w:rsid w:val="00200E6E"/>
    <w:rsid w:val="0020143F"/>
    <w:rsid w:val="0023692B"/>
    <w:rsid w:val="00244293"/>
    <w:rsid w:val="00245CDD"/>
    <w:rsid w:val="00250DF9"/>
    <w:rsid w:val="002516EC"/>
    <w:rsid w:val="00256EE9"/>
    <w:rsid w:val="00261748"/>
    <w:rsid w:val="00263F35"/>
    <w:rsid w:val="00265004"/>
    <w:rsid w:val="00265384"/>
    <w:rsid w:val="00270A42"/>
    <w:rsid w:val="0027215D"/>
    <w:rsid w:val="00283941"/>
    <w:rsid w:val="00283956"/>
    <w:rsid w:val="00285BA8"/>
    <w:rsid w:val="002B2A25"/>
    <w:rsid w:val="002B3924"/>
    <w:rsid w:val="002B3F71"/>
    <w:rsid w:val="002C4D98"/>
    <w:rsid w:val="002D7CCC"/>
    <w:rsid w:val="002E2D4D"/>
    <w:rsid w:val="00300395"/>
    <w:rsid w:val="003133F2"/>
    <w:rsid w:val="003141D3"/>
    <w:rsid w:val="00335A01"/>
    <w:rsid w:val="00337F95"/>
    <w:rsid w:val="00342850"/>
    <w:rsid w:val="00347FC1"/>
    <w:rsid w:val="0035117C"/>
    <w:rsid w:val="003513F0"/>
    <w:rsid w:val="00353049"/>
    <w:rsid w:val="003666FB"/>
    <w:rsid w:val="0037178F"/>
    <w:rsid w:val="00394258"/>
    <w:rsid w:val="00395631"/>
    <w:rsid w:val="003A5FF5"/>
    <w:rsid w:val="003D33CE"/>
    <w:rsid w:val="003E0BAC"/>
    <w:rsid w:val="003F75E6"/>
    <w:rsid w:val="00401D0B"/>
    <w:rsid w:val="00406846"/>
    <w:rsid w:val="0041030A"/>
    <w:rsid w:val="004159EC"/>
    <w:rsid w:val="00421752"/>
    <w:rsid w:val="00421826"/>
    <w:rsid w:val="004263BC"/>
    <w:rsid w:val="00431EB5"/>
    <w:rsid w:val="00435CAB"/>
    <w:rsid w:val="00441011"/>
    <w:rsid w:val="004459ED"/>
    <w:rsid w:val="0046728A"/>
    <w:rsid w:val="004737EF"/>
    <w:rsid w:val="004767DB"/>
    <w:rsid w:val="004807BC"/>
    <w:rsid w:val="004951EE"/>
    <w:rsid w:val="004A3A09"/>
    <w:rsid w:val="004A3EE9"/>
    <w:rsid w:val="004B07EB"/>
    <w:rsid w:val="004B1318"/>
    <w:rsid w:val="004B6C15"/>
    <w:rsid w:val="004C5619"/>
    <w:rsid w:val="004C786F"/>
    <w:rsid w:val="004E13F7"/>
    <w:rsid w:val="004E43BF"/>
    <w:rsid w:val="004F0321"/>
    <w:rsid w:val="004F0946"/>
    <w:rsid w:val="00502EAD"/>
    <w:rsid w:val="00514013"/>
    <w:rsid w:val="00522AF1"/>
    <w:rsid w:val="00523FC7"/>
    <w:rsid w:val="005270A1"/>
    <w:rsid w:val="0053117F"/>
    <w:rsid w:val="00533A38"/>
    <w:rsid w:val="0054335F"/>
    <w:rsid w:val="00544156"/>
    <w:rsid w:val="0054621D"/>
    <w:rsid w:val="005473DE"/>
    <w:rsid w:val="00553CA6"/>
    <w:rsid w:val="00557910"/>
    <w:rsid w:val="00564392"/>
    <w:rsid w:val="00572CB0"/>
    <w:rsid w:val="00573E7B"/>
    <w:rsid w:val="005761C5"/>
    <w:rsid w:val="00590810"/>
    <w:rsid w:val="005926ED"/>
    <w:rsid w:val="00592798"/>
    <w:rsid w:val="005956D8"/>
    <w:rsid w:val="0059631C"/>
    <w:rsid w:val="005A0055"/>
    <w:rsid w:val="005A60B1"/>
    <w:rsid w:val="005C00A6"/>
    <w:rsid w:val="005D2BE4"/>
    <w:rsid w:val="005D3E5A"/>
    <w:rsid w:val="005D551E"/>
    <w:rsid w:val="005F30CA"/>
    <w:rsid w:val="006004B9"/>
    <w:rsid w:val="00603839"/>
    <w:rsid w:val="00603BD6"/>
    <w:rsid w:val="00605647"/>
    <w:rsid w:val="00620A32"/>
    <w:rsid w:val="0065396C"/>
    <w:rsid w:val="0066556B"/>
    <w:rsid w:val="006673ED"/>
    <w:rsid w:val="00670A93"/>
    <w:rsid w:val="00685591"/>
    <w:rsid w:val="00686042"/>
    <w:rsid w:val="00686C55"/>
    <w:rsid w:val="006B124C"/>
    <w:rsid w:val="006B1EA1"/>
    <w:rsid w:val="006B4538"/>
    <w:rsid w:val="006C5A79"/>
    <w:rsid w:val="006C783F"/>
    <w:rsid w:val="006D4557"/>
    <w:rsid w:val="006E0130"/>
    <w:rsid w:val="006E6D1D"/>
    <w:rsid w:val="006F2343"/>
    <w:rsid w:val="006F2E6E"/>
    <w:rsid w:val="0070151B"/>
    <w:rsid w:val="00723BCC"/>
    <w:rsid w:val="007277DF"/>
    <w:rsid w:val="0073428A"/>
    <w:rsid w:val="007407FC"/>
    <w:rsid w:val="007426CB"/>
    <w:rsid w:val="0076360A"/>
    <w:rsid w:val="00765F69"/>
    <w:rsid w:val="00775A3B"/>
    <w:rsid w:val="007769C2"/>
    <w:rsid w:val="0077705B"/>
    <w:rsid w:val="00777807"/>
    <w:rsid w:val="0078039C"/>
    <w:rsid w:val="00783C99"/>
    <w:rsid w:val="007A0139"/>
    <w:rsid w:val="007A35E6"/>
    <w:rsid w:val="007B2CE1"/>
    <w:rsid w:val="007B44EF"/>
    <w:rsid w:val="007D3F4E"/>
    <w:rsid w:val="007E0EFB"/>
    <w:rsid w:val="007E11A2"/>
    <w:rsid w:val="007E332F"/>
    <w:rsid w:val="007E434C"/>
    <w:rsid w:val="007E5CB0"/>
    <w:rsid w:val="00825D84"/>
    <w:rsid w:val="0083203E"/>
    <w:rsid w:val="00834E77"/>
    <w:rsid w:val="008371D1"/>
    <w:rsid w:val="00844D45"/>
    <w:rsid w:val="00853908"/>
    <w:rsid w:val="00854712"/>
    <w:rsid w:val="00885E14"/>
    <w:rsid w:val="0089295E"/>
    <w:rsid w:val="008B26DB"/>
    <w:rsid w:val="008E66D9"/>
    <w:rsid w:val="008F3237"/>
    <w:rsid w:val="008F7096"/>
    <w:rsid w:val="009029C3"/>
    <w:rsid w:val="00903199"/>
    <w:rsid w:val="0090364B"/>
    <w:rsid w:val="00905084"/>
    <w:rsid w:val="009266EB"/>
    <w:rsid w:val="00935E66"/>
    <w:rsid w:val="00940ECA"/>
    <w:rsid w:val="009417F6"/>
    <w:rsid w:val="009608C6"/>
    <w:rsid w:val="00963D81"/>
    <w:rsid w:val="009665DE"/>
    <w:rsid w:val="00971BDE"/>
    <w:rsid w:val="00981027"/>
    <w:rsid w:val="0098663B"/>
    <w:rsid w:val="009920DB"/>
    <w:rsid w:val="00997826"/>
    <w:rsid w:val="009A1579"/>
    <w:rsid w:val="009B4DF1"/>
    <w:rsid w:val="009D1EF7"/>
    <w:rsid w:val="009E180F"/>
    <w:rsid w:val="009E79B2"/>
    <w:rsid w:val="009F25BC"/>
    <w:rsid w:val="009F506B"/>
    <w:rsid w:val="009F7137"/>
    <w:rsid w:val="00A25953"/>
    <w:rsid w:val="00A30C34"/>
    <w:rsid w:val="00A32EDC"/>
    <w:rsid w:val="00A536FC"/>
    <w:rsid w:val="00A604F1"/>
    <w:rsid w:val="00A66D6C"/>
    <w:rsid w:val="00A757DD"/>
    <w:rsid w:val="00A97F2B"/>
    <w:rsid w:val="00AA2A1B"/>
    <w:rsid w:val="00AA3FBD"/>
    <w:rsid w:val="00AB1F24"/>
    <w:rsid w:val="00AB6BF0"/>
    <w:rsid w:val="00AC2C1E"/>
    <w:rsid w:val="00AF190F"/>
    <w:rsid w:val="00AF2308"/>
    <w:rsid w:val="00AF649A"/>
    <w:rsid w:val="00B02E0B"/>
    <w:rsid w:val="00B05FEC"/>
    <w:rsid w:val="00B1583C"/>
    <w:rsid w:val="00B378E5"/>
    <w:rsid w:val="00B379FC"/>
    <w:rsid w:val="00B40B03"/>
    <w:rsid w:val="00B477B8"/>
    <w:rsid w:val="00B61B82"/>
    <w:rsid w:val="00B6201E"/>
    <w:rsid w:val="00B74423"/>
    <w:rsid w:val="00B745B0"/>
    <w:rsid w:val="00B75050"/>
    <w:rsid w:val="00B76949"/>
    <w:rsid w:val="00B8210C"/>
    <w:rsid w:val="00B82512"/>
    <w:rsid w:val="00B877B5"/>
    <w:rsid w:val="00B911AF"/>
    <w:rsid w:val="00B9435B"/>
    <w:rsid w:val="00B9789E"/>
    <w:rsid w:val="00B97BEF"/>
    <w:rsid w:val="00BA1B0E"/>
    <w:rsid w:val="00BB1C82"/>
    <w:rsid w:val="00BB2894"/>
    <w:rsid w:val="00BB5C94"/>
    <w:rsid w:val="00BC5A21"/>
    <w:rsid w:val="00BC61BA"/>
    <w:rsid w:val="00BC6210"/>
    <w:rsid w:val="00BD0452"/>
    <w:rsid w:val="00BD0F5C"/>
    <w:rsid w:val="00BD362D"/>
    <w:rsid w:val="00BE1DC0"/>
    <w:rsid w:val="00BE3EF4"/>
    <w:rsid w:val="00BF1A6B"/>
    <w:rsid w:val="00BF2429"/>
    <w:rsid w:val="00BF706B"/>
    <w:rsid w:val="00C04D30"/>
    <w:rsid w:val="00C10423"/>
    <w:rsid w:val="00C11BF7"/>
    <w:rsid w:val="00C24877"/>
    <w:rsid w:val="00C25DB0"/>
    <w:rsid w:val="00C26D9B"/>
    <w:rsid w:val="00C279DC"/>
    <w:rsid w:val="00C35C10"/>
    <w:rsid w:val="00C37B5D"/>
    <w:rsid w:val="00C40B43"/>
    <w:rsid w:val="00C424A1"/>
    <w:rsid w:val="00C509AC"/>
    <w:rsid w:val="00C7456D"/>
    <w:rsid w:val="00C84E4E"/>
    <w:rsid w:val="00C97064"/>
    <w:rsid w:val="00CA582C"/>
    <w:rsid w:val="00CC0359"/>
    <w:rsid w:val="00CD1873"/>
    <w:rsid w:val="00CD7F1C"/>
    <w:rsid w:val="00CE74FF"/>
    <w:rsid w:val="00D00205"/>
    <w:rsid w:val="00D031C5"/>
    <w:rsid w:val="00D074D0"/>
    <w:rsid w:val="00D10542"/>
    <w:rsid w:val="00D106D9"/>
    <w:rsid w:val="00D20882"/>
    <w:rsid w:val="00D2727F"/>
    <w:rsid w:val="00D429F3"/>
    <w:rsid w:val="00D52097"/>
    <w:rsid w:val="00D52B49"/>
    <w:rsid w:val="00D5583F"/>
    <w:rsid w:val="00D634EF"/>
    <w:rsid w:val="00D638EC"/>
    <w:rsid w:val="00D7085D"/>
    <w:rsid w:val="00D763D5"/>
    <w:rsid w:val="00D7654E"/>
    <w:rsid w:val="00D77214"/>
    <w:rsid w:val="00D94692"/>
    <w:rsid w:val="00D94C25"/>
    <w:rsid w:val="00DA3DB8"/>
    <w:rsid w:val="00DA57AC"/>
    <w:rsid w:val="00DB0946"/>
    <w:rsid w:val="00DB2CE1"/>
    <w:rsid w:val="00DB41EF"/>
    <w:rsid w:val="00DD2D04"/>
    <w:rsid w:val="00DF7E5B"/>
    <w:rsid w:val="00E20FE5"/>
    <w:rsid w:val="00E24707"/>
    <w:rsid w:val="00E2736D"/>
    <w:rsid w:val="00E47AC2"/>
    <w:rsid w:val="00E51CBE"/>
    <w:rsid w:val="00E53471"/>
    <w:rsid w:val="00E55388"/>
    <w:rsid w:val="00E60F05"/>
    <w:rsid w:val="00E635AE"/>
    <w:rsid w:val="00E70403"/>
    <w:rsid w:val="00E70CD0"/>
    <w:rsid w:val="00E84DFE"/>
    <w:rsid w:val="00E86DE6"/>
    <w:rsid w:val="00E8765A"/>
    <w:rsid w:val="00EA38E4"/>
    <w:rsid w:val="00EA4EC6"/>
    <w:rsid w:val="00EA7289"/>
    <w:rsid w:val="00EB24EC"/>
    <w:rsid w:val="00EB260F"/>
    <w:rsid w:val="00EB3C35"/>
    <w:rsid w:val="00EB7858"/>
    <w:rsid w:val="00EE061E"/>
    <w:rsid w:val="00EE3490"/>
    <w:rsid w:val="00EE37F2"/>
    <w:rsid w:val="00EE723C"/>
    <w:rsid w:val="00EF6500"/>
    <w:rsid w:val="00EF6D24"/>
    <w:rsid w:val="00F07C57"/>
    <w:rsid w:val="00F27EC8"/>
    <w:rsid w:val="00F40BAB"/>
    <w:rsid w:val="00F4174C"/>
    <w:rsid w:val="00F47DCD"/>
    <w:rsid w:val="00F61E3A"/>
    <w:rsid w:val="00F75475"/>
    <w:rsid w:val="00F90E6A"/>
    <w:rsid w:val="00F93A9C"/>
    <w:rsid w:val="00F94446"/>
    <w:rsid w:val="00F96961"/>
    <w:rsid w:val="00FA0758"/>
    <w:rsid w:val="00FA7BF9"/>
    <w:rsid w:val="00FB02C0"/>
    <w:rsid w:val="00FB5867"/>
    <w:rsid w:val="00FB7DE8"/>
    <w:rsid w:val="00FC307A"/>
    <w:rsid w:val="00FC348F"/>
    <w:rsid w:val="00FC56AB"/>
    <w:rsid w:val="00FC649C"/>
    <w:rsid w:val="00FD2525"/>
    <w:rsid w:val="00FE7A59"/>
    <w:rsid w:val="00FF6475"/>
    <w:rsid w:val="01073C9C"/>
    <w:rsid w:val="010D4DC5"/>
    <w:rsid w:val="0113002F"/>
    <w:rsid w:val="011B7573"/>
    <w:rsid w:val="013B6373"/>
    <w:rsid w:val="01411E2B"/>
    <w:rsid w:val="014210E4"/>
    <w:rsid w:val="014D63E2"/>
    <w:rsid w:val="014F3925"/>
    <w:rsid w:val="01792184"/>
    <w:rsid w:val="01920C65"/>
    <w:rsid w:val="0199247E"/>
    <w:rsid w:val="01AD1BD7"/>
    <w:rsid w:val="01B34E22"/>
    <w:rsid w:val="01C022B0"/>
    <w:rsid w:val="01C05E06"/>
    <w:rsid w:val="01C34939"/>
    <w:rsid w:val="01D13467"/>
    <w:rsid w:val="01D8237F"/>
    <w:rsid w:val="01E4004B"/>
    <w:rsid w:val="01E763F4"/>
    <w:rsid w:val="01E85E89"/>
    <w:rsid w:val="01F0016B"/>
    <w:rsid w:val="01FA797E"/>
    <w:rsid w:val="022B4433"/>
    <w:rsid w:val="022C33BC"/>
    <w:rsid w:val="02421D02"/>
    <w:rsid w:val="024C2A6B"/>
    <w:rsid w:val="02592F8C"/>
    <w:rsid w:val="02901FD1"/>
    <w:rsid w:val="02A17F15"/>
    <w:rsid w:val="02A32DFB"/>
    <w:rsid w:val="02A40584"/>
    <w:rsid w:val="02A4646E"/>
    <w:rsid w:val="02A66735"/>
    <w:rsid w:val="02B01361"/>
    <w:rsid w:val="02DA63DE"/>
    <w:rsid w:val="02DA793C"/>
    <w:rsid w:val="02DB65AC"/>
    <w:rsid w:val="02F56D74"/>
    <w:rsid w:val="030128A5"/>
    <w:rsid w:val="031A5719"/>
    <w:rsid w:val="032860D0"/>
    <w:rsid w:val="03354275"/>
    <w:rsid w:val="035C1EB4"/>
    <w:rsid w:val="0360785E"/>
    <w:rsid w:val="036E261F"/>
    <w:rsid w:val="03852A0D"/>
    <w:rsid w:val="03B42EF0"/>
    <w:rsid w:val="03B97F71"/>
    <w:rsid w:val="03D55510"/>
    <w:rsid w:val="03F31506"/>
    <w:rsid w:val="03F7378A"/>
    <w:rsid w:val="03F86B1C"/>
    <w:rsid w:val="03FE6763"/>
    <w:rsid w:val="040329E9"/>
    <w:rsid w:val="040549BF"/>
    <w:rsid w:val="040D5CD3"/>
    <w:rsid w:val="04237FDC"/>
    <w:rsid w:val="04522D7C"/>
    <w:rsid w:val="04547A07"/>
    <w:rsid w:val="04702B56"/>
    <w:rsid w:val="04781738"/>
    <w:rsid w:val="047A5F30"/>
    <w:rsid w:val="048715D2"/>
    <w:rsid w:val="048D45BB"/>
    <w:rsid w:val="048D5264"/>
    <w:rsid w:val="0494562A"/>
    <w:rsid w:val="04A37AC0"/>
    <w:rsid w:val="04AB5546"/>
    <w:rsid w:val="04AC06B1"/>
    <w:rsid w:val="04AC6B00"/>
    <w:rsid w:val="04B14B78"/>
    <w:rsid w:val="04B95146"/>
    <w:rsid w:val="04C4563B"/>
    <w:rsid w:val="04C560E2"/>
    <w:rsid w:val="04C85FA2"/>
    <w:rsid w:val="04ED4B11"/>
    <w:rsid w:val="04FC5CA5"/>
    <w:rsid w:val="050339CA"/>
    <w:rsid w:val="050A78AE"/>
    <w:rsid w:val="051E25B2"/>
    <w:rsid w:val="052E4AD2"/>
    <w:rsid w:val="05322D51"/>
    <w:rsid w:val="05343DDB"/>
    <w:rsid w:val="05377D32"/>
    <w:rsid w:val="053A2A73"/>
    <w:rsid w:val="054503DB"/>
    <w:rsid w:val="054772D8"/>
    <w:rsid w:val="055256EB"/>
    <w:rsid w:val="05570083"/>
    <w:rsid w:val="055C6994"/>
    <w:rsid w:val="055D1D88"/>
    <w:rsid w:val="056F4B52"/>
    <w:rsid w:val="05730713"/>
    <w:rsid w:val="057473F5"/>
    <w:rsid w:val="057511F2"/>
    <w:rsid w:val="05862005"/>
    <w:rsid w:val="05904C6F"/>
    <w:rsid w:val="05930385"/>
    <w:rsid w:val="05983EBC"/>
    <w:rsid w:val="059C4879"/>
    <w:rsid w:val="059D58BC"/>
    <w:rsid w:val="05A269EA"/>
    <w:rsid w:val="05B922DB"/>
    <w:rsid w:val="05BD3CFE"/>
    <w:rsid w:val="05CF3B36"/>
    <w:rsid w:val="05E6498A"/>
    <w:rsid w:val="05ED42E8"/>
    <w:rsid w:val="05F25489"/>
    <w:rsid w:val="05FB2E59"/>
    <w:rsid w:val="06024F28"/>
    <w:rsid w:val="060472BB"/>
    <w:rsid w:val="060C646F"/>
    <w:rsid w:val="063B2B4D"/>
    <w:rsid w:val="06447890"/>
    <w:rsid w:val="065253B7"/>
    <w:rsid w:val="06553DC0"/>
    <w:rsid w:val="066307ED"/>
    <w:rsid w:val="0674042A"/>
    <w:rsid w:val="068B2AA4"/>
    <w:rsid w:val="069F67D0"/>
    <w:rsid w:val="06A3708D"/>
    <w:rsid w:val="06B255BD"/>
    <w:rsid w:val="06B477B6"/>
    <w:rsid w:val="06EC6134"/>
    <w:rsid w:val="06F27A6A"/>
    <w:rsid w:val="070868DF"/>
    <w:rsid w:val="07105166"/>
    <w:rsid w:val="0718456C"/>
    <w:rsid w:val="07235E66"/>
    <w:rsid w:val="074614BD"/>
    <w:rsid w:val="074F4A02"/>
    <w:rsid w:val="076156FA"/>
    <w:rsid w:val="076B1CFB"/>
    <w:rsid w:val="076F1EF6"/>
    <w:rsid w:val="07983D6D"/>
    <w:rsid w:val="07B16456"/>
    <w:rsid w:val="07B6291E"/>
    <w:rsid w:val="07B76250"/>
    <w:rsid w:val="07B93C8A"/>
    <w:rsid w:val="07C23ECB"/>
    <w:rsid w:val="07D63AA0"/>
    <w:rsid w:val="07D9504F"/>
    <w:rsid w:val="07EA7B88"/>
    <w:rsid w:val="07ED65D5"/>
    <w:rsid w:val="07FE11C4"/>
    <w:rsid w:val="080459C2"/>
    <w:rsid w:val="08253634"/>
    <w:rsid w:val="08285583"/>
    <w:rsid w:val="082A1442"/>
    <w:rsid w:val="082D517A"/>
    <w:rsid w:val="08341592"/>
    <w:rsid w:val="08531219"/>
    <w:rsid w:val="08661B05"/>
    <w:rsid w:val="086F6439"/>
    <w:rsid w:val="0874234C"/>
    <w:rsid w:val="087E5650"/>
    <w:rsid w:val="0899047D"/>
    <w:rsid w:val="08A60A38"/>
    <w:rsid w:val="08D108E0"/>
    <w:rsid w:val="08D22A9D"/>
    <w:rsid w:val="08D61368"/>
    <w:rsid w:val="08DB396A"/>
    <w:rsid w:val="08E85E4F"/>
    <w:rsid w:val="08F41635"/>
    <w:rsid w:val="09002B53"/>
    <w:rsid w:val="09162C49"/>
    <w:rsid w:val="09197F25"/>
    <w:rsid w:val="093477FD"/>
    <w:rsid w:val="093726EF"/>
    <w:rsid w:val="09457F5A"/>
    <w:rsid w:val="09585107"/>
    <w:rsid w:val="096967D9"/>
    <w:rsid w:val="09773B45"/>
    <w:rsid w:val="098961A2"/>
    <w:rsid w:val="09A45050"/>
    <w:rsid w:val="09A87D55"/>
    <w:rsid w:val="09BF72F9"/>
    <w:rsid w:val="09CA1FC1"/>
    <w:rsid w:val="09D41DD9"/>
    <w:rsid w:val="09E80931"/>
    <w:rsid w:val="09EC2BAD"/>
    <w:rsid w:val="09EF7A63"/>
    <w:rsid w:val="0A0500CE"/>
    <w:rsid w:val="0A466107"/>
    <w:rsid w:val="0A5E0058"/>
    <w:rsid w:val="0A60541B"/>
    <w:rsid w:val="0A627102"/>
    <w:rsid w:val="0A683F81"/>
    <w:rsid w:val="0A6A45A5"/>
    <w:rsid w:val="0A6A693B"/>
    <w:rsid w:val="0A730A15"/>
    <w:rsid w:val="0A8128EA"/>
    <w:rsid w:val="0A956B11"/>
    <w:rsid w:val="0AB37C41"/>
    <w:rsid w:val="0AE16563"/>
    <w:rsid w:val="0AFA761E"/>
    <w:rsid w:val="0B1307B5"/>
    <w:rsid w:val="0B1A0A11"/>
    <w:rsid w:val="0B344FE5"/>
    <w:rsid w:val="0B3D29F9"/>
    <w:rsid w:val="0B51119F"/>
    <w:rsid w:val="0B680251"/>
    <w:rsid w:val="0B6A4FD3"/>
    <w:rsid w:val="0B6C2CAE"/>
    <w:rsid w:val="0B6D184C"/>
    <w:rsid w:val="0B710CD1"/>
    <w:rsid w:val="0B75401A"/>
    <w:rsid w:val="0B777220"/>
    <w:rsid w:val="0BD47C79"/>
    <w:rsid w:val="0BF67014"/>
    <w:rsid w:val="0BFD2FA5"/>
    <w:rsid w:val="0C1E5C60"/>
    <w:rsid w:val="0C29624F"/>
    <w:rsid w:val="0C6F2B7E"/>
    <w:rsid w:val="0C7C4062"/>
    <w:rsid w:val="0C9C1B1B"/>
    <w:rsid w:val="0CA139BB"/>
    <w:rsid w:val="0CDD6F0A"/>
    <w:rsid w:val="0CF676CA"/>
    <w:rsid w:val="0CF90094"/>
    <w:rsid w:val="0CFD58E6"/>
    <w:rsid w:val="0D20598C"/>
    <w:rsid w:val="0D3F30F7"/>
    <w:rsid w:val="0D4A53DE"/>
    <w:rsid w:val="0D4B3EE1"/>
    <w:rsid w:val="0D6D5C6B"/>
    <w:rsid w:val="0D822514"/>
    <w:rsid w:val="0D8F6585"/>
    <w:rsid w:val="0DBA4D3C"/>
    <w:rsid w:val="0DBC1307"/>
    <w:rsid w:val="0DDC5873"/>
    <w:rsid w:val="0DE224CA"/>
    <w:rsid w:val="0DE93E68"/>
    <w:rsid w:val="0DFC5B9E"/>
    <w:rsid w:val="0E143838"/>
    <w:rsid w:val="0E182B34"/>
    <w:rsid w:val="0E2624D8"/>
    <w:rsid w:val="0E28040C"/>
    <w:rsid w:val="0E2A021A"/>
    <w:rsid w:val="0E2C5EBA"/>
    <w:rsid w:val="0E385C3C"/>
    <w:rsid w:val="0E4A445F"/>
    <w:rsid w:val="0E5C414B"/>
    <w:rsid w:val="0E5E58A4"/>
    <w:rsid w:val="0E66151E"/>
    <w:rsid w:val="0E747E8E"/>
    <w:rsid w:val="0E951467"/>
    <w:rsid w:val="0E9B258D"/>
    <w:rsid w:val="0EAF4BC3"/>
    <w:rsid w:val="0EB16245"/>
    <w:rsid w:val="0EC66F07"/>
    <w:rsid w:val="0ECE28CE"/>
    <w:rsid w:val="0ED471AE"/>
    <w:rsid w:val="0EFB7475"/>
    <w:rsid w:val="0F011985"/>
    <w:rsid w:val="0F0F5662"/>
    <w:rsid w:val="0F114A19"/>
    <w:rsid w:val="0F164398"/>
    <w:rsid w:val="0F1E6866"/>
    <w:rsid w:val="0F25500F"/>
    <w:rsid w:val="0F28442A"/>
    <w:rsid w:val="0F2F2B44"/>
    <w:rsid w:val="0F3F109F"/>
    <w:rsid w:val="0F3F5C2C"/>
    <w:rsid w:val="0F4468A8"/>
    <w:rsid w:val="0F471534"/>
    <w:rsid w:val="0F625791"/>
    <w:rsid w:val="0F6C147F"/>
    <w:rsid w:val="0F970733"/>
    <w:rsid w:val="0FC46196"/>
    <w:rsid w:val="0FD25314"/>
    <w:rsid w:val="0FD62F7B"/>
    <w:rsid w:val="0FD7518B"/>
    <w:rsid w:val="0FDE5334"/>
    <w:rsid w:val="0FEF15FE"/>
    <w:rsid w:val="0FF67C3E"/>
    <w:rsid w:val="10146820"/>
    <w:rsid w:val="1019025E"/>
    <w:rsid w:val="102F1E22"/>
    <w:rsid w:val="103D634D"/>
    <w:rsid w:val="10641753"/>
    <w:rsid w:val="10860885"/>
    <w:rsid w:val="109C66B3"/>
    <w:rsid w:val="10A03E8D"/>
    <w:rsid w:val="10A30F02"/>
    <w:rsid w:val="10B21420"/>
    <w:rsid w:val="10B30B4D"/>
    <w:rsid w:val="10B464C1"/>
    <w:rsid w:val="10BF4F31"/>
    <w:rsid w:val="10BF6EA6"/>
    <w:rsid w:val="10C71CB1"/>
    <w:rsid w:val="10C74B74"/>
    <w:rsid w:val="10ED1F0C"/>
    <w:rsid w:val="10FB0691"/>
    <w:rsid w:val="10FD47F5"/>
    <w:rsid w:val="110F78A2"/>
    <w:rsid w:val="11184C1F"/>
    <w:rsid w:val="111A5E24"/>
    <w:rsid w:val="11277A4F"/>
    <w:rsid w:val="11310429"/>
    <w:rsid w:val="113344B9"/>
    <w:rsid w:val="114269A3"/>
    <w:rsid w:val="11432517"/>
    <w:rsid w:val="114D5907"/>
    <w:rsid w:val="11521595"/>
    <w:rsid w:val="115F298E"/>
    <w:rsid w:val="1196274C"/>
    <w:rsid w:val="1196691D"/>
    <w:rsid w:val="119B4195"/>
    <w:rsid w:val="11B07237"/>
    <w:rsid w:val="11B141C9"/>
    <w:rsid w:val="11B75C8B"/>
    <w:rsid w:val="11B93213"/>
    <w:rsid w:val="11BD75D6"/>
    <w:rsid w:val="11C24C0D"/>
    <w:rsid w:val="11C91AF8"/>
    <w:rsid w:val="11CB30C5"/>
    <w:rsid w:val="11DE1299"/>
    <w:rsid w:val="12014AF6"/>
    <w:rsid w:val="1207147E"/>
    <w:rsid w:val="120E18AC"/>
    <w:rsid w:val="12374CB3"/>
    <w:rsid w:val="123A35C5"/>
    <w:rsid w:val="124473DD"/>
    <w:rsid w:val="124C7530"/>
    <w:rsid w:val="125020DF"/>
    <w:rsid w:val="125855B3"/>
    <w:rsid w:val="12671A5B"/>
    <w:rsid w:val="126D4B79"/>
    <w:rsid w:val="126D546F"/>
    <w:rsid w:val="127C7A20"/>
    <w:rsid w:val="12810CB2"/>
    <w:rsid w:val="12846142"/>
    <w:rsid w:val="12923969"/>
    <w:rsid w:val="12990E35"/>
    <w:rsid w:val="12A2178A"/>
    <w:rsid w:val="12A444E8"/>
    <w:rsid w:val="12A72CD1"/>
    <w:rsid w:val="12AC1E48"/>
    <w:rsid w:val="12AD5659"/>
    <w:rsid w:val="12BB3B36"/>
    <w:rsid w:val="12C946D7"/>
    <w:rsid w:val="12CC7FE2"/>
    <w:rsid w:val="12F12A66"/>
    <w:rsid w:val="12F93E7C"/>
    <w:rsid w:val="131559C2"/>
    <w:rsid w:val="13242053"/>
    <w:rsid w:val="1329174E"/>
    <w:rsid w:val="13322E69"/>
    <w:rsid w:val="13375121"/>
    <w:rsid w:val="133A61AD"/>
    <w:rsid w:val="134971C7"/>
    <w:rsid w:val="134E1B65"/>
    <w:rsid w:val="136F1459"/>
    <w:rsid w:val="13740B96"/>
    <w:rsid w:val="1395604C"/>
    <w:rsid w:val="13A37E6F"/>
    <w:rsid w:val="13B3313C"/>
    <w:rsid w:val="13BF4B4C"/>
    <w:rsid w:val="13C25F02"/>
    <w:rsid w:val="13C43ABA"/>
    <w:rsid w:val="13D05E45"/>
    <w:rsid w:val="13E403F1"/>
    <w:rsid w:val="13F32C11"/>
    <w:rsid w:val="14043E1E"/>
    <w:rsid w:val="14082D4D"/>
    <w:rsid w:val="140C322B"/>
    <w:rsid w:val="140E1B41"/>
    <w:rsid w:val="141140C1"/>
    <w:rsid w:val="14287243"/>
    <w:rsid w:val="143F0348"/>
    <w:rsid w:val="14415C13"/>
    <w:rsid w:val="14452AA0"/>
    <w:rsid w:val="1447029B"/>
    <w:rsid w:val="144E5347"/>
    <w:rsid w:val="14574AE4"/>
    <w:rsid w:val="14604211"/>
    <w:rsid w:val="146D1167"/>
    <w:rsid w:val="146F5402"/>
    <w:rsid w:val="14770C19"/>
    <w:rsid w:val="147C7728"/>
    <w:rsid w:val="14833419"/>
    <w:rsid w:val="14B64A9B"/>
    <w:rsid w:val="14BA5396"/>
    <w:rsid w:val="14C95C9A"/>
    <w:rsid w:val="14D0319D"/>
    <w:rsid w:val="14D2060E"/>
    <w:rsid w:val="14D90589"/>
    <w:rsid w:val="14FF23C9"/>
    <w:rsid w:val="14FF7378"/>
    <w:rsid w:val="15057056"/>
    <w:rsid w:val="1506078D"/>
    <w:rsid w:val="151E03AD"/>
    <w:rsid w:val="15221324"/>
    <w:rsid w:val="15225706"/>
    <w:rsid w:val="1526628C"/>
    <w:rsid w:val="1527467D"/>
    <w:rsid w:val="15304305"/>
    <w:rsid w:val="155103C4"/>
    <w:rsid w:val="155A7E1C"/>
    <w:rsid w:val="156166BF"/>
    <w:rsid w:val="15671D54"/>
    <w:rsid w:val="156B2EA5"/>
    <w:rsid w:val="158156D6"/>
    <w:rsid w:val="15CB29DA"/>
    <w:rsid w:val="15E01DF5"/>
    <w:rsid w:val="15E26759"/>
    <w:rsid w:val="15EE7AC6"/>
    <w:rsid w:val="16042C18"/>
    <w:rsid w:val="16117B76"/>
    <w:rsid w:val="161732DF"/>
    <w:rsid w:val="161B494E"/>
    <w:rsid w:val="162064AB"/>
    <w:rsid w:val="16274D2D"/>
    <w:rsid w:val="162E2871"/>
    <w:rsid w:val="162F22B0"/>
    <w:rsid w:val="16446E20"/>
    <w:rsid w:val="16455105"/>
    <w:rsid w:val="16566BA3"/>
    <w:rsid w:val="16567621"/>
    <w:rsid w:val="16582B45"/>
    <w:rsid w:val="166728AE"/>
    <w:rsid w:val="167773C7"/>
    <w:rsid w:val="16826BA5"/>
    <w:rsid w:val="168B7EF6"/>
    <w:rsid w:val="169076FB"/>
    <w:rsid w:val="169D3264"/>
    <w:rsid w:val="16A11295"/>
    <w:rsid w:val="16BF1E6B"/>
    <w:rsid w:val="16CD2CED"/>
    <w:rsid w:val="16EF31B6"/>
    <w:rsid w:val="16EF43B5"/>
    <w:rsid w:val="16F015E4"/>
    <w:rsid w:val="16F15784"/>
    <w:rsid w:val="171A4A2F"/>
    <w:rsid w:val="1725028E"/>
    <w:rsid w:val="1729786F"/>
    <w:rsid w:val="172E2C37"/>
    <w:rsid w:val="172E53E9"/>
    <w:rsid w:val="173971E2"/>
    <w:rsid w:val="17405C5D"/>
    <w:rsid w:val="174F1451"/>
    <w:rsid w:val="175D4403"/>
    <w:rsid w:val="175F4C42"/>
    <w:rsid w:val="176B6475"/>
    <w:rsid w:val="17711F50"/>
    <w:rsid w:val="17A21DFB"/>
    <w:rsid w:val="17A7371E"/>
    <w:rsid w:val="17AC1BC4"/>
    <w:rsid w:val="17AF463F"/>
    <w:rsid w:val="17BB1ED2"/>
    <w:rsid w:val="17C3509D"/>
    <w:rsid w:val="17DE0A7A"/>
    <w:rsid w:val="17EC02EE"/>
    <w:rsid w:val="17F37BD6"/>
    <w:rsid w:val="17FF2C71"/>
    <w:rsid w:val="18001AC4"/>
    <w:rsid w:val="18152F08"/>
    <w:rsid w:val="18185587"/>
    <w:rsid w:val="18375790"/>
    <w:rsid w:val="18780D82"/>
    <w:rsid w:val="18845B96"/>
    <w:rsid w:val="18864849"/>
    <w:rsid w:val="189108B7"/>
    <w:rsid w:val="189417D5"/>
    <w:rsid w:val="18995B9F"/>
    <w:rsid w:val="18BA663E"/>
    <w:rsid w:val="18BB11EA"/>
    <w:rsid w:val="18D461FA"/>
    <w:rsid w:val="18D526D2"/>
    <w:rsid w:val="18F919FA"/>
    <w:rsid w:val="190855FC"/>
    <w:rsid w:val="19314B62"/>
    <w:rsid w:val="1933514E"/>
    <w:rsid w:val="193C0664"/>
    <w:rsid w:val="19404D56"/>
    <w:rsid w:val="19416E8D"/>
    <w:rsid w:val="19426D6E"/>
    <w:rsid w:val="19614D0C"/>
    <w:rsid w:val="196625D1"/>
    <w:rsid w:val="196654F6"/>
    <w:rsid w:val="1976717E"/>
    <w:rsid w:val="198E5AC6"/>
    <w:rsid w:val="19987547"/>
    <w:rsid w:val="19A4432D"/>
    <w:rsid w:val="19AD63E9"/>
    <w:rsid w:val="19B30F9C"/>
    <w:rsid w:val="19C060B2"/>
    <w:rsid w:val="19DC475A"/>
    <w:rsid w:val="19DE4716"/>
    <w:rsid w:val="19E97D73"/>
    <w:rsid w:val="1A0A5C1B"/>
    <w:rsid w:val="1A2F30FE"/>
    <w:rsid w:val="1A322D49"/>
    <w:rsid w:val="1A3B4A9C"/>
    <w:rsid w:val="1A4E0194"/>
    <w:rsid w:val="1A4F1C05"/>
    <w:rsid w:val="1A616767"/>
    <w:rsid w:val="1A650B7B"/>
    <w:rsid w:val="1A69091E"/>
    <w:rsid w:val="1A6E689C"/>
    <w:rsid w:val="1A730BFB"/>
    <w:rsid w:val="1A861E6D"/>
    <w:rsid w:val="1A8F1B7C"/>
    <w:rsid w:val="1A950606"/>
    <w:rsid w:val="1AAC0C02"/>
    <w:rsid w:val="1AB02AEB"/>
    <w:rsid w:val="1ABF618E"/>
    <w:rsid w:val="1ACD11CA"/>
    <w:rsid w:val="1ACF7474"/>
    <w:rsid w:val="1AD40074"/>
    <w:rsid w:val="1AE4579A"/>
    <w:rsid w:val="1AF8344E"/>
    <w:rsid w:val="1AF86714"/>
    <w:rsid w:val="1B0356F5"/>
    <w:rsid w:val="1B1665D3"/>
    <w:rsid w:val="1B1D63BF"/>
    <w:rsid w:val="1B325170"/>
    <w:rsid w:val="1B387F72"/>
    <w:rsid w:val="1B6811BA"/>
    <w:rsid w:val="1BAC4196"/>
    <w:rsid w:val="1BB21A0B"/>
    <w:rsid w:val="1BB34C01"/>
    <w:rsid w:val="1BC907C1"/>
    <w:rsid w:val="1BCF172B"/>
    <w:rsid w:val="1BEF2D2A"/>
    <w:rsid w:val="1C0B0219"/>
    <w:rsid w:val="1C0F7371"/>
    <w:rsid w:val="1C173EC5"/>
    <w:rsid w:val="1C1C3976"/>
    <w:rsid w:val="1C2E4B72"/>
    <w:rsid w:val="1C8A1F1A"/>
    <w:rsid w:val="1CA40F9C"/>
    <w:rsid w:val="1CA52F36"/>
    <w:rsid w:val="1CBE3345"/>
    <w:rsid w:val="1CF7351C"/>
    <w:rsid w:val="1D1679A4"/>
    <w:rsid w:val="1D357B11"/>
    <w:rsid w:val="1D394EAF"/>
    <w:rsid w:val="1D3A3B0F"/>
    <w:rsid w:val="1D4806BC"/>
    <w:rsid w:val="1D551187"/>
    <w:rsid w:val="1D664518"/>
    <w:rsid w:val="1D756FD8"/>
    <w:rsid w:val="1D9A259A"/>
    <w:rsid w:val="1DA60A6C"/>
    <w:rsid w:val="1DAC581B"/>
    <w:rsid w:val="1DB573D4"/>
    <w:rsid w:val="1DBB42E2"/>
    <w:rsid w:val="1DC7209D"/>
    <w:rsid w:val="1DE15F80"/>
    <w:rsid w:val="1DF33DE6"/>
    <w:rsid w:val="1E000D26"/>
    <w:rsid w:val="1E026ABD"/>
    <w:rsid w:val="1E1774B6"/>
    <w:rsid w:val="1E46024E"/>
    <w:rsid w:val="1E4D3185"/>
    <w:rsid w:val="1E581BC8"/>
    <w:rsid w:val="1E685ACF"/>
    <w:rsid w:val="1E6E3125"/>
    <w:rsid w:val="1E803560"/>
    <w:rsid w:val="1E8C282B"/>
    <w:rsid w:val="1EA05D80"/>
    <w:rsid w:val="1EB16622"/>
    <w:rsid w:val="1EB728F0"/>
    <w:rsid w:val="1EC9216D"/>
    <w:rsid w:val="1ECA08A3"/>
    <w:rsid w:val="1ECF6371"/>
    <w:rsid w:val="1ED804F1"/>
    <w:rsid w:val="1EF07E10"/>
    <w:rsid w:val="1EF12066"/>
    <w:rsid w:val="1F031B0F"/>
    <w:rsid w:val="1F0A3F25"/>
    <w:rsid w:val="1F25374D"/>
    <w:rsid w:val="1F346EC3"/>
    <w:rsid w:val="1F366201"/>
    <w:rsid w:val="1F5172DC"/>
    <w:rsid w:val="1F536EA5"/>
    <w:rsid w:val="1F60157F"/>
    <w:rsid w:val="1F616B91"/>
    <w:rsid w:val="1F8B5A89"/>
    <w:rsid w:val="1F9814F2"/>
    <w:rsid w:val="1FB901F8"/>
    <w:rsid w:val="1FCA5195"/>
    <w:rsid w:val="1FCF35FC"/>
    <w:rsid w:val="1FCF5C89"/>
    <w:rsid w:val="1FD457A9"/>
    <w:rsid w:val="1FD6254E"/>
    <w:rsid w:val="1FD63F4E"/>
    <w:rsid w:val="1FEA5CFE"/>
    <w:rsid w:val="1FF02085"/>
    <w:rsid w:val="1FFB37C4"/>
    <w:rsid w:val="1FFE4518"/>
    <w:rsid w:val="20016901"/>
    <w:rsid w:val="201743A1"/>
    <w:rsid w:val="203926DE"/>
    <w:rsid w:val="20433AED"/>
    <w:rsid w:val="20454A7E"/>
    <w:rsid w:val="204F58BE"/>
    <w:rsid w:val="205E02FC"/>
    <w:rsid w:val="206B26B2"/>
    <w:rsid w:val="207E61A3"/>
    <w:rsid w:val="2095401E"/>
    <w:rsid w:val="209C05D8"/>
    <w:rsid w:val="20A02693"/>
    <w:rsid w:val="20B76E06"/>
    <w:rsid w:val="20BD3045"/>
    <w:rsid w:val="20EA4C3F"/>
    <w:rsid w:val="20F73F83"/>
    <w:rsid w:val="20F825F3"/>
    <w:rsid w:val="20F962E8"/>
    <w:rsid w:val="21081083"/>
    <w:rsid w:val="21167870"/>
    <w:rsid w:val="21456CCA"/>
    <w:rsid w:val="215D246D"/>
    <w:rsid w:val="216D54D3"/>
    <w:rsid w:val="217903F0"/>
    <w:rsid w:val="2180317C"/>
    <w:rsid w:val="21971F07"/>
    <w:rsid w:val="219D556A"/>
    <w:rsid w:val="21B528B3"/>
    <w:rsid w:val="21BA320B"/>
    <w:rsid w:val="21C81DCC"/>
    <w:rsid w:val="21DD6218"/>
    <w:rsid w:val="21F10CA2"/>
    <w:rsid w:val="22000E45"/>
    <w:rsid w:val="221A7675"/>
    <w:rsid w:val="222F3FF5"/>
    <w:rsid w:val="22326D1F"/>
    <w:rsid w:val="22532696"/>
    <w:rsid w:val="22592BEF"/>
    <w:rsid w:val="227251AC"/>
    <w:rsid w:val="227E7A3E"/>
    <w:rsid w:val="229A609C"/>
    <w:rsid w:val="22BA5BB9"/>
    <w:rsid w:val="22BE5F20"/>
    <w:rsid w:val="22C63230"/>
    <w:rsid w:val="22CD6507"/>
    <w:rsid w:val="22D86F79"/>
    <w:rsid w:val="22E5248F"/>
    <w:rsid w:val="22EC0514"/>
    <w:rsid w:val="22F7215F"/>
    <w:rsid w:val="230213F4"/>
    <w:rsid w:val="230A242E"/>
    <w:rsid w:val="231E0C58"/>
    <w:rsid w:val="232D5807"/>
    <w:rsid w:val="232F19BE"/>
    <w:rsid w:val="23366A59"/>
    <w:rsid w:val="233F3B1D"/>
    <w:rsid w:val="2344228B"/>
    <w:rsid w:val="2358036F"/>
    <w:rsid w:val="235D4796"/>
    <w:rsid w:val="23647264"/>
    <w:rsid w:val="236A5949"/>
    <w:rsid w:val="239D5073"/>
    <w:rsid w:val="23B8420C"/>
    <w:rsid w:val="23BF2710"/>
    <w:rsid w:val="23C7133F"/>
    <w:rsid w:val="23C87DA0"/>
    <w:rsid w:val="23D50EC0"/>
    <w:rsid w:val="23D67C5F"/>
    <w:rsid w:val="23E0164A"/>
    <w:rsid w:val="23E341E4"/>
    <w:rsid w:val="23F8437E"/>
    <w:rsid w:val="240E7EF6"/>
    <w:rsid w:val="2426419F"/>
    <w:rsid w:val="242F69A3"/>
    <w:rsid w:val="244C764D"/>
    <w:rsid w:val="24597F23"/>
    <w:rsid w:val="246D7630"/>
    <w:rsid w:val="24751EDC"/>
    <w:rsid w:val="247E12A2"/>
    <w:rsid w:val="248875F1"/>
    <w:rsid w:val="248E5AE4"/>
    <w:rsid w:val="24C4582A"/>
    <w:rsid w:val="24DB06FE"/>
    <w:rsid w:val="250505F9"/>
    <w:rsid w:val="251042CB"/>
    <w:rsid w:val="2516749D"/>
    <w:rsid w:val="252E6461"/>
    <w:rsid w:val="25496CB8"/>
    <w:rsid w:val="254D7B4C"/>
    <w:rsid w:val="255768B9"/>
    <w:rsid w:val="25613CC8"/>
    <w:rsid w:val="256B29A3"/>
    <w:rsid w:val="257B6431"/>
    <w:rsid w:val="259747D7"/>
    <w:rsid w:val="259811EB"/>
    <w:rsid w:val="25B53593"/>
    <w:rsid w:val="25B878C4"/>
    <w:rsid w:val="25B93A41"/>
    <w:rsid w:val="25C94454"/>
    <w:rsid w:val="25CC1E99"/>
    <w:rsid w:val="25E87E97"/>
    <w:rsid w:val="25EC4767"/>
    <w:rsid w:val="26001372"/>
    <w:rsid w:val="2613791A"/>
    <w:rsid w:val="26195FCF"/>
    <w:rsid w:val="261F33AC"/>
    <w:rsid w:val="262A4EE9"/>
    <w:rsid w:val="262F270F"/>
    <w:rsid w:val="265231DC"/>
    <w:rsid w:val="266635B4"/>
    <w:rsid w:val="26756C2E"/>
    <w:rsid w:val="268F7EC0"/>
    <w:rsid w:val="26976FAF"/>
    <w:rsid w:val="269E2C17"/>
    <w:rsid w:val="26BE39B5"/>
    <w:rsid w:val="26BF3B5A"/>
    <w:rsid w:val="26DF29C7"/>
    <w:rsid w:val="26EE3DAE"/>
    <w:rsid w:val="270B6448"/>
    <w:rsid w:val="271B34F6"/>
    <w:rsid w:val="27201CD7"/>
    <w:rsid w:val="27512500"/>
    <w:rsid w:val="275426C6"/>
    <w:rsid w:val="275E0ACE"/>
    <w:rsid w:val="27671E2B"/>
    <w:rsid w:val="27944EBF"/>
    <w:rsid w:val="27B85866"/>
    <w:rsid w:val="27DF753A"/>
    <w:rsid w:val="27EB72DA"/>
    <w:rsid w:val="27FB57CF"/>
    <w:rsid w:val="28112464"/>
    <w:rsid w:val="281A7A29"/>
    <w:rsid w:val="282D3621"/>
    <w:rsid w:val="28327F9F"/>
    <w:rsid w:val="28444AD8"/>
    <w:rsid w:val="28472B9F"/>
    <w:rsid w:val="28475245"/>
    <w:rsid w:val="284E0B51"/>
    <w:rsid w:val="28505894"/>
    <w:rsid w:val="28977192"/>
    <w:rsid w:val="289A4BFE"/>
    <w:rsid w:val="28A27020"/>
    <w:rsid w:val="28B01FE1"/>
    <w:rsid w:val="28B12D73"/>
    <w:rsid w:val="28B9234F"/>
    <w:rsid w:val="28CF3A40"/>
    <w:rsid w:val="28D21317"/>
    <w:rsid w:val="28D63020"/>
    <w:rsid w:val="28E97CA1"/>
    <w:rsid w:val="28FD4A44"/>
    <w:rsid w:val="28FE020C"/>
    <w:rsid w:val="29000BE0"/>
    <w:rsid w:val="291533FB"/>
    <w:rsid w:val="29194CBB"/>
    <w:rsid w:val="29270980"/>
    <w:rsid w:val="29282D75"/>
    <w:rsid w:val="292A03A9"/>
    <w:rsid w:val="2936739E"/>
    <w:rsid w:val="293D0543"/>
    <w:rsid w:val="294F211B"/>
    <w:rsid w:val="294F692F"/>
    <w:rsid w:val="2951159A"/>
    <w:rsid w:val="296028EA"/>
    <w:rsid w:val="29845D29"/>
    <w:rsid w:val="298909D6"/>
    <w:rsid w:val="298A5BB9"/>
    <w:rsid w:val="29A02EE4"/>
    <w:rsid w:val="29B73F13"/>
    <w:rsid w:val="29BA2426"/>
    <w:rsid w:val="29CB027F"/>
    <w:rsid w:val="29CC2562"/>
    <w:rsid w:val="29D05AD4"/>
    <w:rsid w:val="29E60E2A"/>
    <w:rsid w:val="29EA2298"/>
    <w:rsid w:val="29EB582F"/>
    <w:rsid w:val="29FA6105"/>
    <w:rsid w:val="2A0D3604"/>
    <w:rsid w:val="2A0E44C7"/>
    <w:rsid w:val="2A0E7F7A"/>
    <w:rsid w:val="2A1F046C"/>
    <w:rsid w:val="2A21286A"/>
    <w:rsid w:val="2A3034C7"/>
    <w:rsid w:val="2A38412F"/>
    <w:rsid w:val="2A3C5B63"/>
    <w:rsid w:val="2A4B016F"/>
    <w:rsid w:val="2A5C4C08"/>
    <w:rsid w:val="2A642F20"/>
    <w:rsid w:val="2A667866"/>
    <w:rsid w:val="2A742AF1"/>
    <w:rsid w:val="2AAF791A"/>
    <w:rsid w:val="2AB660F7"/>
    <w:rsid w:val="2AC762EF"/>
    <w:rsid w:val="2B11202A"/>
    <w:rsid w:val="2B1C6D85"/>
    <w:rsid w:val="2B2E0950"/>
    <w:rsid w:val="2B2E5440"/>
    <w:rsid w:val="2B331EDB"/>
    <w:rsid w:val="2B334501"/>
    <w:rsid w:val="2B63274B"/>
    <w:rsid w:val="2B66542F"/>
    <w:rsid w:val="2B772FE7"/>
    <w:rsid w:val="2B894ABF"/>
    <w:rsid w:val="2B8B3D13"/>
    <w:rsid w:val="2BA23D18"/>
    <w:rsid w:val="2BA33B3F"/>
    <w:rsid w:val="2BA516C0"/>
    <w:rsid w:val="2BB94BDD"/>
    <w:rsid w:val="2BEF7F55"/>
    <w:rsid w:val="2C065BC9"/>
    <w:rsid w:val="2C106CA8"/>
    <w:rsid w:val="2C164D73"/>
    <w:rsid w:val="2C1B1970"/>
    <w:rsid w:val="2C3E5A2E"/>
    <w:rsid w:val="2C4F60BD"/>
    <w:rsid w:val="2C696E7A"/>
    <w:rsid w:val="2C6F7EE5"/>
    <w:rsid w:val="2C931228"/>
    <w:rsid w:val="2C9321CB"/>
    <w:rsid w:val="2C9E59B2"/>
    <w:rsid w:val="2CA4032A"/>
    <w:rsid w:val="2CAA0D3B"/>
    <w:rsid w:val="2CAB6646"/>
    <w:rsid w:val="2CAE43CC"/>
    <w:rsid w:val="2CC43190"/>
    <w:rsid w:val="2CEA77CA"/>
    <w:rsid w:val="2CFD7BC7"/>
    <w:rsid w:val="2D0167B7"/>
    <w:rsid w:val="2D0E09B2"/>
    <w:rsid w:val="2D214C78"/>
    <w:rsid w:val="2D272C54"/>
    <w:rsid w:val="2D2C6506"/>
    <w:rsid w:val="2D337F2B"/>
    <w:rsid w:val="2D3C0C07"/>
    <w:rsid w:val="2D3D65BB"/>
    <w:rsid w:val="2D4E27A4"/>
    <w:rsid w:val="2D67011A"/>
    <w:rsid w:val="2D6D4D4A"/>
    <w:rsid w:val="2D707235"/>
    <w:rsid w:val="2D772F75"/>
    <w:rsid w:val="2D9934CC"/>
    <w:rsid w:val="2DB56490"/>
    <w:rsid w:val="2DDF2532"/>
    <w:rsid w:val="2DEB6AE9"/>
    <w:rsid w:val="2DF33D2D"/>
    <w:rsid w:val="2E050B0C"/>
    <w:rsid w:val="2E175188"/>
    <w:rsid w:val="2E1B77A0"/>
    <w:rsid w:val="2E283EF2"/>
    <w:rsid w:val="2E2C73E5"/>
    <w:rsid w:val="2E352597"/>
    <w:rsid w:val="2E3C2FC2"/>
    <w:rsid w:val="2E3F3416"/>
    <w:rsid w:val="2E4F6CC3"/>
    <w:rsid w:val="2E5C3FC8"/>
    <w:rsid w:val="2E5D6254"/>
    <w:rsid w:val="2E655577"/>
    <w:rsid w:val="2E745B11"/>
    <w:rsid w:val="2E8B3ADD"/>
    <w:rsid w:val="2E9A282F"/>
    <w:rsid w:val="2EA2374F"/>
    <w:rsid w:val="2EAC6B4B"/>
    <w:rsid w:val="2F246326"/>
    <w:rsid w:val="2F33722F"/>
    <w:rsid w:val="2F344DA0"/>
    <w:rsid w:val="2F4621FD"/>
    <w:rsid w:val="2F49026F"/>
    <w:rsid w:val="2F546E49"/>
    <w:rsid w:val="2F57538F"/>
    <w:rsid w:val="2F5B6D91"/>
    <w:rsid w:val="2F626C44"/>
    <w:rsid w:val="2F646487"/>
    <w:rsid w:val="2F7B40D3"/>
    <w:rsid w:val="2F8F18E7"/>
    <w:rsid w:val="2F961BB1"/>
    <w:rsid w:val="2FAD754E"/>
    <w:rsid w:val="2FB426A6"/>
    <w:rsid w:val="2FD65905"/>
    <w:rsid w:val="2FEE6EA1"/>
    <w:rsid w:val="2FF24A22"/>
    <w:rsid w:val="2FF8102E"/>
    <w:rsid w:val="30025096"/>
    <w:rsid w:val="300F0BC6"/>
    <w:rsid w:val="301937F3"/>
    <w:rsid w:val="301C680D"/>
    <w:rsid w:val="302465F3"/>
    <w:rsid w:val="3029482F"/>
    <w:rsid w:val="306677B8"/>
    <w:rsid w:val="30782244"/>
    <w:rsid w:val="30795B8E"/>
    <w:rsid w:val="307E624F"/>
    <w:rsid w:val="30961797"/>
    <w:rsid w:val="309C25B8"/>
    <w:rsid w:val="30BA73C2"/>
    <w:rsid w:val="30C71273"/>
    <w:rsid w:val="30D54B11"/>
    <w:rsid w:val="30D8545C"/>
    <w:rsid w:val="30DA3DB5"/>
    <w:rsid w:val="30FD3114"/>
    <w:rsid w:val="30FE7763"/>
    <w:rsid w:val="31094053"/>
    <w:rsid w:val="310C5B7B"/>
    <w:rsid w:val="311A4FB7"/>
    <w:rsid w:val="311F631F"/>
    <w:rsid w:val="3138643E"/>
    <w:rsid w:val="314409B1"/>
    <w:rsid w:val="31440EAB"/>
    <w:rsid w:val="31506289"/>
    <w:rsid w:val="3151211D"/>
    <w:rsid w:val="316570DA"/>
    <w:rsid w:val="3199003F"/>
    <w:rsid w:val="31B37C7C"/>
    <w:rsid w:val="31C12C59"/>
    <w:rsid w:val="31C74D2C"/>
    <w:rsid w:val="31D43E75"/>
    <w:rsid w:val="31DF2885"/>
    <w:rsid w:val="31F52DF0"/>
    <w:rsid w:val="31FC559A"/>
    <w:rsid w:val="320B5F46"/>
    <w:rsid w:val="320D5B61"/>
    <w:rsid w:val="32341BDD"/>
    <w:rsid w:val="323C7456"/>
    <w:rsid w:val="324942C8"/>
    <w:rsid w:val="325356E2"/>
    <w:rsid w:val="32555157"/>
    <w:rsid w:val="32664950"/>
    <w:rsid w:val="3268309D"/>
    <w:rsid w:val="326F3BF2"/>
    <w:rsid w:val="329F4DA6"/>
    <w:rsid w:val="32C45446"/>
    <w:rsid w:val="32CC5BFC"/>
    <w:rsid w:val="32D158F1"/>
    <w:rsid w:val="32DC56D7"/>
    <w:rsid w:val="32E020A2"/>
    <w:rsid w:val="330C511A"/>
    <w:rsid w:val="3315102A"/>
    <w:rsid w:val="33272EB9"/>
    <w:rsid w:val="33353032"/>
    <w:rsid w:val="334A05D8"/>
    <w:rsid w:val="335109D0"/>
    <w:rsid w:val="335D3B13"/>
    <w:rsid w:val="336E5337"/>
    <w:rsid w:val="337E34C8"/>
    <w:rsid w:val="337E40EB"/>
    <w:rsid w:val="33826CAF"/>
    <w:rsid w:val="338B2EDC"/>
    <w:rsid w:val="339D5718"/>
    <w:rsid w:val="33A34939"/>
    <w:rsid w:val="33BF0EBA"/>
    <w:rsid w:val="33CB7C1F"/>
    <w:rsid w:val="33D63B8C"/>
    <w:rsid w:val="33DB6A64"/>
    <w:rsid w:val="33E10ACB"/>
    <w:rsid w:val="33E21660"/>
    <w:rsid w:val="340277B2"/>
    <w:rsid w:val="340E28A6"/>
    <w:rsid w:val="34182303"/>
    <w:rsid w:val="341D30E4"/>
    <w:rsid w:val="342F0F6A"/>
    <w:rsid w:val="343E326A"/>
    <w:rsid w:val="34401371"/>
    <w:rsid w:val="34501690"/>
    <w:rsid w:val="34914532"/>
    <w:rsid w:val="34970CEC"/>
    <w:rsid w:val="34B66376"/>
    <w:rsid w:val="34DB50AE"/>
    <w:rsid w:val="34F04DB4"/>
    <w:rsid w:val="3511006D"/>
    <w:rsid w:val="351837D2"/>
    <w:rsid w:val="35516986"/>
    <w:rsid w:val="35705F41"/>
    <w:rsid w:val="357240C2"/>
    <w:rsid w:val="35916CF4"/>
    <w:rsid w:val="35953827"/>
    <w:rsid w:val="3598597D"/>
    <w:rsid w:val="359C2C35"/>
    <w:rsid w:val="359E4EC6"/>
    <w:rsid w:val="35DB2693"/>
    <w:rsid w:val="35DD5017"/>
    <w:rsid w:val="35E9481C"/>
    <w:rsid w:val="35F84EEB"/>
    <w:rsid w:val="360C5F1F"/>
    <w:rsid w:val="360D5BA8"/>
    <w:rsid w:val="362B4280"/>
    <w:rsid w:val="362B7377"/>
    <w:rsid w:val="362F5B1E"/>
    <w:rsid w:val="363D7320"/>
    <w:rsid w:val="365744B4"/>
    <w:rsid w:val="36587FBB"/>
    <w:rsid w:val="36716136"/>
    <w:rsid w:val="368F0D33"/>
    <w:rsid w:val="369C6383"/>
    <w:rsid w:val="36AA1C39"/>
    <w:rsid w:val="36D75095"/>
    <w:rsid w:val="36E763F9"/>
    <w:rsid w:val="36FA7F34"/>
    <w:rsid w:val="37094913"/>
    <w:rsid w:val="37265D15"/>
    <w:rsid w:val="37375760"/>
    <w:rsid w:val="37386350"/>
    <w:rsid w:val="374802DE"/>
    <w:rsid w:val="375F73C6"/>
    <w:rsid w:val="376C3376"/>
    <w:rsid w:val="377341F2"/>
    <w:rsid w:val="377666C2"/>
    <w:rsid w:val="37781B04"/>
    <w:rsid w:val="37785469"/>
    <w:rsid w:val="377E7F6C"/>
    <w:rsid w:val="37877D2D"/>
    <w:rsid w:val="37922808"/>
    <w:rsid w:val="37AD0313"/>
    <w:rsid w:val="37B049A1"/>
    <w:rsid w:val="37CA36CD"/>
    <w:rsid w:val="37EF1A09"/>
    <w:rsid w:val="37EF5949"/>
    <w:rsid w:val="37F05E2B"/>
    <w:rsid w:val="3818328E"/>
    <w:rsid w:val="3819580A"/>
    <w:rsid w:val="38291F7D"/>
    <w:rsid w:val="383129E7"/>
    <w:rsid w:val="38314085"/>
    <w:rsid w:val="38330DBB"/>
    <w:rsid w:val="38435830"/>
    <w:rsid w:val="385013F7"/>
    <w:rsid w:val="385D165B"/>
    <w:rsid w:val="38755B73"/>
    <w:rsid w:val="3876438E"/>
    <w:rsid w:val="388E4416"/>
    <w:rsid w:val="38951D03"/>
    <w:rsid w:val="389C5F17"/>
    <w:rsid w:val="38A76F97"/>
    <w:rsid w:val="38AB0397"/>
    <w:rsid w:val="38C764E2"/>
    <w:rsid w:val="38D4325D"/>
    <w:rsid w:val="38F02DC0"/>
    <w:rsid w:val="390C1972"/>
    <w:rsid w:val="39133869"/>
    <w:rsid w:val="3916641F"/>
    <w:rsid w:val="3919370E"/>
    <w:rsid w:val="393078E2"/>
    <w:rsid w:val="39374478"/>
    <w:rsid w:val="394C48CB"/>
    <w:rsid w:val="395130D8"/>
    <w:rsid w:val="395E5312"/>
    <w:rsid w:val="395F238F"/>
    <w:rsid w:val="39623243"/>
    <w:rsid w:val="39716201"/>
    <w:rsid w:val="398A521B"/>
    <w:rsid w:val="398E7A02"/>
    <w:rsid w:val="399076AF"/>
    <w:rsid w:val="39A66B72"/>
    <w:rsid w:val="39C4554E"/>
    <w:rsid w:val="39F04B6C"/>
    <w:rsid w:val="3A082C8A"/>
    <w:rsid w:val="3A165FC2"/>
    <w:rsid w:val="3A1B323D"/>
    <w:rsid w:val="3A3A5595"/>
    <w:rsid w:val="3A4E590C"/>
    <w:rsid w:val="3A614E61"/>
    <w:rsid w:val="3A635C5D"/>
    <w:rsid w:val="3A6C27EB"/>
    <w:rsid w:val="3A7070F0"/>
    <w:rsid w:val="3A9537E4"/>
    <w:rsid w:val="3AF05D4D"/>
    <w:rsid w:val="3AF15F68"/>
    <w:rsid w:val="3AF17846"/>
    <w:rsid w:val="3AF71FC7"/>
    <w:rsid w:val="3B0F23C2"/>
    <w:rsid w:val="3B126380"/>
    <w:rsid w:val="3B150A15"/>
    <w:rsid w:val="3B180D3E"/>
    <w:rsid w:val="3B1F2605"/>
    <w:rsid w:val="3B255741"/>
    <w:rsid w:val="3B4569F6"/>
    <w:rsid w:val="3B5771BA"/>
    <w:rsid w:val="3B7834A3"/>
    <w:rsid w:val="3B86257D"/>
    <w:rsid w:val="3B871EA1"/>
    <w:rsid w:val="3BB07CBA"/>
    <w:rsid w:val="3BB14D12"/>
    <w:rsid w:val="3BC82C9D"/>
    <w:rsid w:val="3BCB0F9D"/>
    <w:rsid w:val="3BEA2AF1"/>
    <w:rsid w:val="3BEF4EE0"/>
    <w:rsid w:val="3BF24C1B"/>
    <w:rsid w:val="3C4B567C"/>
    <w:rsid w:val="3C5067EE"/>
    <w:rsid w:val="3C54352B"/>
    <w:rsid w:val="3C580899"/>
    <w:rsid w:val="3C6D2853"/>
    <w:rsid w:val="3C7061C2"/>
    <w:rsid w:val="3C97039D"/>
    <w:rsid w:val="3CAC1A13"/>
    <w:rsid w:val="3CAC2743"/>
    <w:rsid w:val="3CB90837"/>
    <w:rsid w:val="3CC85B73"/>
    <w:rsid w:val="3CE02A0C"/>
    <w:rsid w:val="3CF655E7"/>
    <w:rsid w:val="3D041252"/>
    <w:rsid w:val="3D0B1DF7"/>
    <w:rsid w:val="3D1A0E76"/>
    <w:rsid w:val="3D1A30C6"/>
    <w:rsid w:val="3D2348EA"/>
    <w:rsid w:val="3D466449"/>
    <w:rsid w:val="3D50701F"/>
    <w:rsid w:val="3D547705"/>
    <w:rsid w:val="3D5628C8"/>
    <w:rsid w:val="3D6253E3"/>
    <w:rsid w:val="3D772222"/>
    <w:rsid w:val="3DB82AC4"/>
    <w:rsid w:val="3DBA5E48"/>
    <w:rsid w:val="3DC458FA"/>
    <w:rsid w:val="3DDFAF18"/>
    <w:rsid w:val="3DFE745B"/>
    <w:rsid w:val="3E7316AE"/>
    <w:rsid w:val="3E846635"/>
    <w:rsid w:val="3E8E1824"/>
    <w:rsid w:val="3E9A7845"/>
    <w:rsid w:val="3E9E05F6"/>
    <w:rsid w:val="3EA53D88"/>
    <w:rsid w:val="3EB33959"/>
    <w:rsid w:val="3EBC12F6"/>
    <w:rsid w:val="3EBC3264"/>
    <w:rsid w:val="3EBF07D9"/>
    <w:rsid w:val="3EBF1A09"/>
    <w:rsid w:val="3ECF25BD"/>
    <w:rsid w:val="3ED20BCE"/>
    <w:rsid w:val="3EE648D9"/>
    <w:rsid w:val="3F0C10F2"/>
    <w:rsid w:val="3F2648C7"/>
    <w:rsid w:val="3F3A04F6"/>
    <w:rsid w:val="3F4941E3"/>
    <w:rsid w:val="3F5D5AEE"/>
    <w:rsid w:val="3F6B394B"/>
    <w:rsid w:val="3F7B0026"/>
    <w:rsid w:val="3F895F41"/>
    <w:rsid w:val="3F9D12BF"/>
    <w:rsid w:val="3FBE72BB"/>
    <w:rsid w:val="3FCA3858"/>
    <w:rsid w:val="3FCA6C57"/>
    <w:rsid w:val="3FCB4B12"/>
    <w:rsid w:val="3FCB66BF"/>
    <w:rsid w:val="3FD12C67"/>
    <w:rsid w:val="3FDC0F28"/>
    <w:rsid w:val="3FE032C3"/>
    <w:rsid w:val="3FE03964"/>
    <w:rsid w:val="3FE47C53"/>
    <w:rsid w:val="3FFE3A57"/>
    <w:rsid w:val="4004284D"/>
    <w:rsid w:val="400C3EA6"/>
    <w:rsid w:val="40143922"/>
    <w:rsid w:val="40394DC8"/>
    <w:rsid w:val="403A1C8F"/>
    <w:rsid w:val="403C0F65"/>
    <w:rsid w:val="403F14D5"/>
    <w:rsid w:val="40582F0F"/>
    <w:rsid w:val="405B04B1"/>
    <w:rsid w:val="405C029A"/>
    <w:rsid w:val="405C220E"/>
    <w:rsid w:val="40630701"/>
    <w:rsid w:val="40656F44"/>
    <w:rsid w:val="40920471"/>
    <w:rsid w:val="409F2EC6"/>
    <w:rsid w:val="40A37834"/>
    <w:rsid w:val="41011BD4"/>
    <w:rsid w:val="412053A0"/>
    <w:rsid w:val="41211C4E"/>
    <w:rsid w:val="412A188A"/>
    <w:rsid w:val="412C5357"/>
    <w:rsid w:val="413550FD"/>
    <w:rsid w:val="41652D3C"/>
    <w:rsid w:val="41764821"/>
    <w:rsid w:val="417662C5"/>
    <w:rsid w:val="41906CAD"/>
    <w:rsid w:val="41943621"/>
    <w:rsid w:val="419A5679"/>
    <w:rsid w:val="419D4FAD"/>
    <w:rsid w:val="41AE6B81"/>
    <w:rsid w:val="41B8293D"/>
    <w:rsid w:val="41CE6C89"/>
    <w:rsid w:val="41D862AD"/>
    <w:rsid w:val="41E07407"/>
    <w:rsid w:val="41E61AA6"/>
    <w:rsid w:val="41EA5723"/>
    <w:rsid w:val="41EF0875"/>
    <w:rsid w:val="41FD2F74"/>
    <w:rsid w:val="42025270"/>
    <w:rsid w:val="420424D8"/>
    <w:rsid w:val="42067346"/>
    <w:rsid w:val="420D232F"/>
    <w:rsid w:val="420E3B93"/>
    <w:rsid w:val="42140C25"/>
    <w:rsid w:val="4218106E"/>
    <w:rsid w:val="424A1642"/>
    <w:rsid w:val="42717F8B"/>
    <w:rsid w:val="42867CD6"/>
    <w:rsid w:val="429E3EF8"/>
    <w:rsid w:val="429E453C"/>
    <w:rsid w:val="42A71DC9"/>
    <w:rsid w:val="42C14898"/>
    <w:rsid w:val="42CB2154"/>
    <w:rsid w:val="42CB7EE2"/>
    <w:rsid w:val="42CD0B98"/>
    <w:rsid w:val="42F81039"/>
    <w:rsid w:val="42FA6F3B"/>
    <w:rsid w:val="42FD585B"/>
    <w:rsid w:val="43106BE6"/>
    <w:rsid w:val="43143625"/>
    <w:rsid w:val="4318421D"/>
    <w:rsid w:val="431C4F76"/>
    <w:rsid w:val="433C214E"/>
    <w:rsid w:val="433C7F72"/>
    <w:rsid w:val="4356268C"/>
    <w:rsid w:val="435C702E"/>
    <w:rsid w:val="4365444E"/>
    <w:rsid w:val="43687B24"/>
    <w:rsid w:val="436D4886"/>
    <w:rsid w:val="43875B7F"/>
    <w:rsid w:val="438D5843"/>
    <w:rsid w:val="43904CC7"/>
    <w:rsid w:val="43A45D9D"/>
    <w:rsid w:val="43DD294E"/>
    <w:rsid w:val="43DE58E9"/>
    <w:rsid w:val="43E67A4D"/>
    <w:rsid w:val="43F14276"/>
    <w:rsid w:val="43F7111F"/>
    <w:rsid w:val="43FE3EE3"/>
    <w:rsid w:val="440D4EE0"/>
    <w:rsid w:val="440F4C24"/>
    <w:rsid w:val="441C71D0"/>
    <w:rsid w:val="442040C1"/>
    <w:rsid w:val="442966A8"/>
    <w:rsid w:val="443B5A22"/>
    <w:rsid w:val="445169CE"/>
    <w:rsid w:val="445C26AB"/>
    <w:rsid w:val="446217B4"/>
    <w:rsid w:val="44915BF6"/>
    <w:rsid w:val="44A561CE"/>
    <w:rsid w:val="44AA2327"/>
    <w:rsid w:val="44BB63FF"/>
    <w:rsid w:val="44DA7B85"/>
    <w:rsid w:val="44F3065E"/>
    <w:rsid w:val="450148D5"/>
    <w:rsid w:val="452471AB"/>
    <w:rsid w:val="452B30F8"/>
    <w:rsid w:val="454046A1"/>
    <w:rsid w:val="45615132"/>
    <w:rsid w:val="456C4DFD"/>
    <w:rsid w:val="456C7ED6"/>
    <w:rsid w:val="456E38B0"/>
    <w:rsid w:val="4581338C"/>
    <w:rsid w:val="458614D2"/>
    <w:rsid w:val="458B6A5C"/>
    <w:rsid w:val="45A144E1"/>
    <w:rsid w:val="45A57B68"/>
    <w:rsid w:val="45A86767"/>
    <w:rsid w:val="45AA0020"/>
    <w:rsid w:val="45D51D12"/>
    <w:rsid w:val="45E94758"/>
    <w:rsid w:val="46024FFD"/>
    <w:rsid w:val="460C7B39"/>
    <w:rsid w:val="460E5240"/>
    <w:rsid w:val="461F47D3"/>
    <w:rsid w:val="462D6350"/>
    <w:rsid w:val="4631143E"/>
    <w:rsid w:val="463939C1"/>
    <w:rsid w:val="464133B7"/>
    <w:rsid w:val="46560AA4"/>
    <w:rsid w:val="46647D1A"/>
    <w:rsid w:val="4681026C"/>
    <w:rsid w:val="4682333A"/>
    <w:rsid w:val="46844C8E"/>
    <w:rsid w:val="46A00372"/>
    <w:rsid w:val="46A65C50"/>
    <w:rsid w:val="46C04C7C"/>
    <w:rsid w:val="46C071CC"/>
    <w:rsid w:val="46C75117"/>
    <w:rsid w:val="46CC7E97"/>
    <w:rsid w:val="46DC5832"/>
    <w:rsid w:val="46E177FF"/>
    <w:rsid w:val="46F328FC"/>
    <w:rsid w:val="47011ACD"/>
    <w:rsid w:val="470A2D2C"/>
    <w:rsid w:val="471415B3"/>
    <w:rsid w:val="472C260C"/>
    <w:rsid w:val="47306EFC"/>
    <w:rsid w:val="474A4078"/>
    <w:rsid w:val="47756430"/>
    <w:rsid w:val="47784C4F"/>
    <w:rsid w:val="477C109A"/>
    <w:rsid w:val="4784753A"/>
    <w:rsid w:val="478D3CC7"/>
    <w:rsid w:val="478E5502"/>
    <w:rsid w:val="479351F1"/>
    <w:rsid w:val="47B07BD6"/>
    <w:rsid w:val="47B67BD8"/>
    <w:rsid w:val="47BC7F5F"/>
    <w:rsid w:val="47D118B1"/>
    <w:rsid w:val="47D2434A"/>
    <w:rsid w:val="47D46AAB"/>
    <w:rsid w:val="47E917E0"/>
    <w:rsid w:val="480B2811"/>
    <w:rsid w:val="481132D5"/>
    <w:rsid w:val="4816006D"/>
    <w:rsid w:val="481C1C7A"/>
    <w:rsid w:val="48214ED8"/>
    <w:rsid w:val="48257416"/>
    <w:rsid w:val="482A2A0C"/>
    <w:rsid w:val="482B2909"/>
    <w:rsid w:val="48307BFD"/>
    <w:rsid w:val="483D3125"/>
    <w:rsid w:val="484A26BF"/>
    <w:rsid w:val="484E5CBB"/>
    <w:rsid w:val="48557364"/>
    <w:rsid w:val="48667B2A"/>
    <w:rsid w:val="4869459C"/>
    <w:rsid w:val="487201A8"/>
    <w:rsid w:val="48906EBD"/>
    <w:rsid w:val="48A8615D"/>
    <w:rsid w:val="48B5485F"/>
    <w:rsid w:val="48BD6B32"/>
    <w:rsid w:val="48C1771B"/>
    <w:rsid w:val="48CA5E0A"/>
    <w:rsid w:val="48CD0AFD"/>
    <w:rsid w:val="48D23BBC"/>
    <w:rsid w:val="48D32C81"/>
    <w:rsid w:val="48D94475"/>
    <w:rsid w:val="48F12E7E"/>
    <w:rsid w:val="493F7062"/>
    <w:rsid w:val="496A016D"/>
    <w:rsid w:val="496E3983"/>
    <w:rsid w:val="49842F57"/>
    <w:rsid w:val="49A00A72"/>
    <w:rsid w:val="49A5223C"/>
    <w:rsid w:val="49AA4168"/>
    <w:rsid w:val="49AB1160"/>
    <w:rsid w:val="49B56F98"/>
    <w:rsid w:val="49BB3949"/>
    <w:rsid w:val="49BE0964"/>
    <w:rsid w:val="49CC4381"/>
    <w:rsid w:val="49D45089"/>
    <w:rsid w:val="49E862B8"/>
    <w:rsid w:val="4A077EC8"/>
    <w:rsid w:val="4A0B68F5"/>
    <w:rsid w:val="4A0C0BD3"/>
    <w:rsid w:val="4A0F6124"/>
    <w:rsid w:val="4A1672C9"/>
    <w:rsid w:val="4A2205F3"/>
    <w:rsid w:val="4A2E65B0"/>
    <w:rsid w:val="4A69618C"/>
    <w:rsid w:val="4A6E0769"/>
    <w:rsid w:val="4A721951"/>
    <w:rsid w:val="4A8A2918"/>
    <w:rsid w:val="4AB078ED"/>
    <w:rsid w:val="4AB368C6"/>
    <w:rsid w:val="4ABF56B5"/>
    <w:rsid w:val="4ACC2406"/>
    <w:rsid w:val="4AE32A5A"/>
    <w:rsid w:val="4AE75B07"/>
    <w:rsid w:val="4AE84FD8"/>
    <w:rsid w:val="4AED246F"/>
    <w:rsid w:val="4AF07A71"/>
    <w:rsid w:val="4B2D028D"/>
    <w:rsid w:val="4B412760"/>
    <w:rsid w:val="4B463452"/>
    <w:rsid w:val="4B6D6C94"/>
    <w:rsid w:val="4B74129A"/>
    <w:rsid w:val="4B9673AD"/>
    <w:rsid w:val="4B990456"/>
    <w:rsid w:val="4B9E0364"/>
    <w:rsid w:val="4BB65B68"/>
    <w:rsid w:val="4BC70940"/>
    <w:rsid w:val="4BCC17FE"/>
    <w:rsid w:val="4BD04DDA"/>
    <w:rsid w:val="4BE85531"/>
    <w:rsid w:val="4BFE5BCA"/>
    <w:rsid w:val="4C18722F"/>
    <w:rsid w:val="4C290E3E"/>
    <w:rsid w:val="4C397DE0"/>
    <w:rsid w:val="4C3C4224"/>
    <w:rsid w:val="4C534D3E"/>
    <w:rsid w:val="4C5D11DF"/>
    <w:rsid w:val="4C5F2A1E"/>
    <w:rsid w:val="4C8A2FFB"/>
    <w:rsid w:val="4C8D2ABC"/>
    <w:rsid w:val="4C9C4302"/>
    <w:rsid w:val="4C9E0279"/>
    <w:rsid w:val="4CC117E5"/>
    <w:rsid w:val="4CDF318C"/>
    <w:rsid w:val="4CE90D25"/>
    <w:rsid w:val="4CEC6878"/>
    <w:rsid w:val="4D1548F0"/>
    <w:rsid w:val="4D2104A8"/>
    <w:rsid w:val="4D244CBF"/>
    <w:rsid w:val="4D292E6F"/>
    <w:rsid w:val="4D2A39E8"/>
    <w:rsid w:val="4D31441A"/>
    <w:rsid w:val="4D752558"/>
    <w:rsid w:val="4D7A5526"/>
    <w:rsid w:val="4D8121CC"/>
    <w:rsid w:val="4DB91B27"/>
    <w:rsid w:val="4DBF571D"/>
    <w:rsid w:val="4E042FA2"/>
    <w:rsid w:val="4E1D403C"/>
    <w:rsid w:val="4E2F4922"/>
    <w:rsid w:val="4E331BD9"/>
    <w:rsid w:val="4E361CE8"/>
    <w:rsid w:val="4E4507DD"/>
    <w:rsid w:val="4E576FCA"/>
    <w:rsid w:val="4E585429"/>
    <w:rsid w:val="4E59789B"/>
    <w:rsid w:val="4E615EC9"/>
    <w:rsid w:val="4E66634C"/>
    <w:rsid w:val="4E837643"/>
    <w:rsid w:val="4E8B23CB"/>
    <w:rsid w:val="4EDE5D71"/>
    <w:rsid w:val="4EEF5826"/>
    <w:rsid w:val="4EFB1561"/>
    <w:rsid w:val="4EFF13E5"/>
    <w:rsid w:val="4F0074BA"/>
    <w:rsid w:val="4F02136E"/>
    <w:rsid w:val="4F0510D3"/>
    <w:rsid w:val="4F163801"/>
    <w:rsid w:val="4F2466DB"/>
    <w:rsid w:val="4F322D92"/>
    <w:rsid w:val="4F3C7232"/>
    <w:rsid w:val="4F660C8C"/>
    <w:rsid w:val="4F6F21F8"/>
    <w:rsid w:val="4F79101E"/>
    <w:rsid w:val="4F8F7FCE"/>
    <w:rsid w:val="4F906A7A"/>
    <w:rsid w:val="4F947470"/>
    <w:rsid w:val="4F9D4AE8"/>
    <w:rsid w:val="4FA81066"/>
    <w:rsid w:val="4FBE290B"/>
    <w:rsid w:val="4FD25CE8"/>
    <w:rsid w:val="4FF57980"/>
    <w:rsid w:val="50051787"/>
    <w:rsid w:val="500632AF"/>
    <w:rsid w:val="500A0E5A"/>
    <w:rsid w:val="5036189F"/>
    <w:rsid w:val="5068684B"/>
    <w:rsid w:val="506A7908"/>
    <w:rsid w:val="50725A7D"/>
    <w:rsid w:val="507A6580"/>
    <w:rsid w:val="50835C26"/>
    <w:rsid w:val="509F6E64"/>
    <w:rsid w:val="50A3276B"/>
    <w:rsid w:val="50BA5D8C"/>
    <w:rsid w:val="50C4790F"/>
    <w:rsid w:val="50C5194B"/>
    <w:rsid w:val="50C66322"/>
    <w:rsid w:val="50E41FE3"/>
    <w:rsid w:val="512053C2"/>
    <w:rsid w:val="512B4357"/>
    <w:rsid w:val="512D7F22"/>
    <w:rsid w:val="51361020"/>
    <w:rsid w:val="514F00E4"/>
    <w:rsid w:val="51773948"/>
    <w:rsid w:val="519A6EC9"/>
    <w:rsid w:val="51AE2905"/>
    <w:rsid w:val="51ED6811"/>
    <w:rsid w:val="51F82D6C"/>
    <w:rsid w:val="520A30CD"/>
    <w:rsid w:val="52412A09"/>
    <w:rsid w:val="524F6712"/>
    <w:rsid w:val="52515808"/>
    <w:rsid w:val="5259467E"/>
    <w:rsid w:val="5262512F"/>
    <w:rsid w:val="526523D6"/>
    <w:rsid w:val="528066AD"/>
    <w:rsid w:val="52932754"/>
    <w:rsid w:val="529D7230"/>
    <w:rsid w:val="52B17E31"/>
    <w:rsid w:val="52BB6F5B"/>
    <w:rsid w:val="52BF5AF9"/>
    <w:rsid w:val="52D7702B"/>
    <w:rsid w:val="52DA23B9"/>
    <w:rsid w:val="52EC21EE"/>
    <w:rsid w:val="52F60041"/>
    <w:rsid w:val="52FD5539"/>
    <w:rsid w:val="53081779"/>
    <w:rsid w:val="53083527"/>
    <w:rsid w:val="53172273"/>
    <w:rsid w:val="535544A0"/>
    <w:rsid w:val="536F6736"/>
    <w:rsid w:val="53866F47"/>
    <w:rsid w:val="538F59F6"/>
    <w:rsid w:val="53954973"/>
    <w:rsid w:val="53A849CE"/>
    <w:rsid w:val="53C304A0"/>
    <w:rsid w:val="53C34C5E"/>
    <w:rsid w:val="53D0793D"/>
    <w:rsid w:val="53D54898"/>
    <w:rsid w:val="53EA1B49"/>
    <w:rsid w:val="53F06D2B"/>
    <w:rsid w:val="53F51C3D"/>
    <w:rsid w:val="5403644D"/>
    <w:rsid w:val="541218C4"/>
    <w:rsid w:val="54160428"/>
    <w:rsid w:val="5434698F"/>
    <w:rsid w:val="54366835"/>
    <w:rsid w:val="54372316"/>
    <w:rsid w:val="54404E29"/>
    <w:rsid w:val="5452217E"/>
    <w:rsid w:val="548E43BB"/>
    <w:rsid w:val="549D2B88"/>
    <w:rsid w:val="54B527A7"/>
    <w:rsid w:val="54CC1803"/>
    <w:rsid w:val="54D51553"/>
    <w:rsid w:val="54D73AF9"/>
    <w:rsid w:val="54DC4C6B"/>
    <w:rsid w:val="54E11640"/>
    <w:rsid w:val="54E149C6"/>
    <w:rsid w:val="54E73001"/>
    <w:rsid w:val="54E86CC2"/>
    <w:rsid w:val="54F62437"/>
    <w:rsid w:val="54FB5D05"/>
    <w:rsid w:val="550558D4"/>
    <w:rsid w:val="55194201"/>
    <w:rsid w:val="552315B3"/>
    <w:rsid w:val="552B4AB0"/>
    <w:rsid w:val="552C5BF2"/>
    <w:rsid w:val="55425416"/>
    <w:rsid w:val="5547437F"/>
    <w:rsid w:val="55527EA1"/>
    <w:rsid w:val="555D2250"/>
    <w:rsid w:val="55761405"/>
    <w:rsid w:val="557624F7"/>
    <w:rsid w:val="55792CD9"/>
    <w:rsid w:val="557B7D23"/>
    <w:rsid w:val="558102A2"/>
    <w:rsid w:val="559509EF"/>
    <w:rsid w:val="55A04417"/>
    <w:rsid w:val="55A4770D"/>
    <w:rsid w:val="55A97243"/>
    <w:rsid w:val="55B25A45"/>
    <w:rsid w:val="55C10635"/>
    <w:rsid w:val="55C358DB"/>
    <w:rsid w:val="55D17EEB"/>
    <w:rsid w:val="55F54236"/>
    <w:rsid w:val="55FD7FA6"/>
    <w:rsid w:val="56106069"/>
    <w:rsid w:val="562D21BA"/>
    <w:rsid w:val="56417C8B"/>
    <w:rsid w:val="5656634D"/>
    <w:rsid w:val="565A30DD"/>
    <w:rsid w:val="565D4368"/>
    <w:rsid w:val="566611C5"/>
    <w:rsid w:val="567E2944"/>
    <w:rsid w:val="56A45C5C"/>
    <w:rsid w:val="56A6554E"/>
    <w:rsid w:val="56C87E1B"/>
    <w:rsid w:val="56DA57FD"/>
    <w:rsid w:val="56DE4CCA"/>
    <w:rsid w:val="56EA2D3C"/>
    <w:rsid w:val="56EE14CF"/>
    <w:rsid w:val="56F965F5"/>
    <w:rsid w:val="56FB1C14"/>
    <w:rsid w:val="57123FD6"/>
    <w:rsid w:val="57201787"/>
    <w:rsid w:val="57296868"/>
    <w:rsid w:val="57390153"/>
    <w:rsid w:val="573910A0"/>
    <w:rsid w:val="573A0DF0"/>
    <w:rsid w:val="574B60D8"/>
    <w:rsid w:val="57586289"/>
    <w:rsid w:val="575B229F"/>
    <w:rsid w:val="576111AB"/>
    <w:rsid w:val="5761234D"/>
    <w:rsid w:val="576F5E9E"/>
    <w:rsid w:val="57811C90"/>
    <w:rsid w:val="57975CC0"/>
    <w:rsid w:val="579B0E0D"/>
    <w:rsid w:val="579D3D38"/>
    <w:rsid w:val="57AA0330"/>
    <w:rsid w:val="57B3617B"/>
    <w:rsid w:val="57BF38FE"/>
    <w:rsid w:val="57DF23A1"/>
    <w:rsid w:val="57E217DB"/>
    <w:rsid w:val="57FA428B"/>
    <w:rsid w:val="58055BD9"/>
    <w:rsid w:val="58311772"/>
    <w:rsid w:val="58322345"/>
    <w:rsid w:val="58366554"/>
    <w:rsid w:val="584B4E74"/>
    <w:rsid w:val="58560E5E"/>
    <w:rsid w:val="58583050"/>
    <w:rsid w:val="585B3040"/>
    <w:rsid w:val="586608E4"/>
    <w:rsid w:val="58766E5D"/>
    <w:rsid w:val="58A3441E"/>
    <w:rsid w:val="58D546BF"/>
    <w:rsid w:val="58EB536D"/>
    <w:rsid w:val="58F42084"/>
    <w:rsid w:val="58FD3081"/>
    <w:rsid w:val="59041CF7"/>
    <w:rsid w:val="590D3BBB"/>
    <w:rsid w:val="59275FDE"/>
    <w:rsid w:val="59303DB0"/>
    <w:rsid w:val="593432EB"/>
    <w:rsid w:val="59435580"/>
    <w:rsid w:val="59435C6F"/>
    <w:rsid w:val="595C6A1A"/>
    <w:rsid w:val="596820EA"/>
    <w:rsid w:val="596E23AF"/>
    <w:rsid w:val="59882FBB"/>
    <w:rsid w:val="598C66AA"/>
    <w:rsid w:val="59982ABA"/>
    <w:rsid w:val="599E1E84"/>
    <w:rsid w:val="59AA43DA"/>
    <w:rsid w:val="59B348C1"/>
    <w:rsid w:val="59B71A84"/>
    <w:rsid w:val="59DA32C4"/>
    <w:rsid w:val="59E72334"/>
    <w:rsid w:val="59FA4200"/>
    <w:rsid w:val="59FE56A9"/>
    <w:rsid w:val="5A030EA9"/>
    <w:rsid w:val="5A0551B3"/>
    <w:rsid w:val="5A060B62"/>
    <w:rsid w:val="5A0B160D"/>
    <w:rsid w:val="5A10290D"/>
    <w:rsid w:val="5A252D7A"/>
    <w:rsid w:val="5A313B96"/>
    <w:rsid w:val="5A3444F7"/>
    <w:rsid w:val="5A350FED"/>
    <w:rsid w:val="5A3E4763"/>
    <w:rsid w:val="5A436A2D"/>
    <w:rsid w:val="5A4E0320"/>
    <w:rsid w:val="5A4E087F"/>
    <w:rsid w:val="5A58361E"/>
    <w:rsid w:val="5A7477C9"/>
    <w:rsid w:val="5A832D2F"/>
    <w:rsid w:val="5A9231FE"/>
    <w:rsid w:val="5AA17838"/>
    <w:rsid w:val="5AB5690A"/>
    <w:rsid w:val="5AC70429"/>
    <w:rsid w:val="5ADC31C2"/>
    <w:rsid w:val="5ADF2D00"/>
    <w:rsid w:val="5ADF5216"/>
    <w:rsid w:val="5AE13EE6"/>
    <w:rsid w:val="5B020AB9"/>
    <w:rsid w:val="5B030FA5"/>
    <w:rsid w:val="5B0A2AEB"/>
    <w:rsid w:val="5B161DC4"/>
    <w:rsid w:val="5B187F8D"/>
    <w:rsid w:val="5B2C0621"/>
    <w:rsid w:val="5B3D621A"/>
    <w:rsid w:val="5B410820"/>
    <w:rsid w:val="5B440719"/>
    <w:rsid w:val="5B5A5B18"/>
    <w:rsid w:val="5B77749C"/>
    <w:rsid w:val="5B854BCF"/>
    <w:rsid w:val="5B893B8C"/>
    <w:rsid w:val="5B8E2667"/>
    <w:rsid w:val="5B8F47E5"/>
    <w:rsid w:val="5BAA20BD"/>
    <w:rsid w:val="5BB10DC9"/>
    <w:rsid w:val="5BB67402"/>
    <w:rsid w:val="5BCA49A0"/>
    <w:rsid w:val="5BCF4526"/>
    <w:rsid w:val="5BF103DE"/>
    <w:rsid w:val="5BF554E1"/>
    <w:rsid w:val="5BFE5E0F"/>
    <w:rsid w:val="5C3E6400"/>
    <w:rsid w:val="5C430C29"/>
    <w:rsid w:val="5C4B4C22"/>
    <w:rsid w:val="5C4C26D6"/>
    <w:rsid w:val="5C4C5009"/>
    <w:rsid w:val="5C55785D"/>
    <w:rsid w:val="5C65410F"/>
    <w:rsid w:val="5C6739B4"/>
    <w:rsid w:val="5C71098D"/>
    <w:rsid w:val="5C731D01"/>
    <w:rsid w:val="5C753DAB"/>
    <w:rsid w:val="5C841137"/>
    <w:rsid w:val="5C862B22"/>
    <w:rsid w:val="5C8807F3"/>
    <w:rsid w:val="5C8B259C"/>
    <w:rsid w:val="5C8D14CB"/>
    <w:rsid w:val="5C9D100D"/>
    <w:rsid w:val="5CA073B0"/>
    <w:rsid w:val="5CA17CEF"/>
    <w:rsid w:val="5CB229AA"/>
    <w:rsid w:val="5CCD2DDB"/>
    <w:rsid w:val="5CD502AB"/>
    <w:rsid w:val="5CDA6A30"/>
    <w:rsid w:val="5CDC6508"/>
    <w:rsid w:val="5CE10994"/>
    <w:rsid w:val="5CEF5231"/>
    <w:rsid w:val="5CF40FE1"/>
    <w:rsid w:val="5CFC041E"/>
    <w:rsid w:val="5D007BCE"/>
    <w:rsid w:val="5D037BCE"/>
    <w:rsid w:val="5D0D06BB"/>
    <w:rsid w:val="5D1D021A"/>
    <w:rsid w:val="5D2B2E5F"/>
    <w:rsid w:val="5D2B2FAE"/>
    <w:rsid w:val="5D442E5E"/>
    <w:rsid w:val="5D4643ED"/>
    <w:rsid w:val="5D4B74C3"/>
    <w:rsid w:val="5D7F5001"/>
    <w:rsid w:val="5D812AEB"/>
    <w:rsid w:val="5D823F72"/>
    <w:rsid w:val="5D86286D"/>
    <w:rsid w:val="5D901561"/>
    <w:rsid w:val="5D917A0B"/>
    <w:rsid w:val="5D9436AE"/>
    <w:rsid w:val="5D9F5576"/>
    <w:rsid w:val="5DA10BF8"/>
    <w:rsid w:val="5DB2073C"/>
    <w:rsid w:val="5DD8675E"/>
    <w:rsid w:val="5DDB3A2B"/>
    <w:rsid w:val="5DDF3B65"/>
    <w:rsid w:val="5DED6745"/>
    <w:rsid w:val="5DF62DFD"/>
    <w:rsid w:val="5DF748C4"/>
    <w:rsid w:val="5DFD33CA"/>
    <w:rsid w:val="5E0E54D8"/>
    <w:rsid w:val="5E251AA9"/>
    <w:rsid w:val="5E2D6537"/>
    <w:rsid w:val="5E335A2B"/>
    <w:rsid w:val="5E390CD8"/>
    <w:rsid w:val="5E3F7894"/>
    <w:rsid w:val="5E4F14E0"/>
    <w:rsid w:val="5E5A6652"/>
    <w:rsid w:val="5E6B046D"/>
    <w:rsid w:val="5E7A4609"/>
    <w:rsid w:val="5E7F7D1C"/>
    <w:rsid w:val="5E8F52CA"/>
    <w:rsid w:val="5EA51763"/>
    <w:rsid w:val="5EBA0F8E"/>
    <w:rsid w:val="5EC41AA0"/>
    <w:rsid w:val="5EC64CBE"/>
    <w:rsid w:val="5ECC4F60"/>
    <w:rsid w:val="5ED247CF"/>
    <w:rsid w:val="5EF77BB1"/>
    <w:rsid w:val="5EFA28F2"/>
    <w:rsid w:val="5EFA548B"/>
    <w:rsid w:val="5EFA771D"/>
    <w:rsid w:val="5F145340"/>
    <w:rsid w:val="5F2C0931"/>
    <w:rsid w:val="5F65716A"/>
    <w:rsid w:val="5F713B82"/>
    <w:rsid w:val="5F74775F"/>
    <w:rsid w:val="5F7A0F29"/>
    <w:rsid w:val="5F8F74AA"/>
    <w:rsid w:val="5F9043BD"/>
    <w:rsid w:val="5FB44C5C"/>
    <w:rsid w:val="5FD41B4D"/>
    <w:rsid w:val="5FD97C8D"/>
    <w:rsid w:val="5FDA6D2F"/>
    <w:rsid w:val="5FE51352"/>
    <w:rsid w:val="5FF24D49"/>
    <w:rsid w:val="60175B5A"/>
    <w:rsid w:val="604201FB"/>
    <w:rsid w:val="60447E06"/>
    <w:rsid w:val="605924CC"/>
    <w:rsid w:val="60637695"/>
    <w:rsid w:val="60650356"/>
    <w:rsid w:val="60650CBA"/>
    <w:rsid w:val="608521E9"/>
    <w:rsid w:val="608F1051"/>
    <w:rsid w:val="60992CAD"/>
    <w:rsid w:val="609D75AF"/>
    <w:rsid w:val="60A87D9D"/>
    <w:rsid w:val="60AE3164"/>
    <w:rsid w:val="60EC6A1A"/>
    <w:rsid w:val="60EE6A0D"/>
    <w:rsid w:val="61057052"/>
    <w:rsid w:val="610A533C"/>
    <w:rsid w:val="610F0B89"/>
    <w:rsid w:val="611565D4"/>
    <w:rsid w:val="6132295E"/>
    <w:rsid w:val="61377DF9"/>
    <w:rsid w:val="613E7625"/>
    <w:rsid w:val="614E014D"/>
    <w:rsid w:val="614E0C9F"/>
    <w:rsid w:val="6161773C"/>
    <w:rsid w:val="6169465A"/>
    <w:rsid w:val="61714FAF"/>
    <w:rsid w:val="61941B7F"/>
    <w:rsid w:val="619959F9"/>
    <w:rsid w:val="619D10D3"/>
    <w:rsid w:val="61AD7D2F"/>
    <w:rsid w:val="61BA646B"/>
    <w:rsid w:val="61CF0B5C"/>
    <w:rsid w:val="61D67819"/>
    <w:rsid w:val="61DD7427"/>
    <w:rsid w:val="61E7343F"/>
    <w:rsid w:val="62001A0A"/>
    <w:rsid w:val="62114C4B"/>
    <w:rsid w:val="62255EA3"/>
    <w:rsid w:val="622D3273"/>
    <w:rsid w:val="622F4DAF"/>
    <w:rsid w:val="623120AD"/>
    <w:rsid w:val="623A1223"/>
    <w:rsid w:val="623F12C0"/>
    <w:rsid w:val="624870F5"/>
    <w:rsid w:val="626207F2"/>
    <w:rsid w:val="62664366"/>
    <w:rsid w:val="626A4582"/>
    <w:rsid w:val="62861E18"/>
    <w:rsid w:val="62883447"/>
    <w:rsid w:val="62932444"/>
    <w:rsid w:val="62B967EB"/>
    <w:rsid w:val="6300042D"/>
    <w:rsid w:val="63045066"/>
    <w:rsid w:val="6306452B"/>
    <w:rsid w:val="630A1AD1"/>
    <w:rsid w:val="630F6144"/>
    <w:rsid w:val="63170D19"/>
    <w:rsid w:val="631C3C50"/>
    <w:rsid w:val="633918CB"/>
    <w:rsid w:val="63454A73"/>
    <w:rsid w:val="6351180B"/>
    <w:rsid w:val="63693B8C"/>
    <w:rsid w:val="637349EC"/>
    <w:rsid w:val="637E48A2"/>
    <w:rsid w:val="6383389F"/>
    <w:rsid w:val="639E2124"/>
    <w:rsid w:val="63A57FA9"/>
    <w:rsid w:val="63B31DC7"/>
    <w:rsid w:val="63C25AF9"/>
    <w:rsid w:val="63CF0759"/>
    <w:rsid w:val="63D26520"/>
    <w:rsid w:val="63D74190"/>
    <w:rsid w:val="63D85246"/>
    <w:rsid w:val="63DA2F5C"/>
    <w:rsid w:val="63E7059E"/>
    <w:rsid w:val="63EC2255"/>
    <w:rsid w:val="640645D4"/>
    <w:rsid w:val="64154FF5"/>
    <w:rsid w:val="642B3519"/>
    <w:rsid w:val="64314219"/>
    <w:rsid w:val="64351345"/>
    <w:rsid w:val="643E7677"/>
    <w:rsid w:val="64460E75"/>
    <w:rsid w:val="644A7AB6"/>
    <w:rsid w:val="64550743"/>
    <w:rsid w:val="645E7926"/>
    <w:rsid w:val="64C05E07"/>
    <w:rsid w:val="64C4329A"/>
    <w:rsid w:val="64CD5265"/>
    <w:rsid w:val="64E93762"/>
    <w:rsid w:val="64F270AC"/>
    <w:rsid w:val="64FF5EBE"/>
    <w:rsid w:val="65014171"/>
    <w:rsid w:val="65173D26"/>
    <w:rsid w:val="65260E55"/>
    <w:rsid w:val="65282F9F"/>
    <w:rsid w:val="653062AF"/>
    <w:rsid w:val="65317A4F"/>
    <w:rsid w:val="653E3E3E"/>
    <w:rsid w:val="655C606A"/>
    <w:rsid w:val="65872249"/>
    <w:rsid w:val="658837F1"/>
    <w:rsid w:val="65AB7A45"/>
    <w:rsid w:val="65AD0792"/>
    <w:rsid w:val="65AE6642"/>
    <w:rsid w:val="65C65E5F"/>
    <w:rsid w:val="65C97010"/>
    <w:rsid w:val="65CF7598"/>
    <w:rsid w:val="65F1468D"/>
    <w:rsid w:val="65F43CF8"/>
    <w:rsid w:val="65F73516"/>
    <w:rsid w:val="66083090"/>
    <w:rsid w:val="660F30F2"/>
    <w:rsid w:val="66150462"/>
    <w:rsid w:val="6620013A"/>
    <w:rsid w:val="6625578B"/>
    <w:rsid w:val="663327BD"/>
    <w:rsid w:val="663834F7"/>
    <w:rsid w:val="664A4CFD"/>
    <w:rsid w:val="665765AF"/>
    <w:rsid w:val="665C2F4C"/>
    <w:rsid w:val="6666789E"/>
    <w:rsid w:val="666845A2"/>
    <w:rsid w:val="66745A6E"/>
    <w:rsid w:val="66785671"/>
    <w:rsid w:val="66897717"/>
    <w:rsid w:val="669F7F7B"/>
    <w:rsid w:val="66AE605A"/>
    <w:rsid w:val="66B10E5F"/>
    <w:rsid w:val="66B154F8"/>
    <w:rsid w:val="66B23855"/>
    <w:rsid w:val="66B34124"/>
    <w:rsid w:val="66C5326B"/>
    <w:rsid w:val="66D52268"/>
    <w:rsid w:val="66D61119"/>
    <w:rsid w:val="66E80077"/>
    <w:rsid w:val="66F946F6"/>
    <w:rsid w:val="66FC323F"/>
    <w:rsid w:val="66FE537E"/>
    <w:rsid w:val="67083EC9"/>
    <w:rsid w:val="67112C45"/>
    <w:rsid w:val="671409E5"/>
    <w:rsid w:val="67211342"/>
    <w:rsid w:val="672A3F5C"/>
    <w:rsid w:val="673D78EF"/>
    <w:rsid w:val="674E271F"/>
    <w:rsid w:val="67551872"/>
    <w:rsid w:val="676566B6"/>
    <w:rsid w:val="676A7AF0"/>
    <w:rsid w:val="676F62E2"/>
    <w:rsid w:val="67750862"/>
    <w:rsid w:val="67762CFD"/>
    <w:rsid w:val="67851A2C"/>
    <w:rsid w:val="679E712D"/>
    <w:rsid w:val="67AD0F16"/>
    <w:rsid w:val="67AF7EF7"/>
    <w:rsid w:val="67BF60D0"/>
    <w:rsid w:val="67C04C40"/>
    <w:rsid w:val="67DE621C"/>
    <w:rsid w:val="67E45EB9"/>
    <w:rsid w:val="67E740F6"/>
    <w:rsid w:val="67FE35A2"/>
    <w:rsid w:val="67FF1907"/>
    <w:rsid w:val="680E3FB5"/>
    <w:rsid w:val="681C4516"/>
    <w:rsid w:val="681E1E1B"/>
    <w:rsid w:val="6832560D"/>
    <w:rsid w:val="68334D1D"/>
    <w:rsid w:val="68362CD3"/>
    <w:rsid w:val="683A55EE"/>
    <w:rsid w:val="683F6CA0"/>
    <w:rsid w:val="685921BE"/>
    <w:rsid w:val="685B6E51"/>
    <w:rsid w:val="685F76DC"/>
    <w:rsid w:val="68622805"/>
    <w:rsid w:val="686C569D"/>
    <w:rsid w:val="68752D44"/>
    <w:rsid w:val="688E3192"/>
    <w:rsid w:val="68910A20"/>
    <w:rsid w:val="68915BFD"/>
    <w:rsid w:val="689327CA"/>
    <w:rsid w:val="689C63B5"/>
    <w:rsid w:val="68A6452B"/>
    <w:rsid w:val="68BA7698"/>
    <w:rsid w:val="68BE4441"/>
    <w:rsid w:val="68C301C4"/>
    <w:rsid w:val="68C33C7E"/>
    <w:rsid w:val="68CB0E27"/>
    <w:rsid w:val="68EE2FD8"/>
    <w:rsid w:val="68EF5CAF"/>
    <w:rsid w:val="68FA093A"/>
    <w:rsid w:val="68FC2E17"/>
    <w:rsid w:val="69063286"/>
    <w:rsid w:val="690B3F3B"/>
    <w:rsid w:val="690F036D"/>
    <w:rsid w:val="691C54BF"/>
    <w:rsid w:val="6949592E"/>
    <w:rsid w:val="69556756"/>
    <w:rsid w:val="69786C87"/>
    <w:rsid w:val="699B1AD7"/>
    <w:rsid w:val="69A41DA4"/>
    <w:rsid w:val="69AE2C22"/>
    <w:rsid w:val="69B740C0"/>
    <w:rsid w:val="69BB6607"/>
    <w:rsid w:val="69BF098B"/>
    <w:rsid w:val="69C05D8A"/>
    <w:rsid w:val="69D44192"/>
    <w:rsid w:val="69DB5072"/>
    <w:rsid w:val="69E15407"/>
    <w:rsid w:val="69E561C8"/>
    <w:rsid w:val="69E63527"/>
    <w:rsid w:val="69E67A6B"/>
    <w:rsid w:val="69EA1A31"/>
    <w:rsid w:val="69FE1C9C"/>
    <w:rsid w:val="6A1244A0"/>
    <w:rsid w:val="6A1F09E3"/>
    <w:rsid w:val="6A244992"/>
    <w:rsid w:val="6A270143"/>
    <w:rsid w:val="6A4D3552"/>
    <w:rsid w:val="6A5E5E8D"/>
    <w:rsid w:val="6A737637"/>
    <w:rsid w:val="6A7E2C0A"/>
    <w:rsid w:val="6A875730"/>
    <w:rsid w:val="6A8C1057"/>
    <w:rsid w:val="6A9D3B1B"/>
    <w:rsid w:val="6AA438F2"/>
    <w:rsid w:val="6ACB737B"/>
    <w:rsid w:val="6ACE598C"/>
    <w:rsid w:val="6AD917BC"/>
    <w:rsid w:val="6ADD4757"/>
    <w:rsid w:val="6AF04B38"/>
    <w:rsid w:val="6AF9430C"/>
    <w:rsid w:val="6AFD136D"/>
    <w:rsid w:val="6AFD756F"/>
    <w:rsid w:val="6B0313BE"/>
    <w:rsid w:val="6B1747F7"/>
    <w:rsid w:val="6B21299F"/>
    <w:rsid w:val="6B254E3D"/>
    <w:rsid w:val="6B4561B9"/>
    <w:rsid w:val="6B4B3C55"/>
    <w:rsid w:val="6B574BF2"/>
    <w:rsid w:val="6B5B3A53"/>
    <w:rsid w:val="6B724E0D"/>
    <w:rsid w:val="6BBA4DAC"/>
    <w:rsid w:val="6BCF03EB"/>
    <w:rsid w:val="6BD51360"/>
    <w:rsid w:val="6BD60A9C"/>
    <w:rsid w:val="6BDD5DB5"/>
    <w:rsid w:val="6BE62A19"/>
    <w:rsid w:val="6BE77183"/>
    <w:rsid w:val="6BEA7A01"/>
    <w:rsid w:val="6BF94DF1"/>
    <w:rsid w:val="6C0D6B5B"/>
    <w:rsid w:val="6C1A7B6C"/>
    <w:rsid w:val="6C276CBC"/>
    <w:rsid w:val="6C495839"/>
    <w:rsid w:val="6C4E48D0"/>
    <w:rsid w:val="6C573B80"/>
    <w:rsid w:val="6C665990"/>
    <w:rsid w:val="6C6D0151"/>
    <w:rsid w:val="6C6E41E5"/>
    <w:rsid w:val="6C745D83"/>
    <w:rsid w:val="6C877558"/>
    <w:rsid w:val="6C9D1E7B"/>
    <w:rsid w:val="6CB26F15"/>
    <w:rsid w:val="6CB74B09"/>
    <w:rsid w:val="6CC9132D"/>
    <w:rsid w:val="6CD429A0"/>
    <w:rsid w:val="6CEE4B95"/>
    <w:rsid w:val="6CFE7615"/>
    <w:rsid w:val="6D08295A"/>
    <w:rsid w:val="6D0A6AB5"/>
    <w:rsid w:val="6D1A2ADB"/>
    <w:rsid w:val="6D226B6D"/>
    <w:rsid w:val="6D2835C6"/>
    <w:rsid w:val="6D364BDA"/>
    <w:rsid w:val="6D3654D8"/>
    <w:rsid w:val="6D43106D"/>
    <w:rsid w:val="6D440C1C"/>
    <w:rsid w:val="6D527CEA"/>
    <w:rsid w:val="6D55044A"/>
    <w:rsid w:val="6D603E18"/>
    <w:rsid w:val="6D647E98"/>
    <w:rsid w:val="6D726375"/>
    <w:rsid w:val="6D7B064A"/>
    <w:rsid w:val="6D7C00E9"/>
    <w:rsid w:val="6D824D42"/>
    <w:rsid w:val="6D8B6992"/>
    <w:rsid w:val="6D9D7AD2"/>
    <w:rsid w:val="6DAC7A76"/>
    <w:rsid w:val="6DBB42E5"/>
    <w:rsid w:val="6DCF28F8"/>
    <w:rsid w:val="6DD32430"/>
    <w:rsid w:val="6DDE3F68"/>
    <w:rsid w:val="6DE11250"/>
    <w:rsid w:val="6DEE0305"/>
    <w:rsid w:val="6DFB36A6"/>
    <w:rsid w:val="6E043BAE"/>
    <w:rsid w:val="6E2D5E44"/>
    <w:rsid w:val="6E363493"/>
    <w:rsid w:val="6E4F43D4"/>
    <w:rsid w:val="6E692D7B"/>
    <w:rsid w:val="6E7A7577"/>
    <w:rsid w:val="6E8C5638"/>
    <w:rsid w:val="6E9B6542"/>
    <w:rsid w:val="6EA430DB"/>
    <w:rsid w:val="6EA829E2"/>
    <w:rsid w:val="6EAD35EF"/>
    <w:rsid w:val="6EBF651F"/>
    <w:rsid w:val="6ED402F5"/>
    <w:rsid w:val="6EDB66F9"/>
    <w:rsid w:val="6EFD1986"/>
    <w:rsid w:val="6F137172"/>
    <w:rsid w:val="6F176B41"/>
    <w:rsid w:val="6F1C1501"/>
    <w:rsid w:val="6F256125"/>
    <w:rsid w:val="6F3C23D7"/>
    <w:rsid w:val="6F4F2D22"/>
    <w:rsid w:val="6F622CD8"/>
    <w:rsid w:val="6F833CDD"/>
    <w:rsid w:val="6F981D7D"/>
    <w:rsid w:val="6FAA3E8C"/>
    <w:rsid w:val="6FAF45B8"/>
    <w:rsid w:val="6FB0707A"/>
    <w:rsid w:val="6FBE73CB"/>
    <w:rsid w:val="6FCE205B"/>
    <w:rsid w:val="6FDB0BA6"/>
    <w:rsid w:val="6FFE5306"/>
    <w:rsid w:val="70026A42"/>
    <w:rsid w:val="700B1878"/>
    <w:rsid w:val="702069E5"/>
    <w:rsid w:val="704936A5"/>
    <w:rsid w:val="70533D2C"/>
    <w:rsid w:val="706238FB"/>
    <w:rsid w:val="707C0B5F"/>
    <w:rsid w:val="709D5DA2"/>
    <w:rsid w:val="70A002BE"/>
    <w:rsid w:val="70A93885"/>
    <w:rsid w:val="70AC59E2"/>
    <w:rsid w:val="70BC18E3"/>
    <w:rsid w:val="70C417AD"/>
    <w:rsid w:val="70EA09B6"/>
    <w:rsid w:val="70F21BCE"/>
    <w:rsid w:val="70FB1D3C"/>
    <w:rsid w:val="710953A5"/>
    <w:rsid w:val="714C7CD4"/>
    <w:rsid w:val="71535E5D"/>
    <w:rsid w:val="71554039"/>
    <w:rsid w:val="71582A60"/>
    <w:rsid w:val="715973AB"/>
    <w:rsid w:val="715C2272"/>
    <w:rsid w:val="715E3178"/>
    <w:rsid w:val="718252C0"/>
    <w:rsid w:val="7185070D"/>
    <w:rsid w:val="719D7FAE"/>
    <w:rsid w:val="71A3254D"/>
    <w:rsid w:val="71BD3447"/>
    <w:rsid w:val="71DA046B"/>
    <w:rsid w:val="71DA68ED"/>
    <w:rsid w:val="71E01036"/>
    <w:rsid w:val="71F60090"/>
    <w:rsid w:val="72025767"/>
    <w:rsid w:val="72096764"/>
    <w:rsid w:val="720F34AF"/>
    <w:rsid w:val="72131035"/>
    <w:rsid w:val="72131F3E"/>
    <w:rsid w:val="72352932"/>
    <w:rsid w:val="7243360D"/>
    <w:rsid w:val="724F6022"/>
    <w:rsid w:val="72563BDA"/>
    <w:rsid w:val="72650EAE"/>
    <w:rsid w:val="726B1B67"/>
    <w:rsid w:val="727E03E6"/>
    <w:rsid w:val="728269DD"/>
    <w:rsid w:val="728E5A5B"/>
    <w:rsid w:val="72A72230"/>
    <w:rsid w:val="72BD1CC8"/>
    <w:rsid w:val="72E0584C"/>
    <w:rsid w:val="72E86A4D"/>
    <w:rsid w:val="730527AD"/>
    <w:rsid w:val="731C68FD"/>
    <w:rsid w:val="732405ED"/>
    <w:rsid w:val="73264970"/>
    <w:rsid w:val="732D6E8F"/>
    <w:rsid w:val="73435EBA"/>
    <w:rsid w:val="735B38B7"/>
    <w:rsid w:val="736936B4"/>
    <w:rsid w:val="737F0E46"/>
    <w:rsid w:val="73804EAA"/>
    <w:rsid w:val="73865B7B"/>
    <w:rsid w:val="738A400F"/>
    <w:rsid w:val="7390524E"/>
    <w:rsid w:val="7395151F"/>
    <w:rsid w:val="73A7677B"/>
    <w:rsid w:val="73AC3B8B"/>
    <w:rsid w:val="73CF7F5C"/>
    <w:rsid w:val="73D74B24"/>
    <w:rsid w:val="73FC2301"/>
    <w:rsid w:val="73FE6F2D"/>
    <w:rsid w:val="74031F4E"/>
    <w:rsid w:val="740D64BD"/>
    <w:rsid w:val="7422340E"/>
    <w:rsid w:val="743704F7"/>
    <w:rsid w:val="74682614"/>
    <w:rsid w:val="7477054A"/>
    <w:rsid w:val="749E59FA"/>
    <w:rsid w:val="74AB6B28"/>
    <w:rsid w:val="74B95EA1"/>
    <w:rsid w:val="74BD4995"/>
    <w:rsid w:val="74D73DA0"/>
    <w:rsid w:val="74DD616A"/>
    <w:rsid w:val="74E24EE3"/>
    <w:rsid w:val="74EB791D"/>
    <w:rsid w:val="74F25CA1"/>
    <w:rsid w:val="74F46C48"/>
    <w:rsid w:val="7502333A"/>
    <w:rsid w:val="75075E3C"/>
    <w:rsid w:val="750770AC"/>
    <w:rsid w:val="75095576"/>
    <w:rsid w:val="750C289B"/>
    <w:rsid w:val="750D3513"/>
    <w:rsid w:val="750D7112"/>
    <w:rsid w:val="75333802"/>
    <w:rsid w:val="753B535B"/>
    <w:rsid w:val="754C18E0"/>
    <w:rsid w:val="75513D3F"/>
    <w:rsid w:val="7577036C"/>
    <w:rsid w:val="757B3C33"/>
    <w:rsid w:val="758870AA"/>
    <w:rsid w:val="7595799F"/>
    <w:rsid w:val="75967C21"/>
    <w:rsid w:val="7598535B"/>
    <w:rsid w:val="759D3485"/>
    <w:rsid w:val="75AB3BC4"/>
    <w:rsid w:val="75AB3C93"/>
    <w:rsid w:val="75B36220"/>
    <w:rsid w:val="75B528EB"/>
    <w:rsid w:val="75BE5121"/>
    <w:rsid w:val="75CC188F"/>
    <w:rsid w:val="75CD18B9"/>
    <w:rsid w:val="75D17253"/>
    <w:rsid w:val="75D35D5A"/>
    <w:rsid w:val="75D66F71"/>
    <w:rsid w:val="75F57247"/>
    <w:rsid w:val="76044106"/>
    <w:rsid w:val="7613670D"/>
    <w:rsid w:val="762719BA"/>
    <w:rsid w:val="76300779"/>
    <w:rsid w:val="76327719"/>
    <w:rsid w:val="76414B86"/>
    <w:rsid w:val="764364A0"/>
    <w:rsid w:val="764A48D8"/>
    <w:rsid w:val="76674710"/>
    <w:rsid w:val="76967C6D"/>
    <w:rsid w:val="769F23DD"/>
    <w:rsid w:val="76B0694B"/>
    <w:rsid w:val="76D914DE"/>
    <w:rsid w:val="76E15536"/>
    <w:rsid w:val="76E557A9"/>
    <w:rsid w:val="76F023F0"/>
    <w:rsid w:val="76F82453"/>
    <w:rsid w:val="76FF686B"/>
    <w:rsid w:val="771972AB"/>
    <w:rsid w:val="772B07B3"/>
    <w:rsid w:val="7733141D"/>
    <w:rsid w:val="774A18FC"/>
    <w:rsid w:val="775F730A"/>
    <w:rsid w:val="77641C47"/>
    <w:rsid w:val="7775790C"/>
    <w:rsid w:val="77A634F7"/>
    <w:rsid w:val="77AC32DE"/>
    <w:rsid w:val="77D6273C"/>
    <w:rsid w:val="77D81275"/>
    <w:rsid w:val="77D86BC7"/>
    <w:rsid w:val="77F3046A"/>
    <w:rsid w:val="77F804DE"/>
    <w:rsid w:val="77FF76C0"/>
    <w:rsid w:val="7814742F"/>
    <w:rsid w:val="781C72F0"/>
    <w:rsid w:val="78280044"/>
    <w:rsid w:val="782D26CB"/>
    <w:rsid w:val="78446E57"/>
    <w:rsid w:val="784C7214"/>
    <w:rsid w:val="784F7E10"/>
    <w:rsid w:val="78560CF8"/>
    <w:rsid w:val="787B63E6"/>
    <w:rsid w:val="78947B9A"/>
    <w:rsid w:val="789708C5"/>
    <w:rsid w:val="78A85732"/>
    <w:rsid w:val="78B578A6"/>
    <w:rsid w:val="78CF018B"/>
    <w:rsid w:val="78D66CDE"/>
    <w:rsid w:val="78DB5EC1"/>
    <w:rsid w:val="78F07D11"/>
    <w:rsid w:val="78FD6B22"/>
    <w:rsid w:val="79156D7C"/>
    <w:rsid w:val="79207C2E"/>
    <w:rsid w:val="79233D38"/>
    <w:rsid w:val="792527DD"/>
    <w:rsid w:val="79271DAB"/>
    <w:rsid w:val="793622EC"/>
    <w:rsid w:val="793C6E97"/>
    <w:rsid w:val="79475534"/>
    <w:rsid w:val="79517126"/>
    <w:rsid w:val="795D2751"/>
    <w:rsid w:val="796A1D3A"/>
    <w:rsid w:val="798179FC"/>
    <w:rsid w:val="79B17CA4"/>
    <w:rsid w:val="79BD05C8"/>
    <w:rsid w:val="79CA7F8B"/>
    <w:rsid w:val="79CF2F1F"/>
    <w:rsid w:val="79EA3444"/>
    <w:rsid w:val="79F61532"/>
    <w:rsid w:val="79F9570D"/>
    <w:rsid w:val="79FE48A3"/>
    <w:rsid w:val="79FE6472"/>
    <w:rsid w:val="7A1E27E6"/>
    <w:rsid w:val="7A2C189E"/>
    <w:rsid w:val="7A625EFB"/>
    <w:rsid w:val="7A7938D7"/>
    <w:rsid w:val="7A8C267C"/>
    <w:rsid w:val="7A920C25"/>
    <w:rsid w:val="7A924BF5"/>
    <w:rsid w:val="7A9B53BA"/>
    <w:rsid w:val="7AA506CA"/>
    <w:rsid w:val="7ACF4A1E"/>
    <w:rsid w:val="7AE364A4"/>
    <w:rsid w:val="7AFB16E0"/>
    <w:rsid w:val="7B082329"/>
    <w:rsid w:val="7B1529BF"/>
    <w:rsid w:val="7B234B1E"/>
    <w:rsid w:val="7B3048BE"/>
    <w:rsid w:val="7B476A33"/>
    <w:rsid w:val="7B4F09F0"/>
    <w:rsid w:val="7B5910DA"/>
    <w:rsid w:val="7B5C70B9"/>
    <w:rsid w:val="7B6C6499"/>
    <w:rsid w:val="7B72103E"/>
    <w:rsid w:val="7B8011BD"/>
    <w:rsid w:val="7B9146F7"/>
    <w:rsid w:val="7BA6761E"/>
    <w:rsid w:val="7BA951D4"/>
    <w:rsid w:val="7BB62AFE"/>
    <w:rsid w:val="7BC83801"/>
    <w:rsid w:val="7BE7181B"/>
    <w:rsid w:val="7BF16A2B"/>
    <w:rsid w:val="7BFE1C08"/>
    <w:rsid w:val="7C0A30FF"/>
    <w:rsid w:val="7C1F3ED7"/>
    <w:rsid w:val="7C286D9F"/>
    <w:rsid w:val="7C2B73A3"/>
    <w:rsid w:val="7C3A6597"/>
    <w:rsid w:val="7C4A14D9"/>
    <w:rsid w:val="7C5E096C"/>
    <w:rsid w:val="7C631169"/>
    <w:rsid w:val="7C646DDB"/>
    <w:rsid w:val="7C700DC1"/>
    <w:rsid w:val="7C766295"/>
    <w:rsid w:val="7C7F2881"/>
    <w:rsid w:val="7C871C58"/>
    <w:rsid w:val="7C8B0104"/>
    <w:rsid w:val="7C907F65"/>
    <w:rsid w:val="7C9B0875"/>
    <w:rsid w:val="7CA35EEB"/>
    <w:rsid w:val="7CAB2FF1"/>
    <w:rsid w:val="7CAB4087"/>
    <w:rsid w:val="7CAE036F"/>
    <w:rsid w:val="7CBB4118"/>
    <w:rsid w:val="7CBE03EA"/>
    <w:rsid w:val="7CC13AFA"/>
    <w:rsid w:val="7CC50044"/>
    <w:rsid w:val="7CC915A6"/>
    <w:rsid w:val="7CCB4BA1"/>
    <w:rsid w:val="7CCC3F43"/>
    <w:rsid w:val="7CD669EA"/>
    <w:rsid w:val="7CE51337"/>
    <w:rsid w:val="7CE66D10"/>
    <w:rsid w:val="7CF70E81"/>
    <w:rsid w:val="7D04267F"/>
    <w:rsid w:val="7D0532C6"/>
    <w:rsid w:val="7D0B4911"/>
    <w:rsid w:val="7D10394E"/>
    <w:rsid w:val="7D1D4FB8"/>
    <w:rsid w:val="7D2F6598"/>
    <w:rsid w:val="7D367541"/>
    <w:rsid w:val="7D3F1CBB"/>
    <w:rsid w:val="7D4243B9"/>
    <w:rsid w:val="7D4C0330"/>
    <w:rsid w:val="7D536330"/>
    <w:rsid w:val="7D720F73"/>
    <w:rsid w:val="7D762956"/>
    <w:rsid w:val="7D9D1471"/>
    <w:rsid w:val="7DCA6BD6"/>
    <w:rsid w:val="7DCD5C17"/>
    <w:rsid w:val="7DE42B56"/>
    <w:rsid w:val="7E12456A"/>
    <w:rsid w:val="7E164AD5"/>
    <w:rsid w:val="7E2B1F3E"/>
    <w:rsid w:val="7E4854C5"/>
    <w:rsid w:val="7E5072F5"/>
    <w:rsid w:val="7E6E261A"/>
    <w:rsid w:val="7E77114C"/>
    <w:rsid w:val="7E78213E"/>
    <w:rsid w:val="7E8A5B15"/>
    <w:rsid w:val="7EBB0FED"/>
    <w:rsid w:val="7EC44208"/>
    <w:rsid w:val="7ECB6EA8"/>
    <w:rsid w:val="7ED80D2F"/>
    <w:rsid w:val="7EDD0CA0"/>
    <w:rsid w:val="7EEC0AC6"/>
    <w:rsid w:val="7EEF71C5"/>
    <w:rsid w:val="7F09368D"/>
    <w:rsid w:val="7F167DAB"/>
    <w:rsid w:val="7F290D3F"/>
    <w:rsid w:val="7F334876"/>
    <w:rsid w:val="7F3F6D41"/>
    <w:rsid w:val="7F463720"/>
    <w:rsid w:val="7F482566"/>
    <w:rsid w:val="7F4D0F11"/>
    <w:rsid w:val="7F657ED6"/>
    <w:rsid w:val="7FA64A4B"/>
    <w:rsid w:val="7FAA1DAB"/>
    <w:rsid w:val="7FB921B7"/>
    <w:rsid w:val="7FC03674"/>
    <w:rsid w:val="7FCE08B7"/>
    <w:rsid w:val="7FEE1FA6"/>
    <w:rsid w:val="CFCF7FAC"/>
    <w:rsid w:val="FAB64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qFormat="1" w:uiPriority="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0" w:name="table of figures"/>
    <w:lsdException w:uiPriority="99" w:name="envelope address"/>
    <w:lsdException w:qFormat="1" w:uiPriority="0"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qFormat="1" w:uiPriority="0" w:name="endnote reference"/>
    <w:lsdException w:qFormat="1" w:uiPriority="0" w:name="endnote text"/>
    <w:lsdException w:uiPriority="99" w:name="table of authorities"/>
    <w:lsdException w:qFormat="1" w:uiPriority="0" w:semiHidden="0" w:name="macro"/>
    <w:lsdException w:qFormat="1" w:unhideWhenUsed="0" w:uiPriority="0" w:semiHidden="0" w:name="toa heading"/>
    <w:lsdException w:qFormat="1" w:uiPriority="99" w:name="List"/>
    <w:lsdException w:qFormat="1" w:uiPriority="0" w:name="List Bullet"/>
    <w:lsdException w:qFormat="1" w:uiPriority="0" w:name="List Number"/>
    <w:lsdException w:qFormat="1" w:uiPriority="0" w:semiHidden="0" w:name="List 2"/>
    <w:lsdException w:qFormat="1" w:unhideWhenUsed="0" w:uiPriority="0" w:semiHidden="0" w:name="List 3"/>
    <w:lsdException w:uiPriority="99" w:name="List 4"/>
    <w:lsdException w:uiPriority="99" w:name="List 5"/>
    <w:lsdException w:qFormat="1" w:uiPriority="0" w:name="List Bullet 2"/>
    <w:lsdException w:uiPriority="99" w:name="List Bullet 3"/>
    <w:lsdException w:uiPriority="99" w:name="List Bullet 4"/>
    <w:lsdException w:uiPriority="99" w:name="List Bullet 5"/>
    <w:lsdException w:qFormat="1" w:uiPriority="0" w:name="List Number 2"/>
    <w:lsdException w:uiPriority="99" w:name="List Number 3"/>
    <w:lsdException w:uiPriority="99" w:name="List Number 4"/>
    <w:lsdException w:uiPriority="99" w:name="List Number 5"/>
    <w:lsdException w:qFormat="1" w:unhideWhenUsed="0" w:uiPriority="99" w:semiHidden="0" w:name="Title"/>
    <w:lsdException w:qFormat="1" w:uiPriority="0" w:name="Closing"/>
    <w:lsdException w:qFormat="1" w:uiPriority="0" w:name="Signature"/>
    <w:lsdException w:qFormat="1" w:uiPriority="1" w:semiHidden="0"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0" w:name="Message Header"/>
    <w:lsdException w:qFormat="1" w:unhideWhenUsed="0" w:uiPriority="0" w:semiHidden="0" w:name="Subtitle"/>
    <w:lsdException w:qFormat="1" w:uiPriority="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iPriority="0" w:name="Note Heading"/>
    <w:lsdException w:qFormat="1" w:unhideWhenUsed="0" w:uiPriority="99" w:semiHidden="0" w:name="Body Text 2"/>
    <w:lsdException w:qFormat="1" w:uiPriority="0" w:name="Body Text 3"/>
    <w:lsdException w:qFormat="1" w:unhideWhenUsed="0" w:uiPriority="0" w:semiHidden="0" w:name="Body Text Indent 2"/>
    <w:lsdException w:qFormat="1" w:uiPriority="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iPriority="0" w:semiHidden="0" w:name="Plain Text"/>
    <w:lsdException w:qFormat="1" w:uiPriority="0" w:name="E-mail Signature"/>
    <w:lsdException w:qFormat="1" w:uiPriority="99" w:semiHidden="0" w:name="Normal (Web)"/>
    <w:lsdException w:uiPriority="99" w:name="HTML Acronym"/>
    <w:lsdException w:qFormat="1" w:uiPriority="0" w:name="HTML Address"/>
    <w:lsdException w:uiPriority="99" w:name="HTML Cite"/>
    <w:lsdException w:qFormat="1" w:uiPriority="0" w:name="HTML Code"/>
    <w:lsdException w:uiPriority="99" w:name="HTML Definition"/>
    <w:lsdException w:qFormat="1" w:uiPriority="0" w:name="HTML Keyboard"/>
    <w:lsdException w:qFormat="1" w:uiPriority="0" w:name="HTML Preformatted"/>
    <w:lsdException w:qFormat="1" w:uiPriority="0" w:name="HTML Sample"/>
    <w:lsdException w:qFormat="1" w:uiPriority="0" w:name="HTML Typewriter"/>
    <w:lsdException w:uiPriority="99" w:name="HTML Variable"/>
    <w:lsdException w:qFormat="1" w:uiPriority="99" w:name="Normal Table"/>
    <w:lsdException w:qFormat="1" w:uiPriority="99"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uiPriority="99" w:name="Table 3D effects 1"/>
    <w:lsdException w:uiPriority="99" w:name="Table 3D effects 2"/>
    <w:lsdException w:uiPriority="99"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99" w:semiHidden="0" w:name="Balloon Text"/>
    <w:lsdException w:qFormat="1" w:unhideWhenUsed="0" w:uiPriority="99" w:semiHidden="0" w:name="Table Grid"/>
    <w:lsdException w:qFormat="1"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highlight w:val="none"/>
      <w:lang w:val="en-US" w:eastAsia="zh-CN" w:bidi="ar-SA"/>
    </w:rPr>
  </w:style>
  <w:style w:type="paragraph" w:styleId="5">
    <w:name w:val="heading 1"/>
    <w:basedOn w:val="1"/>
    <w:next w:val="1"/>
    <w:link w:val="57"/>
    <w:qFormat/>
    <w:uiPriority w:val="9"/>
    <w:pPr>
      <w:keepNext/>
      <w:keepLines/>
      <w:pageBreakBefore/>
      <w:numPr>
        <w:ilvl w:val="0"/>
        <w:numId w:val="1"/>
      </w:numPr>
      <w:spacing w:line="360" w:lineRule="auto"/>
      <w:ind w:left="431" w:leftChars="0" w:hanging="431" w:firstLineChars="0"/>
      <w:jc w:val="center"/>
      <w:outlineLvl w:val="0"/>
    </w:pPr>
    <w:rPr>
      <w:rFonts w:ascii="宋体" w:hAnsi="宋体" w:eastAsia="宋体"/>
      <w:b/>
      <w:bCs/>
      <w:color w:val="000000" w:themeColor="text1"/>
      <w:kern w:val="44"/>
      <w:sz w:val="32"/>
      <w:szCs w:val="36"/>
      <w14:textFill>
        <w14:solidFill>
          <w14:schemeClr w14:val="tx1"/>
        </w14:solidFill>
      </w14:textFill>
    </w:rPr>
  </w:style>
  <w:style w:type="paragraph" w:styleId="6">
    <w:name w:val="heading 2"/>
    <w:basedOn w:val="7"/>
    <w:next w:val="1"/>
    <w:link w:val="56"/>
    <w:unhideWhenUsed/>
    <w:qFormat/>
    <w:uiPriority w:val="9"/>
    <w:pPr>
      <w:keepNext/>
      <w:keepLines/>
      <w:numPr>
        <w:ilvl w:val="1"/>
        <w:numId w:val="1"/>
      </w:numPr>
      <w:spacing w:line="360" w:lineRule="auto"/>
      <w:ind w:left="573" w:hanging="573" w:firstLineChars="0"/>
      <w:outlineLvl w:val="1"/>
    </w:pPr>
    <w:rPr>
      <w:rFonts w:ascii="宋体" w:hAnsi="宋体" w:eastAsia="宋体"/>
      <w:b/>
      <w:color w:val="000000" w:themeColor="text1"/>
      <w:sz w:val="30"/>
      <w14:textFill>
        <w14:solidFill>
          <w14:schemeClr w14:val="tx1"/>
        </w14:solidFill>
      </w14:textFill>
    </w:rPr>
  </w:style>
  <w:style w:type="paragraph" w:styleId="10">
    <w:name w:val="heading 3"/>
    <w:basedOn w:val="11"/>
    <w:next w:val="1"/>
    <w:link w:val="66"/>
    <w:unhideWhenUsed/>
    <w:qFormat/>
    <w:uiPriority w:val="9"/>
    <w:pPr>
      <w:keepNext/>
      <w:keepLines/>
      <w:numPr>
        <w:ilvl w:val="2"/>
        <w:numId w:val="1"/>
      </w:numPr>
      <w:spacing w:line="360" w:lineRule="auto"/>
      <w:ind w:left="0" w:firstLine="0" w:firstLineChars="0"/>
      <w:outlineLvl w:val="2"/>
    </w:pPr>
    <w:rPr>
      <w:rFonts w:eastAsia="宋体" w:asciiTheme="minorAscii" w:hAnsiTheme="minorAscii"/>
      <w:b/>
    </w:rPr>
  </w:style>
  <w:style w:type="paragraph" w:styleId="12">
    <w:name w:val="heading 4"/>
    <w:basedOn w:val="1"/>
    <w:next w:val="1"/>
    <w:link w:val="67"/>
    <w:unhideWhenUsed/>
    <w:qFormat/>
    <w:uiPriority w:val="0"/>
    <w:pPr>
      <w:keepNext/>
      <w:keepLines/>
      <w:numPr>
        <w:ilvl w:val="3"/>
        <w:numId w:val="1"/>
      </w:numPr>
      <w:spacing w:line="240" w:lineRule="auto"/>
      <w:ind w:left="862" w:hanging="862" w:firstLineChars="0"/>
      <w:outlineLvl w:val="3"/>
    </w:pPr>
    <w:rPr>
      <w:rFonts w:ascii="宋体" w:hAnsi="宋体" w:eastAsia="宋体"/>
      <w:b/>
      <w:bCs/>
      <w:color w:val="000000" w:themeColor="text1"/>
      <w:szCs w:val="36"/>
      <w14:textFill>
        <w14:solidFill>
          <w14:schemeClr w14:val="tx1"/>
        </w14:solidFill>
      </w14:textFill>
    </w:rPr>
  </w:style>
  <w:style w:type="paragraph" w:styleId="13">
    <w:name w:val="heading 5"/>
    <w:basedOn w:val="1"/>
    <w:next w:val="1"/>
    <w:link w:val="68"/>
    <w:unhideWhenUsed/>
    <w:qFormat/>
    <w:uiPriority w:val="9"/>
    <w:pPr>
      <w:keepNext/>
      <w:keepLines/>
      <w:numPr>
        <w:ilvl w:val="4"/>
        <w:numId w:val="1"/>
      </w:numPr>
      <w:spacing w:line="240" w:lineRule="auto"/>
      <w:ind w:left="1009" w:hanging="1009" w:firstLineChars="0"/>
      <w:outlineLvl w:val="4"/>
    </w:pPr>
    <w:rPr>
      <w:rFonts w:ascii="宋体" w:hAnsi="宋体" w:eastAsia="宋体"/>
      <w:b/>
      <w:bCs/>
      <w:color w:val="000000" w:themeColor="text1"/>
      <w:szCs w:val="36"/>
      <w14:textFill>
        <w14:solidFill>
          <w14:schemeClr w14:val="tx1"/>
        </w14:solidFill>
      </w14:textFill>
    </w:rPr>
  </w:style>
  <w:style w:type="paragraph" w:styleId="14">
    <w:name w:val="heading 6"/>
    <w:basedOn w:val="1"/>
    <w:next w:val="1"/>
    <w:link w:val="58"/>
    <w:unhideWhenUsed/>
    <w:qFormat/>
    <w:uiPriority w:val="9"/>
    <w:pPr>
      <w:keepNext/>
      <w:keepLines/>
      <w:numPr>
        <w:ilvl w:val="5"/>
        <w:numId w:val="1"/>
      </w:numPr>
      <w:spacing w:line="240" w:lineRule="auto"/>
      <w:ind w:left="1877" w:hanging="1877" w:hangingChars="779"/>
      <w:outlineLvl w:val="5"/>
    </w:pPr>
    <w:rPr>
      <w:rFonts w:ascii="宋体" w:hAnsi="宋体" w:eastAsia="宋体"/>
      <w:b/>
    </w:rPr>
  </w:style>
  <w:style w:type="paragraph" w:styleId="15">
    <w:name w:val="heading 7"/>
    <w:basedOn w:val="1"/>
    <w:next w:val="1"/>
    <w:link w:val="59"/>
    <w:unhideWhenUsed/>
    <w:qFormat/>
    <w:uiPriority w:val="9"/>
    <w:pPr>
      <w:keepNext/>
      <w:keepLines/>
      <w:numPr>
        <w:ilvl w:val="6"/>
        <w:numId w:val="1"/>
      </w:numPr>
      <w:spacing w:before="240" w:after="64" w:line="317" w:lineRule="auto"/>
      <w:ind w:hanging="1296" w:firstLineChars="0"/>
      <w:outlineLvl w:val="6"/>
    </w:pPr>
    <w:rPr>
      <w:b/>
    </w:rPr>
  </w:style>
  <w:style w:type="paragraph" w:styleId="16">
    <w:name w:val="heading 8"/>
    <w:basedOn w:val="1"/>
    <w:next w:val="1"/>
    <w:link w:val="69"/>
    <w:unhideWhenUsed/>
    <w:qFormat/>
    <w:uiPriority w:val="9"/>
    <w:pPr>
      <w:keepNext/>
      <w:keepLines/>
      <w:numPr>
        <w:ilvl w:val="7"/>
        <w:numId w:val="1"/>
      </w:numPr>
      <w:spacing w:before="240" w:after="64" w:line="317" w:lineRule="auto"/>
      <w:ind w:hanging="1440" w:firstLineChars="0"/>
      <w:outlineLvl w:val="7"/>
    </w:pPr>
    <w:rPr>
      <w:rFonts w:ascii="DejaVu Sans" w:hAnsi="DejaVu Sans" w:eastAsia="方正黑体_GBK"/>
    </w:rPr>
  </w:style>
  <w:style w:type="paragraph" w:styleId="17">
    <w:name w:val="heading 9"/>
    <w:basedOn w:val="1"/>
    <w:next w:val="1"/>
    <w:link w:val="70"/>
    <w:unhideWhenUsed/>
    <w:qFormat/>
    <w:uiPriority w:val="9"/>
    <w:pPr>
      <w:keepNext/>
      <w:keepLines/>
      <w:numPr>
        <w:ilvl w:val="8"/>
        <w:numId w:val="1"/>
      </w:numPr>
      <w:spacing w:before="240" w:after="64" w:line="317" w:lineRule="auto"/>
      <w:ind w:hanging="1583" w:firstLineChars="0"/>
      <w:outlineLvl w:val="8"/>
    </w:pPr>
    <w:rPr>
      <w:rFonts w:ascii="DejaVu Sans" w:hAnsi="DejaVu Sans" w:eastAsia="方正黑体_GBK"/>
      <w:sz w:val="21"/>
    </w:rPr>
  </w:style>
  <w:style w:type="character" w:default="1" w:styleId="49">
    <w:name w:val="Default Paragraph Font"/>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01"/>
    <w:unhideWhenUsed/>
    <w:qFormat/>
    <w:uiPriority w:val="99"/>
    <w:pPr>
      <w:spacing w:before="0" w:beforeAutospacing="0"/>
      <w:ind w:firstLine="420" w:firstLineChars="100"/>
    </w:pPr>
    <w:rPr>
      <w:rFonts w:ascii="宋体" w:hAnsi="宋体"/>
      <w:kern w:val="2"/>
      <w:szCs w:val="22"/>
    </w:rPr>
  </w:style>
  <w:style w:type="paragraph" w:styleId="3">
    <w:name w:val="Body Text"/>
    <w:basedOn w:val="1"/>
    <w:next w:val="1"/>
    <w:link w:val="72"/>
    <w:unhideWhenUsed/>
    <w:qFormat/>
    <w:uiPriority w:val="99"/>
    <w:pPr>
      <w:spacing w:before="100" w:beforeAutospacing="1" w:after="120"/>
    </w:pPr>
    <w:rPr>
      <w:rFonts w:ascii="Times New Roman" w:hAnsi="Times New Roman"/>
      <w:kern w:val="0"/>
    </w:rPr>
  </w:style>
  <w:style w:type="paragraph" w:styleId="4">
    <w:name w:val="macro"/>
    <w:basedOn w:val="1"/>
    <w:link w:val="71"/>
    <w:unhideWhenUsed/>
    <w:qFormat/>
    <w:uiPriority w:val="0"/>
    <w:pPr>
      <w:kinsoku w:val="0"/>
      <w:overflowPunct w:val="0"/>
      <w:autoSpaceDE w:val="0"/>
      <w:autoSpaceDN w:val="0"/>
      <w:snapToGrid w:val="0"/>
      <w:spacing w:line="240" w:lineRule="auto"/>
      <w:ind w:firstLine="0" w:firstLineChars="0"/>
      <w:jc w:val="left"/>
    </w:pPr>
    <w:rPr>
      <w:rFonts w:ascii="Courier New" w:hAnsi="Courier New" w:eastAsia="等线"/>
      <w:sz w:val="24"/>
      <w:szCs w:val="24"/>
    </w:rPr>
  </w:style>
  <w:style w:type="paragraph" w:customStyle="1" w:styleId="7">
    <w:name w:val="H2-HXDI"/>
    <w:basedOn w:val="8"/>
    <w:next w:val="9"/>
    <w:qFormat/>
    <w:uiPriority w:val="0"/>
    <w:pPr>
      <w:pageBreakBefore w:val="0"/>
      <w:outlineLvl w:val="1"/>
    </w:pPr>
    <w:rPr>
      <w:sz w:val="24"/>
    </w:rPr>
  </w:style>
  <w:style w:type="paragraph" w:customStyle="1" w:styleId="8">
    <w:name w:val="H1-HXDI"/>
    <w:basedOn w:val="9"/>
    <w:next w:val="9"/>
    <w:qFormat/>
    <w:uiPriority w:val="0"/>
    <w:pPr>
      <w:pageBreakBefore/>
      <w:spacing w:before="120" w:after="120" w:line="240" w:lineRule="auto"/>
      <w:ind w:firstLine="0" w:firstLineChars="0"/>
      <w:outlineLvl w:val="0"/>
    </w:pPr>
    <w:rPr>
      <w:rFonts w:eastAsia="黑体"/>
      <w:sz w:val="28"/>
    </w:rPr>
  </w:style>
  <w:style w:type="paragraph" w:customStyle="1" w:styleId="9">
    <w:name w:val="正文-HXDI"/>
    <w:basedOn w:val="1"/>
    <w:qFormat/>
    <w:uiPriority w:val="0"/>
    <w:pPr>
      <w:adjustRightInd w:val="0"/>
      <w:textAlignment w:val="baseline"/>
    </w:pPr>
    <w:rPr>
      <w:kern w:val="0"/>
      <w:szCs w:val="28"/>
    </w:rPr>
  </w:style>
  <w:style w:type="paragraph" w:customStyle="1" w:styleId="11">
    <w:name w:val="H3-HXDI"/>
    <w:basedOn w:val="7"/>
    <w:next w:val="9"/>
    <w:qFormat/>
    <w:uiPriority w:val="0"/>
    <w:pPr>
      <w:spacing w:before="0" w:after="0" w:line="360" w:lineRule="auto"/>
      <w:outlineLvl w:val="2"/>
    </w:pPr>
  </w:style>
  <w:style w:type="paragraph" w:styleId="18">
    <w:name w:val="List 3"/>
    <w:basedOn w:val="1"/>
    <w:qFormat/>
    <w:uiPriority w:val="0"/>
    <w:pPr>
      <w:numPr>
        <w:ilvl w:val="0"/>
        <w:numId w:val="2"/>
      </w:numPr>
      <w:ind w:left="0" w:firstLine="964"/>
    </w:pPr>
    <w:rPr>
      <w:rFonts w:ascii="Arial" w:hAnsi="Arial" w:eastAsia="仿宋_GB2312"/>
      <w:b/>
      <w:szCs w:val="32"/>
    </w:rPr>
  </w:style>
  <w:style w:type="paragraph" w:styleId="19">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20">
    <w:name w:val="Normal Indent"/>
    <w:basedOn w:val="1"/>
    <w:next w:val="1"/>
    <w:link w:val="281"/>
    <w:unhideWhenUsed/>
    <w:qFormat/>
    <w:uiPriority w:val="99"/>
    <w:pPr>
      <w:ind w:firstLine="420"/>
    </w:pPr>
    <w:rPr>
      <w:rFonts w:ascii="Times New Roman" w:hAnsi="Times New Roman"/>
      <w:kern w:val="0"/>
      <w:sz w:val="20"/>
      <w:szCs w:val="20"/>
    </w:rPr>
  </w:style>
  <w:style w:type="paragraph" w:styleId="21">
    <w:name w:val="caption"/>
    <w:basedOn w:val="9"/>
    <w:next w:val="9"/>
    <w:link w:val="275"/>
    <w:unhideWhenUsed/>
    <w:qFormat/>
    <w:uiPriority w:val="35"/>
    <w:pPr>
      <w:spacing w:line="240" w:lineRule="auto"/>
      <w:jc w:val="center"/>
    </w:pPr>
    <w:rPr>
      <w:rFonts w:ascii="Arial" w:hAnsi="Arial" w:eastAsia="黑体"/>
      <w:sz w:val="20"/>
    </w:rPr>
  </w:style>
  <w:style w:type="paragraph" w:styleId="22">
    <w:name w:val="Document Map"/>
    <w:basedOn w:val="1"/>
    <w:link w:val="126"/>
    <w:unhideWhenUsed/>
    <w:qFormat/>
    <w:uiPriority w:val="99"/>
    <w:pPr>
      <w:widowControl/>
      <w:ind w:firstLine="0" w:firstLineChars="0"/>
      <w:jc w:val="left"/>
    </w:pPr>
    <w:rPr>
      <w:rFonts w:hAnsi="Times New Roman"/>
      <w:kern w:val="0"/>
      <w:sz w:val="24"/>
      <w:szCs w:val="24"/>
    </w:rPr>
  </w:style>
  <w:style w:type="paragraph" w:styleId="23">
    <w:name w:val="toa heading"/>
    <w:basedOn w:val="1"/>
    <w:next w:val="1"/>
    <w:qFormat/>
    <w:uiPriority w:val="0"/>
    <w:pPr>
      <w:widowControl/>
      <w:adjustRightInd w:val="0"/>
      <w:spacing w:before="120" w:after="120" w:line="288" w:lineRule="auto"/>
      <w:ind w:firstLine="454" w:firstLineChars="0"/>
      <w:jc w:val="left"/>
      <w:textAlignment w:val="baseline"/>
    </w:pPr>
    <w:rPr>
      <w:rFonts w:ascii="Arial" w:hAnsi="Arial"/>
      <w:b/>
      <w:bCs/>
      <w:kern w:val="0"/>
      <w:sz w:val="21"/>
      <w:szCs w:val="21"/>
      <w:lang w:eastAsia="en-US"/>
    </w:rPr>
  </w:style>
  <w:style w:type="paragraph" w:styleId="24">
    <w:name w:val="annotation text"/>
    <w:basedOn w:val="1"/>
    <w:link w:val="105"/>
    <w:unhideWhenUsed/>
    <w:qFormat/>
    <w:uiPriority w:val="0"/>
    <w:pPr>
      <w:jc w:val="left"/>
    </w:pPr>
  </w:style>
  <w:style w:type="paragraph" w:styleId="25">
    <w:name w:val="Body Text Indent"/>
    <w:basedOn w:val="1"/>
    <w:next w:val="1"/>
    <w:link w:val="110"/>
    <w:unhideWhenUsed/>
    <w:qFormat/>
    <w:uiPriority w:val="0"/>
    <w:pPr>
      <w:spacing w:after="120"/>
      <w:ind w:left="420" w:leftChars="200"/>
    </w:pPr>
  </w:style>
  <w:style w:type="paragraph" w:styleId="26">
    <w:name w:val="List 2"/>
    <w:basedOn w:val="1"/>
    <w:unhideWhenUsed/>
    <w:qFormat/>
    <w:uiPriority w:val="0"/>
    <w:pPr>
      <w:widowControl/>
      <w:numPr>
        <w:ilvl w:val="0"/>
        <w:numId w:val="3"/>
      </w:numPr>
      <w:tabs>
        <w:tab w:val="clear" w:pos="2040"/>
      </w:tabs>
      <w:ind w:left="100" w:leftChars="200" w:hanging="200" w:hangingChars="200"/>
      <w:contextualSpacing/>
      <w:jc w:val="left"/>
    </w:pPr>
    <w:rPr>
      <w:rFonts w:cs="宋体"/>
      <w:kern w:val="0"/>
      <w:sz w:val="24"/>
      <w:szCs w:val="24"/>
    </w:rPr>
  </w:style>
  <w:style w:type="paragraph" w:styleId="27">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28">
    <w:name w:val="toc 3"/>
    <w:basedOn w:val="1"/>
    <w:next w:val="1"/>
    <w:unhideWhenUsed/>
    <w:qFormat/>
    <w:uiPriority w:val="39"/>
    <w:pPr>
      <w:ind w:left="840" w:leftChars="400"/>
    </w:pPr>
  </w:style>
  <w:style w:type="paragraph" w:styleId="29">
    <w:name w:val="Plain Text"/>
    <w:basedOn w:val="1"/>
    <w:link w:val="113"/>
    <w:unhideWhenUsed/>
    <w:qFormat/>
    <w:uiPriority w:val="0"/>
    <w:pPr>
      <w:spacing w:line="240" w:lineRule="auto"/>
      <w:ind w:firstLine="0" w:firstLineChars="0"/>
    </w:pPr>
    <w:rPr>
      <w:rFonts w:hAnsi="Courier New" w:cs="Courier New" w:asciiTheme="minorEastAsia" w:eastAsiaTheme="minorEastAsia"/>
      <w:sz w:val="21"/>
      <w:szCs w:val="20"/>
    </w:rPr>
  </w:style>
  <w:style w:type="paragraph" w:styleId="30">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31">
    <w:name w:val="Date"/>
    <w:basedOn w:val="1"/>
    <w:next w:val="1"/>
    <w:link w:val="127"/>
    <w:qFormat/>
    <w:uiPriority w:val="0"/>
    <w:rPr>
      <w:rFonts w:ascii="Times New Roman" w:hAnsi="Times New Roman"/>
      <w:szCs w:val="20"/>
    </w:rPr>
  </w:style>
  <w:style w:type="paragraph" w:styleId="32">
    <w:name w:val="Body Text Indent 2"/>
    <w:basedOn w:val="1"/>
    <w:link w:val="128"/>
    <w:qFormat/>
    <w:uiPriority w:val="0"/>
    <w:pPr>
      <w:spacing w:after="120" w:line="480" w:lineRule="auto"/>
      <w:ind w:left="420" w:leftChars="200"/>
    </w:pPr>
    <w:rPr>
      <w:rFonts w:ascii="Arial" w:hAnsi="Arial" w:eastAsia="仿宋_GB2312"/>
      <w:szCs w:val="32"/>
    </w:rPr>
  </w:style>
  <w:style w:type="paragraph" w:styleId="33">
    <w:name w:val="Balloon Text"/>
    <w:basedOn w:val="1"/>
    <w:link w:val="129"/>
    <w:qFormat/>
    <w:uiPriority w:val="99"/>
    <w:pPr>
      <w:spacing w:line="240" w:lineRule="auto"/>
    </w:pPr>
    <w:rPr>
      <w:rFonts w:ascii="Arial" w:hAnsi="Arial" w:eastAsia="仿宋_GB2312"/>
      <w:sz w:val="18"/>
      <w:szCs w:val="18"/>
    </w:rPr>
  </w:style>
  <w:style w:type="paragraph" w:styleId="34">
    <w:name w:val="footer"/>
    <w:basedOn w:val="1"/>
    <w:link w:val="73"/>
    <w:unhideWhenUsed/>
    <w:qFormat/>
    <w:uiPriority w:val="99"/>
    <w:pPr>
      <w:snapToGrid w:val="0"/>
      <w:jc w:val="left"/>
    </w:pPr>
    <w:rPr>
      <w:rFonts w:ascii="Calibri" w:hAnsi="Calibri"/>
      <w:kern w:val="0"/>
      <w:sz w:val="18"/>
      <w:szCs w:val="18"/>
    </w:rPr>
  </w:style>
  <w:style w:type="paragraph" w:styleId="35">
    <w:name w:val="header"/>
    <w:basedOn w:val="1"/>
    <w:link w:val="74"/>
    <w:unhideWhenUsed/>
    <w:qFormat/>
    <w:uiPriority w:val="99"/>
    <w:pPr>
      <w:pBdr>
        <w:bottom w:val="single" w:color="auto" w:sz="6" w:space="1"/>
      </w:pBdr>
      <w:snapToGrid w:val="0"/>
      <w:jc w:val="center"/>
    </w:pPr>
    <w:rPr>
      <w:rFonts w:ascii="Calibri" w:hAnsi="Calibri"/>
      <w:kern w:val="0"/>
      <w:sz w:val="18"/>
      <w:szCs w:val="18"/>
    </w:rPr>
  </w:style>
  <w:style w:type="paragraph" w:styleId="36">
    <w:name w:val="toc 1"/>
    <w:basedOn w:val="1"/>
    <w:next w:val="1"/>
    <w:unhideWhenUsed/>
    <w:qFormat/>
    <w:uiPriority w:val="39"/>
  </w:style>
  <w:style w:type="paragraph" w:styleId="37">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38">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41">
    <w:name w:val="Body Text 2"/>
    <w:basedOn w:val="1"/>
    <w:qFormat/>
    <w:uiPriority w:val="99"/>
    <w:pPr>
      <w:spacing w:after="120" w:line="480" w:lineRule="auto"/>
    </w:pPr>
  </w:style>
  <w:style w:type="paragraph" w:styleId="42">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3">
    <w:name w:val="Normal (Web)"/>
    <w:basedOn w:val="1"/>
    <w:link w:val="260"/>
    <w:unhideWhenUsed/>
    <w:qFormat/>
    <w:uiPriority w:val="99"/>
    <w:pPr>
      <w:widowControl/>
      <w:spacing w:before="100" w:beforeAutospacing="1" w:after="100" w:afterAutospacing="1"/>
      <w:jc w:val="left"/>
    </w:pPr>
    <w:rPr>
      <w:rFonts w:cs="宋体"/>
      <w:kern w:val="0"/>
      <w:sz w:val="24"/>
      <w:szCs w:val="24"/>
    </w:rPr>
  </w:style>
  <w:style w:type="paragraph" w:styleId="44">
    <w:name w:val="Title"/>
    <w:basedOn w:val="1"/>
    <w:link w:val="75"/>
    <w:qFormat/>
    <w:uiPriority w:val="99"/>
    <w:pPr>
      <w:spacing w:before="600" w:after="600"/>
      <w:jc w:val="center"/>
      <w:outlineLvl w:val="0"/>
    </w:pPr>
    <w:rPr>
      <w:b/>
      <w:bCs/>
      <w:kern w:val="0"/>
      <w:sz w:val="36"/>
      <w:szCs w:val="36"/>
    </w:rPr>
  </w:style>
  <w:style w:type="paragraph" w:styleId="45">
    <w:name w:val="annotation subject"/>
    <w:basedOn w:val="24"/>
    <w:next w:val="24"/>
    <w:link w:val="106"/>
    <w:unhideWhenUsed/>
    <w:qFormat/>
    <w:uiPriority w:val="99"/>
    <w:rPr>
      <w:b/>
      <w:bCs/>
    </w:rPr>
  </w:style>
  <w:style w:type="paragraph" w:styleId="46">
    <w:name w:val="Body Text First Indent 2"/>
    <w:basedOn w:val="25"/>
    <w:next w:val="1"/>
    <w:link w:val="111"/>
    <w:unhideWhenUsed/>
    <w:qFormat/>
    <w:uiPriority w:val="99"/>
    <w:pPr>
      <w:ind w:firstLine="420"/>
    </w:pPr>
  </w:style>
  <w:style w:type="table" w:styleId="48">
    <w:name w:val="Table Grid"/>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qFormat/>
    <w:uiPriority w:val="22"/>
    <w:rPr>
      <w:b/>
    </w:rPr>
  </w:style>
  <w:style w:type="character" w:styleId="51">
    <w:name w:val="page number"/>
    <w:basedOn w:val="49"/>
    <w:qFormat/>
    <w:uiPriority w:val="0"/>
  </w:style>
  <w:style w:type="character" w:styleId="52">
    <w:name w:val="FollowedHyperlink"/>
    <w:basedOn w:val="49"/>
    <w:unhideWhenUsed/>
    <w:qFormat/>
    <w:uiPriority w:val="99"/>
    <w:rPr>
      <w:color w:val="800080"/>
      <w:u w:val="single"/>
    </w:rPr>
  </w:style>
  <w:style w:type="character" w:styleId="53">
    <w:name w:val="Emphasis"/>
    <w:basedOn w:val="49"/>
    <w:qFormat/>
    <w:uiPriority w:val="0"/>
    <w:rPr>
      <w:i/>
    </w:rPr>
  </w:style>
  <w:style w:type="character" w:styleId="54">
    <w:name w:val="Hyperlink"/>
    <w:basedOn w:val="49"/>
    <w:unhideWhenUsed/>
    <w:qFormat/>
    <w:uiPriority w:val="99"/>
    <w:rPr>
      <w:color w:val="0000FF"/>
      <w:u w:val="single"/>
    </w:rPr>
  </w:style>
  <w:style w:type="character" w:styleId="55">
    <w:name w:val="annotation reference"/>
    <w:basedOn w:val="49"/>
    <w:unhideWhenUsed/>
    <w:qFormat/>
    <w:uiPriority w:val="0"/>
    <w:rPr>
      <w:sz w:val="21"/>
      <w:szCs w:val="21"/>
    </w:rPr>
  </w:style>
  <w:style w:type="character" w:customStyle="1" w:styleId="56">
    <w:name w:val="标题 2 字符"/>
    <w:link w:val="6"/>
    <w:qFormat/>
    <w:uiPriority w:val="9"/>
    <w:rPr>
      <w:rFonts w:ascii="宋体" w:hAnsi="宋体" w:eastAsia="宋体"/>
      <w:b/>
      <w:color w:val="000000" w:themeColor="text1"/>
      <w:kern w:val="2"/>
      <w:sz w:val="30"/>
      <w:szCs w:val="28"/>
      <w14:textFill>
        <w14:solidFill>
          <w14:schemeClr w14:val="tx1"/>
        </w14:solidFill>
      </w14:textFill>
    </w:rPr>
  </w:style>
  <w:style w:type="character" w:customStyle="1" w:styleId="57">
    <w:name w:val="标题 1 字符"/>
    <w:basedOn w:val="49"/>
    <w:link w:val="5"/>
    <w:qFormat/>
    <w:uiPriority w:val="9"/>
    <w:rPr>
      <w:rFonts w:ascii="宋体" w:hAnsi="宋体" w:eastAsia="宋体"/>
      <w:b/>
      <w:bCs/>
      <w:color w:val="000000" w:themeColor="text1"/>
      <w:kern w:val="44"/>
      <w:sz w:val="32"/>
      <w:szCs w:val="36"/>
      <w14:textFill>
        <w14:solidFill>
          <w14:schemeClr w14:val="tx1"/>
        </w14:solidFill>
      </w14:textFill>
    </w:rPr>
  </w:style>
  <w:style w:type="character" w:customStyle="1" w:styleId="58">
    <w:name w:val="标题 6 字符"/>
    <w:link w:val="14"/>
    <w:qFormat/>
    <w:uiPriority w:val="9"/>
    <w:rPr>
      <w:rFonts w:ascii="宋体" w:hAnsi="宋体" w:eastAsia="宋体" w:cs="Times New Roman"/>
      <w:b/>
      <w:kern w:val="2"/>
      <w:sz w:val="24"/>
      <w:szCs w:val="24"/>
      <w:highlight w:val="none"/>
      <w:lang w:val="en-US" w:eastAsia="zh-CN" w:bidi="ar-SA"/>
    </w:rPr>
  </w:style>
  <w:style w:type="character" w:customStyle="1" w:styleId="59">
    <w:name w:val="标题 7 字符"/>
    <w:basedOn w:val="49"/>
    <w:link w:val="15"/>
    <w:qFormat/>
    <w:uiPriority w:val="9"/>
    <w:rPr>
      <w:rFonts w:ascii="宋体" w:hAnsi="宋体"/>
      <w:b/>
      <w:kern w:val="2"/>
      <w:sz w:val="28"/>
      <w:szCs w:val="28"/>
    </w:rPr>
  </w:style>
  <w:style w:type="paragraph" w:customStyle="1" w:styleId="60">
    <w:name w:val="LX四级标题新"/>
    <w:basedOn w:val="61"/>
    <w:next w:val="62"/>
    <w:qFormat/>
    <w:uiPriority w:val="0"/>
    <w:pPr>
      <w:tabs>
        <w:tab w:val="left" w:pos="0"/>
      </w:tabs>
      <w:ind w:left="567" w:hanging="312"/>
      <w:contextualSpacing/>
      <w:outlineLvl w:val="3"/>
    </w:pPr>
  </w:style>
  <w:style w:type="paragraph" w:customStyle="1" w:styleId="61">
    <w:name w:val="LX三级标题"/>
    <w:basedOn w:val="10"/>
    <w:qFormat/>
    <w:uiPriority w:val="0"/>
    <w:pPr>
      <w:numPr>
        <w:ilvl w:val="0"/>
        <w:numId w:val="0"/>
      </w:numPr>
      <w:spacing w:before="120" w:after="120" w:line="360" w:lineRule="auto"/>
      <w:ind w:left="425" w:hanging="255"/>
    </w:pPr>
    <w:rPr>
      <w:rFonts w:ascii="宋体" w:hAnsi="宋体" w:eastAsia="宋体"/>
      <w:bCs/>
      <w:color w:val="000000"/>
    </w:rPr>
  </w:style>
  <w:style w:type="paragraph" w:customStyle="1" w:styleId="62">
    <w:name w:val="LX五级标题"/>
    <w:basedOn w:val="13"/>
    <w:qFormat/>
    <w:uiPriority w:val="0"/>
    <w:pPr>
      <w:numPr>
        <w:ilvl w:val="0"/>
        <w:numId w:val="0"/>
      </w:numPr>
      <w:spacing w:line="374" w:lineRule="auto"/>
      <w:ind w:left="709" w:hanging="369"/>
    </w:pPr>
    <w:rPr>
      <w:rFonts w:eastAsia="宋体"/>
      <w:color w:val="000000"/>
    </w:rPr>
  </w:style>
  <w:style w:type="paragraph" w:customStyle="1" w:styleId="63">
    <w:name w:val="LX一级标题"/>
    <w:basedOn w:val="44"/>
    <w:link w:val="103"/>
    <w:qFormat/>
    <w:uiPriority w:val="0"/>
    <w:pPr>
      <w:spacing w:before="0" w:after="0"/>
      <w:ind w:left="5955" w:firstLine="0" w:firstLineChars="0"/>
    </w:pPr>
    <w:rPr>
      <w:color w:val="000000"/>
    </w:rPr>
  </w:style>
  <w:style w:type="paragraph" w:customStyle="1" w:styleId="64">
    <w:name w:val="LX二级标题"/>
    <w:basedOn w:val="6"/>
    <w:link w:val="104"/>
    <w:qFormat/>
    <w:uiPriority w:val="0"/>
    <w:pPr>
      <w:numPr>
        <w:ilvl w:val="0"/>
        <w:numId w:val="0"/>
      </w:numPr>
      <w:spacing w:before="240" w:after="240" w:line="400" w:lineRule="atLeast"/>
      <w:ind w:left="284" w:hanging="199"/>
    </w:pPr>
    <w:rPr>
      <w:rFonts w:ascii="宋体" w:hAnsi="宋体" w:eastAsia="宋体"/>
      <w:bCs/>
      <w:color w:val="000000"/>
      <w:szCs w:val="30"/>
    </w:rPr>
  </w:style>
  <w:style w:type="paragraph" w:customStyle="1" w:styleId="65">
    <w:name w:val="四级标题"/>
    <w:basedOn w:val="12"/>
    <w:qFormat/>
    <w:uiPriority w:val="0"/>
    <w:pPr>
      <w:keepNext w:val="0"/>
      <w:keepLines w:val="0"/>
      <w:spacing w:before="120" w:after="120" w:line="240" w:lineRule="auto"/>
      <w:ind w:right="280" w:rightChars="100" w:hanging="864"/>
      <w:jc w:val="left"/>
    </w:pPr>
    <w:rPr>
      <w:rFonts w:eastAsia="宋体" w:cs="宋体"/>
      <w:szCs w:val="32"/>
    </w:rPr>
  </w:style>
  <w:style w:type="character" w:customStyle="1" w:styleId="66">
    <w:name w:val="标题 3 字符"/>
    <w:basedOn w:val="49"/>
    <w:link w:val="10"/>
    <w:qFormat/>
    <w:uiPriority w:val="9"/>
    <w:rPr>
      <w:rFonts w:eastAsia="宋体" w:asciiTheme="minorAscii" w:hAnsiTheme="minorAscii"/>
      <w:b/>
      <w:kern w:val="2"/>
      <w:sz w:val="28"/>
      <w:szCs w:val="28"/>
    </w:rPr>
  </w:style>
  <w:style w:type="character" w:customStyle="1" w:styleId="67">
    <w:name w:val="标题 4 字符"/>
    <w:basedOn w:val="49"/>
    <w:link w:val="12"/>
    <w:qFormat/>
    <w:uiPriority w:val="0"/>
    <w:rPr>
      <w:rFonts w:ascii="宋体" w:hAnsi="宋体" w:eastAsia="宋体"/>
      <w:b/>
      <w:bCs/>
      <w:color w:val="000000" w:themeColor="text1"/>
      <w:kern w:val="2"/>
      <w:sz w:val="28"/>
      <w:szCs w:val="36"/>
      <w14:textFill>
        <w14:solidFill>
          <w14:schemeClr w14:val="tx1"/>
        </w14:solidFill>
      </w14:textFill>
    </w:rPr>
  </w:style>
  <w:style w:type="character" w:customStyle="1" w:styleId="68">
    <w:name w:val="标题 5 字符"/>
    <w:basedOn w:val="49"/>
    <w:link w:val="13"/>
    <w:qFormat/>
    <w:uiPriority w:val="9"/>
    <w:rPr>
      <w:rFonts w:ascii="宋体" w:hAnsi="宋体" w:eastAsia="宋体"/>
      <w:b/>
      <w:bCs/>
      <w:color w:val="000000" w:themeColor="text1"/>
      <w:kern w:val="2"/>
      <w:sz w:val="28"/>
      <w:szCs w:val="36"/>
      <w14:textFill>
        <w14:solidFill>
          <w14:schemeClr w14:val="tx1"/>
        </w14:solidFill>
      </w14:textFill>
    </w:rPr>
  </w:style>
  <w:style w:type="character" w:customStyle="1" w:styleId="69">
    <w:name w:val="标题 8 字符"/>
    <w:basedOn w:val="49"/>
    <w:link w:val="16"/>
    <w:qFormat/>
    <w:uiPriority w:val="9"/>
    <w:rPr>
      <w:rFonts w:ascii="DejaVu Sans" w:hAnsi="DejaVu Sans" w:eastAsia="方正黑体_GBK"/>
      <w:kern w:val="2"/>
      <w:sz w:val="28"/>
      <w:szCs w:val="28"/>
    </w:rPr>
  </w:style>
  <w:style w:type="character" w:customStyle="1" w:styleId="70">
    <w:name w:val="标题 9 字符"/>
    <w:basedOn w:val="49"/>
    <w:link w:val="17"/>
    <w:qFormat/>
    <w:uiPriority w:val="9"/>
    <w:rPr>
      <w:rFonts w:ascii="DejaVu Sans" w:hAnsi="DejaVu Sans" w:eastAsia="方正黑体_GBK"/>
      <w:kern w:val="2"/>
      <w:sz w:val="21"/>
      <w:szCs w:val="28"/>
    </w:rPr>
  </w:style>
  <w:style w:type="character" w:customStyle="1" w:styleId="71">
    <w:name w:val="宏文本 字符"/>
    <w:basedOn w:val="49"/>
    <w:link w:val="4"/>
    <w:qFormat/>
    <w:uiPriority w:val="0"/>
    <w:rPr>
      <w:rFonts w:ascii="Courier New" w:hAnsi="Courier New" w:eastAsia="等线" w:cs="Times New Roman"/>
      <w:sz w:val="24"/>
      <w:szCs w:val="24"/>
    </w:rPr>
  </w:style>
  <w:style w:type="character" w:customStyle="1" w:styleId="72">
    <w:name w:val="正文文本 字符"/>
    <w:basedOn w:val="49"/>
    <w:link w:val="3"/>
    <w:qFormat/>
    <w:uiPriority w:val="99"/>
    <w:rPr>
      <w:rFonts w:ascii="Times New Roman" w:hAnsi="Times New Roman" w:eastAsia="宋体" w:cs="Times New Roman"/>
      <w:kern w:val="0"/>
      <w:sz w:val="28"/>
      <w:szCs w:val="28"/>
    </w:rPr>
  </w:style>
  <w:style w:type="character" w:customStyle="1" w:styleId="73">
    <w:name w:val="页脚 字符"/>
    <w:basedOn w:val="49"/>
    <w:link w:val="34"/>
    <w:qFormat/>
    <w:uiPriority w:val="99"/>
    <w:rPr>
      <w:rFonts w:ascii="Calibri" w:hAnsi="Calibri" w:eastAsia="宋体" w:cs="Times New Roman"/>
      <w:kern w:val="0"/>
      <w:sz w:val="18"/>
      <w:szCs w:val="18"/>
    </w:rPr>
  </w:style>
  <w:style w:type="character" w:customStyle="1" w:styleId="74">
    <w:name w:val="页眉 字符"/>
    <w:basedOn w:val="49"/>
    <w:link w:val="35"/>
    <w:qFormat/>
    <w:uiPriority w:val="99"/>
    <w:rPr>
      <w:rFonts w:ascii="Calibri" w:hAnsi="Calibri" w:eastAsia="宋体" w:cs="Times New Roman"/>
      <w:kern w:val="0"/>
      <w:sz w:val="18"/>
      <w:szCs w:val="18"/>
    </w:rPr>
  </w:style>
  <w:style w:type="character" w:customStyle="1" w:styleId="75">
    <w:name w:val="标题 字符"/>
    <w:basedOn w:val="49"/>
    <w:link w:val="44"/>
    <w:qFormat/>
    <w:uiPriority w:val="99"/>
    <w:rPr>
      <w:rFonts w:ascii="宋体" w:hAnsi="宋体" w:eastAsia="宋体" w:cs="Times New Roman"/>
      <w:b/>
      <w:bCs/>
      <w:kern w:val="0"/>
      <w:sz w:val="36"/>
      <w:szCs w:val="36"/>
    </w:rPr>
  </w:style>
  <w:style w:type="paragraph" w:customStyle="1" w:styleId="76">
    <w:name w:val="msonormal"/>
    <w:basedOn w:val="1"/>
    <w:qFormat/>
    <w:uiPriority w:val="0"/>
    <w:pPr>
      <w:widowControl/>
      <w:spacing w:before="100" w:beforeAutospacing="1" w:after="100" w:afterAutospacing="1" w:line="240" w:lineRule="auto"/>
      <w:ind w:firstLine="0" w:firstLineChars="0"/>
      <w:jc w:val="left"/>
    </w:pPr>
    <w:rPr>
      <w:rFonts w:cs="宋体"/>
      <w:kern w:val="0"/>
      <w:sz w:val="24"/>
      <w:szCs w:val="24"/>
    </w:rPr>
  </w:style>
  <w:style w:type="paragraph" w:customStyle="1" w:styleId="77">
    <w:name w:val="正文首行缩进1"/>
    <w:basedOn w:val="3"/>
    <w:semiHidden/>
    <w:qFormat/>
    <w:uiPriority w:val="0"/>
    <w:pPr>
      <w:ind w:firstLine="420" w:firstLineChars="100"/>
    </w:pPr>
    <w:rPr>
      <w:rFonts w:ascii="宋体" w:hAnsi="宋体"/>
    </w:rPr>
  </w:style>
  <w:style w:type="paragraph" w:customStyle="1" w:styleId="78">
    <w:name w:val="TOC 标题2"/>
    <w:basedOn w:val="5"/>
    <w:next w:val="1"/>
    <w:qFormat/>
    <w:uiPriority w:val="39"/>
    <w:pPr>
      <w:numPr>
        <w:numId w:val="0"/>
      </w:numPr>
      <w:spacing w:before="240" w:after="0" w:line="256" w:lineRule="auto"/>
      <w:jc w:val="left"/>
      <w:outlineLvl w:val="9"/>
    </w:pPr>
    <w:rPr>
      <w:rFonts w:ascii="等线 Light" w:hAnsi="等线 Light" w:eastAsia="等线 Light"/>
      <w:b w:val="0"/>
      <w:color w:val="2E74B5"/>
      <w:kern w:val="0"/>
      <w:szCs w:val="32"/>
    </w:rPr>
  </w:style>
  <w:style w:type="paragraph" w:customStyle="1" w:styleId="79">
    <w:name w:val="目录 11"/>
    <w:basedOn w:val="1"/>
    <w:next w:val="1"/>
    <w:semiHidden/>
    <w:qFormat/>
    <w:uiPriority w:val="0"/>
    <w:pPr>
      <w:ind w:firstLine="0" w:firstLineChars="0"/>
    </w:pPr>
    <w:rPr>
      <w:sz w:val="30"/>
      <w:szCs w:val="30"/>
    </w:rPr>
  </w:style>
  <w:style w:type="paragraph" w:customStyle="1" w:styleId="80">
    <w:name w:val="目录 21"/>
    <w:basedOn w:val="1"/>
    <w:next w:val="1"/>
    <w:semiHidden/>
    <w:qFormat/>
    <w:uiPriority w:val="0"/>
    <w:pPr>
      <w:spacing w:before="100" w:beforeAutospacing="1" w:after="100" w:afterAutospacing="1"/>
      <w:ind w:left="50" w:leftChars="50"/>
    </w:pPr>
  </w:style>
  <w:style w:type="paragraph" w:customStyle="1" w:styleId="81">
    <w:name w:val="目录 31"/>
    <w:basedOn w:val="1"/>
    <w:next w:val="1"/>
    <w:semiHidden/>
    <w:qFormat/>
    <w:uiPriority w:val="0"/>
    <w:pPr>
      <w:spacing w:before="100" w:beforeAutospacing="1" w:after="100" w:afterAutospacing="1"/>
      <w:ind w:left="200" w:leftChars="200"/>
    </w:pPr>
  </w:style>
  <w:style w:type="paragraph" w:customStyle="1" w:styleId="82">
    <w:name w:val="列表段落1"/>
    <w:basedOn w:val="1"/>
    <w:qFormat/>
    <w:uiPriority w:val="0"/>
    <w:pPr>
      <w:ind w:firstLine="420"/>
    </w:pPr>
    <w:rPr>
      <w:kern w:val="0"/>
    </w:rPr>
  </w:style>
  <w:style w:type="paragraph" w:customStyle="1" w:styleId="83">
    <w:name w:val="!我的正文 Ctr+Q"/>
    <w:basedOn w:val="1"/>
    <w:link w:val="117"/>
    <w:qFormat/>
    <w:uiPriority w:val="0"/>
    <w:pPr>
      <w:spacing w:line="500" w:lineRule="exact"/>
      <w:ind w:firstLine="560"/>
    </w:pPr>
    <w:rPr>
      <w:rFonts w:hAnsi="Calibri"/>
      <w:color w:val="000000"/>
    </w:rPr>
  </w:style>
  <w:style w:type="paragraph" w:customStyle="1" w:styleId="84">
    <w:name w:val="标书-正文"/>
    <w:basedOn w:val="1"/>
    <w:qFormat/>
    <w:uiPriority w:val="0"/>
    <w:pPr>
      <w:widowControl/>
      <w:spacing w:before="56" w:after="113"/>
      <w:jc w:val="left"/>
    </w:pPr>
    <w:rPr>
      <w:rFonts w:ascii="Arial" w:hAnsi="Arial"/>
      <w:kern w:val="0"/>
      <w:sz w:val="24"/>
      <w:szCs w:val="24"/>
    </w:rPr>
  </w:style>
  <w:style w:type="paragraph" w:customStyle="1" w:styleId="85">
    <w:name w:val="Char Char2"/>
    <w:basedOn w:val="1"/>
    <w:qFormat/>
    <w:uiPriority w:val="0"/>
    <w:rPr>
      <w:rFonts w:ascii="Tahoma" w:hAnsi="Tahoma"/>
      <w:sz w:val="24"/>
      <w:szCs w:val="24"/>
    </w:rPr>
  </w:style>
  <w:style w:type="paragraph" w:customStyle="1" w:styleId="86">
    <w:name w:val="正文缩进2"/>
    <w:basedOn w:val="1"/>
    <w:qFormat/>
    <w:uiPriority w:val="0"/>
    <w:pPr>
      <w:ind w:firstLine="562"/>
    </w:pPr>
    <w:rPr>
      <w:color w:val="000000"/>
      <w:kern w:val="0"/>
    </w:rPr>
  </w:style>
  <w:style w:type="paragraph" w:customStyle="1" w:styleId="87">
    <w:name w:val="4号正文"/>
    <w:basedOn w:val="20"/>
    <w:link w:val="99"/>
    <w:qFormat/>
    <w:uiPriority w:val="0"/>
    <w:pPr>
      <w:widowControl/>
      <w:spacing w:before="30" w:after="100" w:afterAutospacing="1"/>
      <w:ind w:firstLine="200"/>
    </w:pPr>
    <w:rPr>
      <w:rFonts w:ascii="宋体" w:hAnsi="宋体"/>
      <w:spacing w:val="6"/>
      <w:sz w:val="24"/>
      <w:szCs w:val="24"/>
    </w:rPr>
  </w:style>
  <w:style w:type="paragraph" w:customStyle="1" w:styleId="88">
    <w:name w:val="正文 图片说明"/>
    <w:basedOn w:val="1"/>
    <w:qFormat/>
    <w:uiPriority w:val="0"/>
    <w:pPr>
      <w:widowControl/>
      <w:adjustRightInd w:val="0"/>
      <w:snapToGrid w:val="0"/>
      <w:spacing w:before="156" w:after="100" w:afterAutospacing="1" w:line="300" w:lineRule="auto"/>
      <w:ind w:firstLine="0" w:firstLineChars="0"/>
      <w:jc w:val="center"/>
    </w:pPr>
    <w:rPr>
      <w:rFonts w:ascii="Arial" w:hAnsi="Arial" w:eastAsia="仿宋" w:cs="宋体"/>
      <w:kern w:val="0"/>
    </w:rPr>
  </w:style>
  <w:style w:type="paragraph" w:customStyle="1" w:styleId="89">
    <w:name w:val="智业正文"/>
    <w:basedOn w:val="77"/>
    <w:link w:val="98"/>
    <w:qFormat/>
    <w:uiPriority w:val="0"/>
    <w:pPr>
      <w:spacing w:after="0"/>
      <w:ind w:firstLine="200" w:firstLineChars="200"/>
    </w:pPr>
    <w:rPr>
      <w:kern w:val="2"/>
      <w:sz w:val="24"/>
      <w:szCs w:val="24"/>
    </w:rPr>
  </w:style>
  <w:style w:type="paragraph" w:customStyle="1" w:styleId="90">
    <w:name w:val="__正文"/>
    <w:basedOn w:val="1"/>
    <w:link w:val="112"/>
    <w:qFormat/>
    <w:uiPriority w:val="0"/>
    <w:pPr>
      <w:jc w:val="left"/>
    </w:pPr>
    <w:rPr>
      <w:rFonts w:ascii="等线" w:hAnsi="等线" w:eastAsia="微软雅黑"/>
      <w:sz w:val="21"/>
      <w:szCs w:val="21"/>
    </w:rPr>
  </w:style>
  <w:style w:type="paragraph" w:customStyle="1" w:styleId="91">
    <w:name w:val="样式 首行缩进:  2 字符5"/>
    <w:basedOn w:val="1"/>
    <w:qFormat/>
    <w:uiPriority w:val="0"/>
    <w:pPr>
      <w:spacing w:before="120" w:after="100" w:afterAutospacing="1"/>
      <w:ind w:firstLine="480"/>
    </w:pPr>
    <w:rPr>
      <w:rFonts w:ascii="Times New Roman" w:hAnsi="Times New Roman" w:cs="宋体"/>
      <w:sz w:val="24"/>
      <w:szCs w:val="24"/>
    </w:rPr>
  </w:style>
  <w:style w:type="paragraph" w:customStyle="1" w:styleId="92">
    <w:name w:val="p0"/>
    <w:basedOn w:val="1"/>
    <w:link w:val="261"/>
    <w:qFormat/>
    <w:uiPriority w:val="0"/>
    <w:pPr>
      <w:widowControl/>
      <w:spacing w:line="500" w:lineRule="atLeast"/>
    </w:pPr>
    <w:rPr>
      <w:rFonts w:ascii="Times New Roman" w:hAnsi="Times New Roman"/>
      <w:kern w:val="0"/>
    </w:rPr>
  </w:style>
  <w:style w:type="paragraph" w:customStyle="1" w:styleId="93">
    <w:name w:val="缺省文本:1"/>
    <w:basedOn w:val="1"/>
    <w:qFormat/>
    <w:uiPriority w:val="0"/>
    <w:pPr>
      <w:autoSpaceDE w:val="0"/>
      <w:autoSpaceDN w:val="0"/>
      <w:adjustRightInd w:val="0"/>
      <w:spacing w:line="400" w:lineRule="exact"/>
      <w:ind w:firstLine="539" w:firstLineChars="0"/>
    </w:pPr>
    <w:rPr>
      <w:rFonts w:ascii="Times New Roman" w:hAnsi="Times New Roman"/>
      <w:kern w:val="0"/>
      <w:sz w:val="24"/>
      <w:szCs w:val="24"/>
    </w:rPr>
  </w:style>
  <w:style w:type="paragraph" w:styleId="94">
    <w:name w:val="List Paragraph"/>
    <w:basedOn w:val="1"/>
    <w:link w:val="102"/>
    <w:qFormat/>
    <w:uiPriority w:val="34"/>
    <w:pPr>
      <w:widowControl/>
      <w:ind w:firstLine="420"/>
      <w:jc w:val="left"/>
    </w:pPr>
    <w:rPr>
      <w:rFonts w:cs="宋体"/>
      <w:kern w:val="0"/>
      <w:sz w:val="24"/>
      <w:szCs w:val="24"/>
    </w:rPr>
  </w:style>
  <w:style w:type="paragraph" w:customStyle="1" w:styleId="95">
    <w:name w:val="标准正文样式"/>
    <w:basedOn w:val="1"/>
    <w:qFormat/>
    <w:uiPriority w:val="0"/>
    <w:pPr>
      <w:widowControl/>
      <w:jc w:val="left"/>
    </w:pPr>
    <w:rPr>
      <w:rFonts w:ascii="Calibri" w:hAnsi="Calibri"/>
      <w:sz w:val="24"/>
      <w:szCs w:val="24"/>
    </w:rPr>
  </w:style>
  <w:style w:type="paragraph" w:customStyle="1" w:styleId="96">
    <w:name w:val="TOC 标题1"/>
    <w:basedOn w:val="5"/>
    <w:next w:val="1"/>
    <w:unhideWhenUsed/>
    <w:qFormat/>
    <w:uiPriority w:val="39"/>
    <w:pPr>
      <w:widowControl/>
      <w:numPr>
        <w:numId w:val="0"/>
      </w:numPr>
      <w:spacing w:before="240" w:after="0" w:line="259" w:lineRule="auto"/>
      <w:jc w:val="left"/>
      <w:outlineLvl w:val="9"/>
    </w:pPr>
    <w:rPr>
      <w:rFonts w:asciiTheme="majorHAnsi" w:hAnsiTheme="majorHAnsi" w:cstheme="majorBidi"/>
      <w:b w:val="0"/>
      <w:color w:val="2F5597" w:themeColor="accent1" w:themeShade="BF"/>
      <w:kern w:val="0"/>
      <w:szCs w:val="32"/>
    </w:rPr>
  </w:style>
  <w:style w:type="character" w:customStyle="1" w:styleId="97">
    <w:name w:val="未处理的提及1"/>
    <w:basedOn w:val="49"/>
    <w:semiHidden/>
    <w:unhideWhenUsed/>
    <w:qFormat/>
    <w:uiPriority w:val="99"/>
    <w:rPr>
      <w:color w:val="605E5C"/>
      <w:shd w:val="clear" w:color="auto" w:fill="E1DFDD"/>
    </w:rPr>
  </w:style>
  <w:style w:type="character" w:customStyle="1" w:styleId="98">
    <w:name w:val="智业正文 Char"/>
    <w:link w:val="89"/>
    <w:qFormat/>
    <w:uiPriority w:val="0"/>
    <w:rPr>
      <w:rFonts w:ascii="宋体" w:hAnsi="宋体"/>
      <w:kern w:val="2"/>
      <w:sz w:val="24"/>
      <w:szCs w:val="24"/>
    </w:rPr>
  </w:style>
  <w:style w:type="character" w:customStyle="1" w:styleId="99">
    <w:name w:val="4号正文 Char"/>
    <w:link w:val="87"/>
    <w:qFormat/>
    <w:uiPriority w:val="0"/>
    <w:rPr>
      <w:rFonts w:ascii="宋体" w:hAnsi="宋体"/>
      <w:spacing w:val="6"/>
      <w:sz w:val="24"/>
      <w:szCs w:val="24"/>
    </w:rPr>
  </w:style>
  <w:style w:type="character" w:customStyle="1" w:styleId="100">
    <w:name w:val="未处理的提及2"/>
    <w:basedOn w:val="49"/>
    <w:semiHidden/>
    <w:unhideWhenUsed/>
    <w:qFormat/>
    <w:uiPriority w:val="99"/>
    <w:rPr>
      <w:color w:val="605E5C"/>
      <w:shd w:val="clear" w:color="auto" w:fill="E1DFDD"/>
    </w:rPr>
  </w:style>
  <w:style w:type="character" w:customStyle="1" w:styleId="101">
    <w:name w:val="正文文本首行缩进 字符"/>
    <w:basedOn w:val="72"/>
    <w:link w:val="2"/>
    <w:qFormat/>
    <w:uiPriority w:val="99"/>
    <w:rPr>
      <w:rFonts w:ascii="宋体" w:hAnsi="宋体" w:eastAsia="宋体" w:cs="Times New Roman"/>
      <w:kern w:val="2"/>
      <w:sz w:val="28"/>
      <w:szCs w:val="22"/>
    </w:rPr>
  </w:style>
  <w:style w:type="character" w:customStyle="1" w:styleId="102">
    <w:name w:val="列表段落 字符"/>
    <w:link w:val="94"/>
    <w:qFormat/>
    <w:locked/>
    <w:uiPriority w:val="34"/>
    <w:rPr>
      <w:rFonts w:ascii="宋体" w:hAnsi="宋体" w:cs="宋体"/>
      <w:sz w:val="24"/>
      <w:szCs w:val="24"/>
    </w:rPr>
  </w:style>
  <w:style w:type="character" w:customStyle="1" w:styleId="103">
    <w:name w:val="LX一级标题 Char"/>
    <w:link w:val="63"/>
    <w:qFormat/>
    <w:uiPriority w:val="0"/>
    <w:rPr>
      <w:rFonts w:ascii="宋体" w:hAnsi="宋体"/>
      <w:b/>
      <w:bCs/>
      <w:color w:val="000000"/>
      <w:sz w:val="36"/>
      <w:szCs w:val="36"/>
    </w:rPr>
  </w:style>
  <w:style w:type="character" w:customStyle="1" w:styleId="104">
    <w:name w:val="LX二级标题 Char"/>
    <w:link w:val="64"/>
    <w:qFormat/>
    <w:uiPriority w:val="0"/>
    <w:rPr>
      <w:rFonts w:ascii="宋体" w:hAnsi="宋体"/>
      <w:b/>
      <w:bCs/>
      <w:color w:val="000000"/>
      <w:kern w:val="2"/>
      <w:sz w:val="30"/>
      <w:szCs w:val="30"/>
    </w:rPr>
  </w:style>
  <w:style w:type="character" w:customStyle="1" w:styleId="105">
    <w:name w:val="批注文字 字符"/>
    <w:basedOn w:val="49"/>
    <w:link w:val="24"/>
    <w:qFormat/>
    <w:uiPriority w:val="0"/>
    <w:rPr>
      <w:rFonts w:ascii="宋体" w:hAnsi="宋体"/>
      <w:kern w:val="2"/>
      <w:sz w:val="28"/>
      <w:szCs w:val="28"/>
    </w:rPr>
  </w:style>
  <w:style w:type="character" w:customStyle="1" w:styleId="106">
    <w:name w:val="批注主题 字符"/>
    <w:basedOn w:val="105"/>
    <w:link w:val="45"/>
    <w:qFormat/>
    <w:uiPriority w:val="99"/>
    <w:rPr>
      <w:rFonts w:ascii="宋体" w:hAnsi="宋体"/>
      <w:b/>
      <w:bCs/>
      <w:kern w:val="2"/>
      <w:sz w:val="28"/>
      <w:szCs w:val="28"/>
    </w:rPr>
  </w:style>
  <w:style w:type="character" w:customStyle="1" w:styleId="107">
    <w:name w:val="列表段落 字符1"/>
    <w:qFormat/>
    <w:uiPriority w:val="34"/>
    <w:rPr>
      <w:rFonts w:ascii="宋体" w:hAnsi="宋体" w:cs="宋体"/>
      <w:sz w:val="24"/>
      <w:szCs w:val="24"/>
    </w:rPr>
  </w:style>
  <w:style w:type="paragraph" w:customStyle="1" w:styleId="108">
    <w:name w:val="~正文"/>
    <w:link w:val="109"/>
    <w:qFormat/>
    <w:uiPriority w:val="0"/>
    <w:pPr>
      <w:spacing w:line="360" w:lineRule="auto"/>
      <w:ind w:firstLine="200" w:firstLineChars="200"/>
      <w:jc w:val="both"/>
    </w:pPr>
    <w:rPr>
      <w:rFonts w:ascii="宋体" w:hAnsi="宋体" w:eastAsia="宋体" w:cs="宋体"/>
      <w:sz w:val="24"/>
      <w:szCs w:val="24"/>
      <w:lang w:val="en-US" w:eastAsia="zh-CN" w:bidi="ar-SA"/>
    </w:rPr>
  </w:style>
  <w:style w:type="character" w:customStyle="1" w:styleId="109">
    <w:name w:val="~正文 字符"/>
    <w:basedOn w:val="49"/>
    <w:link w:val="108"/>
    <w:qFormat/>
    <w:uiPriority w:val="0"/>
    <w:rPr>
      <w:rFonts w:ascii="宋体" w:hAnsi="宋体" w:cs="宋体"/>
      <w:sz w:val="24"/>
      <w:szCs w:val="24"/>
    </w:rPr>
  </w:style>
  <w:style w:type="character" w:customStyle="1" w:styleId="110">
    <w:name w:val="正文文本缩进 字符"/>
    <w:basedOn w:val="49"/>
    <w:link w:val="25"/>
    <w:qFormat/>
    <w:uiPriority w:val="0"/>
    <w:rPr>
      <w:rFonts w:ascii="宋体" w:hAnsi="宋体"/>
      <w:kern w:val="2"/>
      <w:sz w:val="28"/>
      <w:szCs w:val="28"/>
    </w:rPr>
  </w:style>
  <w:style w:type="character" w:customStyle="1" w:styleId="111">
    <w:name w:val="正文文本首行缩进 2 字符"/>
    <w:basedOn w:val="110"/>
    <w:link w:val="46"/>
    <w:qFormat/>
    <w:uiPriority w:val="99"/>
    <w:rPr>
      <w:rFonts w:ascii="宋体" w:hAnsi="宋体"/>
      <w:kern w:val="2"/>
      <w:sz w:val="28"/>
      <w:szCs w:val="28"/>
    </w:rPr>
  </w:style>
  <w:style w:type="character" w:customStyle="1" w:styleId="112">
    <w:name w:val="__正文 Char"/>
    <w:basedOn w:val="49"/>
    <w:link w:val="90"/>
    <w:qFormat/>
    <w:uiPriority w:val="0"/>
    <w:rPr>
      <w:rFonts w:ascii="等线" w:hAnsi="等线" w:eastAsia="微软雅黑"/>
      <w:kern w:val="2"/>
      <w:sz w:val="21"/>
      <w:szCs w:val="21"/>
    </w:rPr>
  </w:style>
  <w:style w:type="character" w:customStyle="1" w:styleId="113">
    <w:name w:val="纯文本 字符"/>
    <w:basedOn w:val="49"/>
    <w:link w:val="29"/>
    <w:qFormat/>
    <w:uiPriority w:val="0"/>
    <w:rPr>
      <w:rFonts w:hAnsi="Courier New" w:cs="Courier New" w:asciiTheme="minorEastAsia" w:eastAsiaTheme="minorEastAsia"/>
      <w:kern w:val="2"/>
      <w:sz w:val="21"/>
    </w:rPr>
  </w:style>
  <w:style w:type="paragraph" w:customStyle="1" w:styleId="114">
    <w:name w:val="首行缩进"/>
    <w:basedOn w:val="1"/>
    <w:qFormat/>
    <w:uiPriority w:val="99"/>
    <w:pPr>
      <w:spacing w:line="240" w:lineRule="auto"/>
      <w:ind w:firstLine="480"/>
    </w:pPr>
    <w:rPr>
      <w:rFonts w:ascii="Times New Roman" w:hAnsi="Times New Roman"/>
      <w:kern w:val="0"/>
      <w:sz w:val="21"/>
      <w:szCs w:val="20"/>
      <w:lang w:val="zh-CN"/>
    </w:rPr>
  </w:style>
  <w:style w:type="paragraph" w:customStyle="1" w:styleId="115">
    <w:name w:val="段"/>
    <w:next w:val="1"/>
    <w:qFormat/>
    <w:uiPriority w:val="0"/>
    <w:pPr>
      <w:autoSpaceDE w:val="0"/>
      <w:autoSpaceDN w:val="0"/>
      <w:spacing w:beforeLines="50" w:afterLines="50" w:line="360" w:lineRule="auto"/>
      <w:ind w:firstLine="200" w:firstLineChars="200"/>
      <w:jc w:val="both"/>
    </w:pPr>
    <w:rPr>
      <w:rFonts w:ascii="宋体" w:hAnsi="Times New Roman" w:eastAsia="仿宋" w:cs="Times New Roman"/>
      <w:sz w:val="24"/>
      <w:lang w:val="en-US" w:eastAsia="zh-CN" w:bidi="ar-SA"/>
    </w:rPr>
  </w:style>
  <w:style w:type="paragraph" w:customStyle="1" w:styleId="116">
    <w:name w:val="正文格式"/>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character" w:customStyle="1" w:styleId="117">
    <w:name w:val="!我的正文 Ctr+Q Char"/>
    <w:link w:val="83"/>
    <w:qFormat/>
    <w:locked/>
    <w:uiPriority w:val="0"/>
    <w:rPr>
      <w:rFonts w:ascii="宋体" w:hAnsi="Calibri"/>
      <w:color w:val="000000"/>
      <w:kern w:val="2"/>
      <w:sz w:val="28"/>
      <w:szCs w:val="28"/>
    </w:rPr>
  </w:style>
  <w:style w:type="paragraph" w:customStyle="1" w:styleId="118">
    <w:name w:val="修订1"/>
    <w:hidden/>
    <w:semiHidden/>
    <w:qFormat/>
    <w:uiPriority w:val="99"/>
    <w:rPr>
      <w:rFonts w:ascii="宋体" w:hAnsi="宋体" w:eastAsia="宋体" w:cs="Times New Roman"/>
      <w:kern w:val="2"/>
      <w:sz w:val="28"/>
      <w:szCs w:val="28"/>
      <w:lang w:val="en-US" w:eastAsia="zh-CN" w:bidi="ar-SA"/>
    </w:rPr>
  </w:style>
  <w:style w:type="character" w:customStyle="1" w:styleId="119">
    <w:name w:val="未处理的提及3"/>
    <w:basedOn w:val="49"/>
    <w:semiHidden/>
    <w:unhideWhenUsed/>
    <w:qFormat/>
    <w:uiPriority w:val="99"/>
    <w:rPr>
      <w:color w:val="605E5C"/>
      <w:shd w:val="clear" w:color="auto" w:fill="E1DFDD"/>
    </w:rPr>
  </w:style>
  <w:style w:type="character" w:customStyle="1" w:styleId="120">
    <w:name w:val="font41"/>
    <w:basedOn w:val="49"/>
    <w:qFormat/>
    <w:uiPriority w:val="0"/>
    <w:rPr>
      <w:rFonts w:hint="eastAsia" w:ascii="宋体" w:hAnsi="宋体" w:eastAsia="宋体" w:cs="宋体"/>
      <w:color w:val="000000"/>
      <w:sz w:val="22"/>
      <w:szCs w:val="22"/>
      <w:u w:val="none"/>
    </w:rPr>
  </w:style>
  <w:style w:type="character" w:customStyle="1" w:styleId="121">
    <w:name w:val="font01"/>
    <w:basedOn w:val="49"/>
    <w:qFormat/>
    <w:uiPriority w:val="0"/>
    <w:rPr>
      <w:rFonts w:hint="eastAsia" w:ascii="宋体" w:hAnsi="宋体" w:eastAsia="宋体" w:cs="宋体"/>
      <w:color w:val="FF0000"/>
      <w:sz w:val="22"/>
      <w:szCs w:val="22"/>
      <w:u w:val="none"/>
    </w:rPr>
  </w:style>
  <w:style w:type="character" w:customStyle="1" w:styleId="122">
    <w:name w:val="font21"/>
    <w:basedOn w:val="49"/>
    <w:qFormat/>
    <w:uiPriority w:val="0"/>
    <w:rPr>
      <w:rFonts w:hint="eastAsia" w:ascii="宋体" w:hAnsi="宋体" w:eastAsia="宋体" w:cs="宋体"/>
      <w:color w:val="000000"/>
      <w:sz w:val="22"/>
      <w:szCs w:val="22"/>
      <w:u w:val="none"/>
    </w:rPr>
  </w:style>
  <w:style w:type="character" w:customStyle="1" w:styleId="123">
    <w:name w:val="font51"/>
    <w:basedOn w:val="49"/>
    <w:qFormat/>
    <w:uiPriority w:val="0"/>
    <w:rPr>
      <w:rFonts w:hint="eastAsia" w:ascii="宋体" w:hAnsi="宋体" w:eastAsia="宋体" w:cs="宋体"/>
      <w:color w:val="000000"/>
      <w:sz w:val="22"/>
      <w:szCs w:val="22"/>
      <w:u w:val="none"/>
    </w:rPr>
  </w:style>
  <w:style w:type="paragraph" w:customStyle="1" w:styleId="124">
    <w:name w:val="!RepPar_alt+p"/>
    <w:basedOn w:val="1"/>
    <w:qFormat/>
    <w:uiPriority w:val="0"/>
    <w:rPr>
      <w:rFonts w:asciiTheme="minorHAnsi" w:hAnsiTheme="minorHAnsi" w:eastAsiaTheme="minorEastAsia" w:cstheme="minorBidi"/>
      <w:sz w:val="24"/>
      <w:szCs w:val="24"/>
    </w:rPr>
  </w:style>
  <w:style w:type="paragraph" w:customStyle="1" w:styleId="125">
    <w:name w:val="无缩进正文"/>
    <w:basedOn w:val="1"/>
    <w:next w:val="1"/>
    <w:qFormat/>
    <w:uiPriority w:val="0"/>
    <w:pPr>
      <w:ind w:firstLine="0" w:firstLineChars="0"/>
    </w:pPr>
    <w:rPr>
      <w:rFonts w:ascii="Arial" w:hAnsi="Arial" w:eastAsia="仿宋_GB2312"/>
      <w:szCs w:val="32"/>
    </w:rPr>
  </w:style>
  <w:style w:type="character" w:customStyle="1" w:styleId="126">
    <w:name w:val="文档结构图 字符"/>
    <w:basedOn w:val="49"/>
    <w:link w:val="22"/>
    <w:qFormat/>
    <w:uiPriority w:val="99"/>
    <w:rPr>
      <w:rFonts w:ascii="宋体"/>
      <w:sz w:val="24"/>
      <w:szCs w:val="24"/>
    </w:rPr>
  </w:style>
  <w:style w:type="character" w:customStyle="1" w:styleId="127">
    <w:name w:val="日期 字符"/>
    <w:basedOn w:val="49"/>
    <w:link w:val="31"/>
    <w:qFormat/>
    <w:uiPriority w:val="0"/>
    <w:rPr>
      <w:kern w:val="2"/>
      <w:sz w:val="28"/>
    </w:rPr>
  </w:style>
  <w:style w:type="character" w:customStyle="1" w:styleId="128">
    <w:name w:val="正文文本缩进 2 字符"/>
    <w:basedOn w:val="49"/>
    <w:link w:val="32"/>
    <w:qFormat/>
    <w:uiPriority w:val="0"/>
    <w:rPr>
      <w:rFonts w:ascii="Arial" w:hAnsi="Arial" w:eastAsia="仿宋_GB2312"/>
      <w:kern w:val="2"/>
      <w:sz w:val="28"/>
      <w:szCs w:val="32"/>
    </w:rPr>
  </w:style>
  <w:style w:type="character" w:customStyle="1" w:styleId="129">
    <w:name w:val="批注框文本 字符"/>
    <w:basedOn w:val="49"/>
    <w:link w:val="33"/>
    <w:qFormat/>
    <w:uiPriority w:val="99"/>
    <w:rPr>
      <w:rFonts w:ascii="Arial" w:hAnsi="Arial" w:eastAsia="仿宋_GB2312"/>
      <w:kern w:val="2"/>
      <w:sz w:val="18"/>
      <w:szCs w:val="18"/>
    </w:rPr>
  </w:style>
  <w:style w:type="paragraph" w:customStyle="1" w:styleId="130">
    <w:name w:val="BodyText"/>
    <w:basedOn w:val="1"/>
    <w:qFormat/>
    <w:uiPriority w:val="0"/>
    <w:pPr>
      <w:widowControl/>
      <w:spacing w:after="120"/>
      <w:textAlignment w:val="baseline"/>
    </w:pPr>
    <w:rPr>
      <w:rFonts w:ascii="Times New Roman" w:hAnsi="Times New Roman"/>
      <w:szCs w:val="32"/>
    </w:rPr>
  </w:style>
  <w:style w:type="paragraph" w:customStyle="1" w:styleId="131">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32">
    <w:name w:val="Body Text First Indent 21"/>
    <w:basedOn w:val="1"/>
    <w:qFormat/>
    <w:uiPriority w:val="99"/>
    <w:pPr>
      <w:ind w:left="420" w:leftChars="200" w:firstLine="210"/>
    </w:pPr>
    <w:rPr>
      <w:rFonts w:ascii="Arial" w:hAnsi="Arial" w:eastAsia="仿宋_GB2312"/>
      <w:szCs w:val="32"/>
    </w:rPr>
  </w:style>
  <w:style w:type="paragraph" w:customStyle="1" w:styleId="133">
    <w:name w:val="样式 正文缩进 + 首行缩进:  2 字符"/>
    <w:basedOn w:val="20"/>
    <w:link w:val="337"/>
    <w:qFormat/>
    <w:uiPriority w:val="0"/>
    <w:pPr>
      <w:tabs>
        <w:tab w:val="left" w:pos="4480"/>
      </w:tabs>
      <w:spacing w:before="156" w:beforeLines="50"/>
      <w:ind w:firstLine="200"/>
    </w:pPr>
    <w:rPr>
      <w:rFonts w:cs="宋体"/>
      <w:kern w:val="2"/>
      <w:sz w:val="24"/>
    </w:rPr>
  </w:style>
  <w:style w:type="character" w:customStyle="1" w:styleId="134">
    <w:name w:val="正文文本首行缩进 2 字符1"/>
    <w:basedOn w:val="110"/>
    <w:qFormat/>
    <w:uiPriority w:val="99"/>
    <w:rPr>
      <w:rFonts w:hint="eastAsia" w:ascii="宋体" w:hAnsi="宋体" w:eastAsia="宋体" w:cs="宋体"/>
      <w:kern w:val="2"/>
      <w:sz w:val="21"/>
      <w:szCs w:val="24"/>
    </w:rPr>
  </w:style>
  <w:style w:type="paragraph" w:customStyle="1" w:styleId="135">
    <w:name w:val="正文 + 居中 段后: 0.5 行"/>
    <w:basedOn w:val="1"/>
    <w:qFormat/>
    <w:uiPriority w:val="0"/>
    <w:pPr>
      <w:spacing w:after="100" w:afterAutospacing="1"/>
      <w:ind w:firstLine="0" w:firstLineChars="0"/>
      <w:jc w:val="center"/>
    </w:pPr>
    <w:rPr>
      <w:rFonts w:ascii="Times New Roman" w:hAnsi="Times New Roman" w:cs="宋体"/>
      <w:sz w:val="24"/>
      <w:szCs w:val="24"/>
    </w:rPr>
  </w:style>
  <w:style w:type="paragraph" w:customStyle="1" w:styleId="136">
    <w:name w:val="一级标题"/>
    <w:basedOn w:val="5"/>
    <w:qFormat/>
    <w:uiPriority w:val="0"/>
    <w:pPr>
      <w:pageBreakBefore/>
      <w:spacing w:before="240" w:after="240" w:line="240" w:lineRule="auto"/>
      <w:ind w:hanging="432"/>
    </w:pPr>
    <w:rPr>
      <w:rFonts w:ascii="宋体" w:hAnsi="宋体" w:eastAsia="宋体"/>
      <w:kern w:val="2"/>
      <w:szCs w:val="32"/>
    </w:rPr>
  </w:style>
  <w:style w:type="paragraph" w:customStyle="1" w:styleId="137">
    <w:name w:val="二级标题"/>
    <w:basedOn w:val="6"/>
    <w:qFormat/>
    <w:uiPriority w:val="0"/>
    <w:pPr>
      <w:keepNext w:val="0"/>
      <w:keepLines w:val="0"/>
      <w:spacing w:before="240" w:after="240" w:line="240" w:lineRule="auto"/>
    </w:pPr>
    <w:rPr>
      <w:rFonts w:ascii="宋体" w:hAnsi="宋体" w:eastAsia="宋体"/>
      <w:szCs w:val="32"/>
    </w:rPr>
  </w:style>
  <w:style w:type="paragraph" w:customStyle="1" w:styleId="138">
    <w:name w:val="三级标题"/>
    <w:basedOn w:val="10"/>
    <w:qFormat/>
    <w:uiPriority w:val="0"/>
    <w:pPr>
      <w:keepNext w:val="0"/>
      <w:keepLines w:val="0"/>
      <w:spacing w:before="120" w:after="120" w:line="240" w:lineRule="auto"/>
      <w:ind w:right="280" w:rightChars="100"/>
    </w:pPr>
    <w:rPr>
      <w:rFonts w:ascii="宋体" w:hAnsi="宋体" w:eastAsia="宋体"/>
      <w:szCs w:val="32"/>
    </w:rPr>
  </w:style>
  <w:style w:type="paragraph" w:customStyle="1" w:styleId="139">
    <w:name w:val="五级标题"/>
    <w:basedOn w:val="13"/>
    <w:link w:val="140"/>
    <w:qFormat/>
    <w:uiPriority w:val="0"/>
    <w:pPr>
      <w:keepNext w:val="0"/>
      <w:keepLines w:val="0"/>
      <w:spacing w:before="120" w:after="120" w:line="240" w:lineRule="auto"/>
      <w:ind w:hanging="1008"/>
    </w:pPr>
    <w:rPr>
      <w:rFonts w:eastAsia="宋体" w:cs="宋体"/>
      <w:szCs w:val="32"/>
    </w:rPr>
  </w:style>
  <w:style w:type="character" w:customStyle="1" w:styleId="140">
    <w:name w:val="五级标题 字符"/>
    <w:link w:val="139"/>
    <w:qFormat/>
    <w:uiPriority w:val="0"/>
    <w:rPr>
      <w:rFonts w:ascii="宋体" w:hAnsi="宋体" w:cs="宋体"/>
      <w:b/>
      <w:kern w:val="2"/>
      <w:sz w:val="28"/>
      <w:szCs w:val="32"/>
    </w:rPr>
  </w:style>
  <w:style w:type="paragraph" w:customStyle="1" w:styleId="141">
    <w:name w:val="六级标题"/>
    <w:basedOn w:val="14"/>
    <w:qFormat/>
    <w:uiPriority w:val="0"/>
    <w:pPr>
      <w:spacing w:after="240" w:line="240" w:lineRule="auto"/>
      <w:ind w:left="0" w:hanging="1151"/>
    </w:pPr>
    <w:rPr>
      <w:rFonts w:cs="宋体"/>
      <w:bCs/>
      <w:szCs w:val="32"/>
    </w:rPr>
  </w:style>
  <w:style w:type="paragraph" w:customStyle="1" w:styleId="142">
    <w:name w:val="七级标题"/>
    <w:basedOn w:val="15"/>
    <w:next w:val="143"/>
    <w:link w:val="144"/>
    <w:qFormat/>
    <w:uiPriority w:val="0"/>
    <w:pPr>
      <w:spacing w:before="120" w:after="120" w:line="240" w:lineRule="auto"/>
      <w:ind w:left="0" w:firstLine="200" w:firstLineChars="200"/>
    </w:pPr>
    <w:rPr>
      <w:rFonts w:cs="宋体"/>
      <w:bCs/>
      <w:sz w:val="24"/>
    </w:rPr>
  </w:style>
  <w:style w:type="paragraph" w:customStyle="1" w:styleId="143">
    <w:name w:val="普通正文"/>
    <w:basedOn w:val="1"/>
    <w:qFormat/>
    <w:uiPriority w:val="0"/>
    <w:pPr>
      <w:adjustRightInd w:val="0"/>
      <w:spacing w:before="120" w:after="120" w:line="360" w:lineRule="atLeast"/>
      <w:ind w:firstLine="0" w:firstLineChars="0"/>
      <w:jc w:val="left"/>
      <w:textAlignment w:val="baseline"/>
    </w:pPr>
    <w:rPr>
      <w:rFonts w:ascii="Arial" w:hAnsi="Arial"/>
      <w:kern w:val="0"/>
      <w:sz w:val="24"/>
      <w:szCs w:val="20"/>
    </w:rPr>
  </w:style>
  <w:style w:type="character" w:customStyle="1" w:styleId="144">
    <w:name w:val="七级标题 Char"/>
    <w:link w:val="142"/>
    <w:qFormat/>
    <w:uiPriority w:val="0"/>
    <w:rPr>
      <w:rFonts w:ascii="宋体" w:hAnsi="宋体" w:cs="宋体"/>
      <w:b/>
      <w:bCs/>
      <w:kern w:val="2"/>
      <w:sz w:val="24"/>
      <w:szCs w:val="28"/>
    </w:rPr>
  </w:style>
  <w:style w:type="paragraph" w:customStyle="1" w:styleId="145">
    <w:name w:val="GP正文(首行缩进)"/>
    <w:basedOn w:val="1"/>
    <w:qFormat/>
    <w:uiPriority w:val="0"/>
    <w:pPr>
      <w:jc w:val="left"/>
    </w:pPr>
    <w:rPr>
      <w:rFonts w:ascii="Arial" w:hAnsi="Arial"/>
      <w:sz w:val="24"/>
      <w:szCs w:val="21"/>
    </w:rPr>
  </w:style>
  <w:style w:type="paragraph" w:customStyle="1" w:styleId="146">
    <w:name w:val="文章正文"/>
    <w:basedOn w:val="1"/>
    <w:qFormat/>
    <w:uiPriority w:val="0"/>
    <w:pPr>
      <w:snapToGrid w:val="0"/>
    </w:pPr>
    <w:rPr>
      <w:rFonts w:ascii="Times New Roman" w:hAnsi="Times New Roman" w:eastAsia="仿宋"/>
      <w:sz w:val="30"/>
      <w:szCs w:val="22"/>
    </w:rPr>
  </w:style>
  <w:style w:type="paragraph" w:customStyle="1" w:styleId="147">
    <w:name w:val="四号正文"/>
    <w:basedOn w:val="1"/>
    <w:qFormat/>
    <w:uiPriority w:val="0"/>
    <w:pPr>
      <w:widowControl/>
      <w:ind w:firstLine="560"/>
      <w:jc w:val="left"/>
    </w:pPr>
    <w:rPr>
      <w:rFonts w:ascii="Times New Roman" w:hAnsi="Times New Roman"/>
      <w:kern w:val="0"/>
    </w:rPr>
  </w:style>
  <w:style w:type="paragraph" w:customStyle="1" w:styleId="148">
    <w:name w:val="A-标题3级"/>
    <w:basedOn w:val="10"/>
    <w:qFormat/>
    <w:uiPriority w:val="0"/>
    <w:pPr>
      <w:keepNext w:val="0"/>
      <w:keepLines w:val="0"/>
      <w:spacing w:before="120" w:after="120" w:line="360" w:lineRule="auto"/>
    </w:pPr>
    <w:rPr>
      <w:rFonts w:ascii="宋体" w:hAnsi="宋体" w:eastAsia="宋体" w:cs="Calibri"/>
      <w:szCs w:val="32"/>
    </w:rPr>
  </w:style>
  <w:style w:type="paragraph" w:customStyle="1" w:styleId="149">
    <w:name w:val="*正文"/>
    <w:basedOn w:val="1"/>
    <w:qFormat/>
    <w:uiPriority w:val="0"/>
    <w:pPr>
      <w:widowControl/>
      <w:ind w:firstLine="0" w:firstLineChars="0"/>
      <w:jc w:val="left"/>
    </w:pPr>
    <w:rPr>
      <w:rFonts w:ascii="仿宋_GB2312" w:hAnsi="Times New Roman" w:eastAsia="仿宋_GB2312"/>
      <w:sz w:val="24"/>
    </w:rPr>
  </w:style>
  <w:style w:type="paragraph" w:customStyle="1" w:styleId="150">
    <w:name w:val="1.正文"/>
    <w:qFormat/>
    <w:uiPriority w:val="0"/>
    <w:pPr>
      <w:widowControl w:val="0"/>
      <w:adjustRightInd w:val="0"/>
      <w:spacing w:line="360" w:lineRule="auto"/>
      <w:jc w:val="both"/>
      <w:textAlignment w:val="baseline"/>
    </w:pPr>
    <w:rPr>
      <w:rFonts w:ascii="宋体" w:hAnsi="宋体" w:eastAsia="宋体" w:cs="Times New Roman"/>
      <w:sz w:val="21"/>
      <w:szCs w:val="22"/>
      <w:lang w:val="en-US" w:eastAsia="zh-CN" w:bidi="ar-SA"/>
    </w:rPr>
  </w:style>
  <w:style w:type="paragraph" w:customStyle="1" w:styleId="151">
    <w:name w:val="表格"/>
    <w:basedOn w:val="1"/>
    <w:qFormat/>
    <w:uiPriority w:val="0"/>
    <w:pPr>
      <w:jc w:val="center"/>
    </w:pPr>
    <w:rPr>
      <w:rFonts w:cs="Arial"/>
      <w:kern w:val="0"/>
      <w:szCs w:val="20"/>
    </w:rPr>
  </w:style>
  <w:style w:type="paragraph" w:customStyle="1" w:styleId="152">
    <w:name w:val="my-正文"/>
    <w:basedOn w:val="1"/>
    <w:qFormat/>
    <w:uiPriority w:val="0"/>
    <w:pPr>
      <w:spacing w:before="156" w:after="156"/>
      <w:ind w:left="420" w:firstLine="420"/>
    </w:pPr>
    <w:rPr>
      <w:rFonts w:ascii="Arial" w:hAnsi="Arial" w:eastAsia="仿宋_GB2312"/>
      <w:szCs w:val="32"/>
    </w:rPr>
  </w:style>
  <w:style w:type="paragraph" w:customStyle="1" w:styleId="153">
    <w:name w:val="列出段落2"/>
    <w:basedOn w:val="1"/>
    <w:next w:val="94"/>
    <w:qFormat/>
    <w:uiPriority w:val="34"/>
    <w:pPr>
      <w:ind w:firstLine="420"/>
    </w:pPr>
    <w:rPr>
      <w:rFonts w:ascii="Calibri" w:hAnsi="Calibri" w:eastAsia="仿宋_GB2312"/>
      <w:szCs w:val="32"/>
    </w:rPr>
  </w:style>
  <w:style w:type="paragraph" w:customStyle="1" w:styleId="154">
    <w:name w:val="仿宋"/>
    <w:basedOn w:val="1"/>
    <w:qFormat/>
    <w:uiPriority w:val="0"/>
    <w:pPr>
      <w:ind w:firstLine="560"/>
    </w:pPr>
    <w:rPr>
      <w:rFonts w:ascii="仿宋" w:hAnsi="仿宋" w:eastAsia="仿宋"/>
      <w:color w:val="000000" w:themeColor="text1"/>
      <w14:textFill>
        <w14:solidFill>
          <w14:schemeClr w14:val="tx1"/>
        </w14:solidFill>
      </w14:textFill>
    </w:rPr>
  </w:style>
  <w:style w:type="paragraph" w:customStyle="1" w:styleId="155">
    <w:name w:val="样式 样式 首行缩进:  2 字符 段前: 0.4 行 + 首行缩进:  2 字符"/>
    <w:basedOn w:val="1"/>
    <w:qFormat/>
    <w:uiPriority w:val="0"/>
    <w:pPr>
      <w:spacing w:before="20" w:beforeLines="20" w:after="20" w:line="420" w:lineRule="exact"/>
    </w:pPr>
    <w:rPr>
      <w:rFonts w:ascii="Arial" w:hAnsi="Arial" w:eastAsia="仿宋_GB2312"/>
      <w:szCs w:val="20"/>
    </w:rPr>
  </w:style>
  <w:style w:type="paragraph" w:customStyle="1" w:styleId="156">
    <w:name w:val="编号，小四"/>
    <w:basedOn w:val="1"/>
    <w:qFormat/>
    <w:uiPriority w:val="0"/>
    <w:pPr>
      <w:numPr>
        <w:ilvl w:val="0"/>
        <w:numId w:val="4"/>
      </w:numPr>
    </w:pPr>
    <w:rPr>
      <w:rFonts w:ascii="Arial" w:hAnsi="Arial" w:eastAsia="仿宋_GB2312"/>
    </w:rPr>
  </w:style>
  <w:style w:type="character" w:customStyle="1" w:styleId="157">
    <w:name w:val="font61"/>
    <w:basedOn w:val="49"/>
    <w:qFormat/>
    <w:uiPriority w:val="0"/>
    <w:rPr>
      <w:rFonts w:hint="eastAsia" w:ascii="宋体" w:hAnsi="宋体" w:eastAsia="宋体" w:cs="宋体"/>
      <w:color w:val="0000FF"/>
      <w:sz w:val="22"/>
      <w:szCs w:val="22"/>
      <w:u w:val="none"/>
    </w:rPr>
  </w:style>
  <w:style w:type="character" w:customStyle="1" w:styleId="158">
    <w:name w:val="font71"/>
    <w:basedOn w:val="49"/>
    <w:qFormat/>
    <w:uiPriority w:val="0"/>
    <w:rPr>
      <w:rFonts w:hint="default" w:ascii="Calibri" w:hAnsi="Calibri" w:cs="Calibri"/>
      <w:color w:val="000000"/>
      <w:sz w:val="21"/>
      <w:szCs w:val="21"/>
      <w:u w:val="none"/>
    </w:rPr>
  </w:style>
  <w:style w:type="character" w:customStyle="1" w:styleId="159">
    <w:name w:val="font81"/>
    <w:basedOn w:val="49"/>
    <w:qFormat/>
    <w:uiPriority w:val="0"/>
    <w:rPr>
      <w:rFonts w:hint="default" w:ascii="Times New Roman" w:hAnsi="Times New Roman" w:cs="Times New Roman"/>
      <w:color w:val="000000"/>
      <w:sz w:val="21"/>
      <w:szCs w:val="21"/>
      <w:u w:val="none"/>
    </w:rPr>
  </w:style>
  <w:style w:type="paragraph" w:customStyle="1" w:styleId="160">
    <w:name w:val="正文_954"/>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文档正文"/>
    <w:basedOn w:val="1"/>
    <w:qFormat/>
    <w:uiPriority w:val="0"/>
    <w:pPr>
      <w:spacing w:line="240" w:lineRule="auto"/>
      <w:ind w:firstLine="0" w:firstLineChars="0"/>
    </w:pPr>
    <w:rPr>
      <w:rFonts w:ascii="Arial" w:hAnsi="Arial" w:cs="Arial"/>
      <w:bCs/>
      <w:sz w:val="24"/>
      <w:szCs w:val="24"/>
    </w:rPr>
  </w:style>
  <w:style w:type="paragraph" w:customStyle="1" w:styleId="162">
    <w:name w:val="列出段落1"/>
    <w:basedOn w:val="1"/>
    <w:qFormat/>
    <w:uiPriority w:val="34"/>
    <w:pPr>
      <w:adjustRightInd w:val="0"/>
      <w:spacing w:line="312" w:lineRule="atLeast"/>
      <w:ind w:firstLine="420"/>
      <w:textAlignment w:val="baseline"/>
    </w:pPr>
    <w:rPr>
      <w:rFonts w:ascii="Cambria" w:hAnsi="Cambria" w:eastAsia="仿宋_GB2312"/>
      <w:sz w:val="21"/>
      <w:szCs w:val="22"/>
    </w:rPr>
  </w:style>
  <w:style w:type="paragraph" w:customStyle="1" w:styleId="163">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164">
    <w:name w:val="xl109"/>
    <w:basedOn w:val="1"/>
    <w:qFormat/>
    <w:uiPriority w:val="0"/>
    <w:pPr>
      <w:widowControl/>
      <w:spacing w:before="100" w:beforeAutospacing="1" w:after="100" w:afterAutospacing="1" w:line="240" w:lineRule="auto"/>
      <w:ind w:firstLine="0" w:firstLineChars="0"/>
      <w:jc w:val="left"/>
    </w:pPr>
    <w:rPr>
      <w:rFonts w:cs="宋体"/>
      <w:kern w:val="0"/>
      <w:sz w:val="16"/>
      <w:szCs w:val="16"/>
    </w:rPr>
  </w:style>
  <w:style w:type="paragraph" w:customStyle="1" w:styleId="165">
    <w:name w:val="xl110"/>
    <w:basedOn w:val="1"/>
    <w:qFormat/>
    <w:uiPriority w:val="0"/>
    <w:pPr>
      <w:widowControl/>
      <w:spacing w:before="100" w:beforeAutospacing="1" w:after="100" w:afterAutospacing="1" w:line="240" w:lineRule="auto"/>
      <w:ind w:firstLine="0" w:firstLineChars="0"/>
      <w:jc w:val="left"/>
    </w:pPr>
    <w:rPr>
      <w:rFonts w:cs="宋体"/>
      <w:kern w:val="0"/>
      <w:sz w:val="16"/>
      <w:szCs w:val="16"/>
    </w:rPr>
  </w:style>
  <w:style w:type="paragraph" w:customStyle="1" w:styleId="166">
    <w:name w:val="xl111"/>
    <w:basedOn w:val="1"/>
    <w:qFormat/>
    <w:uiPriority w:val="0"/>
    <w:pPr>
      <w:widowControl/>
      <w:spacing w:before="100" w:beforeAutospacing="1" w:after="100" w:afterAutospacing="1" w:line="240" w:lineRule="auto"/>
      <w:ind w:firstLine="0" w:firstLineChars="0"/>
      <w:jc w:val="left"/>
      <w:textAlignment w:val="top"/>
    </w:pPr>
    <w:rPr>
      <w:rFonts w:cs="宋体"/>
      <w:kern w:val="0"/>
      <w:sz w:val="16"/>
      <w:szCs w:val="16"/>
    </w:rPr>
  </w:style>
  <w:style w:type="paragraph" w:customStyle="1" w:styleId="167">
    <w:name w:val="xl112"/>
    <w:basedOn w:val="1"/>
    <w:qFormat/>
    <w:uiPriority w:val="0"/>
    <w:pPr>
      <w:widowControl/>
      <w:spacing w:before="100" w:beforeAutospacing="1" w:after="100" w:afterAutospacing="1" w:line="240" w:lineRule="auto"/>
      <w:ind w:firstLine="0" w:firstLineChars="0"/>
      <w:jc w:val="center"/>
    </w:pPr>
    <w:rPr>
      <w:rFonts w:cs="宋体"/>
      <w:kern w:val="0"/>
      <w:sz w:val="16"/>
      <w:szCs w:val="16"/>
    </w:rPr>
  </w:style>
  <w:style w:type="paragraph" w:customStyle="1" w:styleId="168">
    <w:name w:val="xl113"/>
    <w:basedOn w:val="1"/>
    <w:qFormat/>
    <w:uiPriority w:val="0"/>
    <w:pPr>
      <w:widowControl/>
      <w:spacing w:before="100" w:beforeAutospacing="1" w:after="100" w:afterAutospacing="1" w:line="240" w:lineRule="auto"/>
      <w:ind w:firstLine="0" w:firstLineChars="0"/>
      <w:jc w:val="center"/>
    </w:pPr>
    <w:rPr>
      <w:rFonts w:cs="宋体"/>
      <w:kern w:val="0"/>
      <w:sz w:val="16"/>
      <w:szCs w:val="16"/>
    </w:rPr>
  </w:style>
  <w:style w:type="paragraph" w:customStyle="1" w:styleId="169">
    <w:name w:val="xl11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70">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71">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7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cs="宋体"/>
      <w:color w:val="000000"/>
      <w:kern w:val="0"/>
      <w:sz w:val="18"/>
      <w:szCs w:val="18"/>
    </w:rPr>
  </w:style>
  <w:style w:type="paragraph" w:customStyle="1" w:styleId="17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74">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7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7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77">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18"/>
      <w:szCs w:val="18"/>
    </w:rPr>
  </w:style>
  <w:style w:type="paragraph" w:customStyle="1" w:styleId="178">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pPr>
    <w:rPr>
      <w:rFonts w:cs="宋体"/>
      <w:b/>
      <w:bCs/>
      <w:color w:val="000000"/>
      <w:kern w:val="0"/>
      <w:sz w:val="24"/>
      <w:szCs w:val="24"/>
    </w:rPr>
  </w:style>
  <w:style w:type="paragraph" w:customStyle="1" w:styleId="179">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pPr>
    <w:rPr>
      <w:rFonts w:cs="宋体"/>
      <w:b/>
      <w:bCs/>
      <w:color w:val="000000"/>
      <w:kern w:val="0"/>
      <w:sz w:val="24"/>
      <w:szCs w:val="24"/>
    </w:rPr>
  </w:style>
  <w:style w:type="paragraph" w:customStyle="1" w:styleId="180">
    <w:name w:val="xl125"/>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line="240" w:lineRule="auto"/>
      <w:ind w:firstLine="0" w:firstLineChars="0"/>
      <w:jc w:val="center"/>
    </w:pPr>
    <w:rPr>
      <w:rFonts w:cs="宋体"/>
      <w:b/>
      <w:bCs/>
      <w:kern w:val="0"/>
      <w:sz w:val="24"/>
      <w:szCs w:val="24"/>
    </w:rPr>
  </w:style>
  <w:style w:type="paragraph" w:customStyle="1" w:styleId="181">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pPr>
    <w:rPr>
      <w:rFonts w:cs="宋体"/>
      <w:b/>
      <w:bCs/>
      <w:color w:val="000000"/>
      <w:kern w:val="0"/>
      <w:sz w:val="24"/>
      <w:szCs w:val="24"/>
    </w:rPr>
  </w:style>
  <w:style w:type="paragraph" w:customStyle="1" w:styleId="182">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pPr>
    <w:rPr>
      <w:rFonts w:cs="宋体"/>
      <w:b/>
      <w:bCs/>
      <w:kern w:val="0"/>
      <w:sz w:val="24"/>
      <w:szCs w:val="24"/>
    </w:rPr>
  </w:style>
  <w:style w:type="paragraph" w:customStyle="1" w:styleId="183">
    <w:name w:val="xl12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84">
    <w:name w:val="xl12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85">
    <w:name w:val="xl13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86">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18"/>
      <w:szCs w:val="18"/>
    </w:rPr>
  </w:style>
  <w:style w:type="paragraph" w:customStyle="1" w:styleId="187">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88">
    <w:name w:val="Table Paragraph"/>
    <w:basedOn w:val="1"/>
    <w:qFormat/>
    <w:uiPriority w:val="1"/>
    <w:rPr>
      <w:rFonts w:cs="宋体"/>
      <w:szCs w:val="32"/>
    </w:rPr>
  </w:style>
  <w:style w:type="paragraph" w:customStyle="1" w:styleId="189">
    <w:name w:val="font6"/>
    <w:basedOn w:val="1"/>
    <w:qFormat/>
    <w:uiPriority w:val="0"/>
    <w:pPr>
      <w:widowControl/>
      <w:spacing w:before="100" w:beforeAutospacing="1" w:after="100" w:afterAutospacing="1" w:line="240" w:lineRule="auto"/>
      <w:ind w:firstLine="0" w:firstLineChars="0"/>
      <w:jc w:val="left"/>
    </w:pPr>
    <w:rPr>
      <w:rFonts w:cs="宋体"/>
      <w:color w:val="000000"/>
      <w:kern w:val="0"/>
      <w:sz w:val="21"/>
      <w:szCs w:val="21"/>
    </w:rPr>
  </w:style>
  <w:style w:type="paragraph" w:customStyle="1" w:styleId="190">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21"/>
      <w:szCs w:val="21"/>
    </w:rPr>
  </w:style>
  <w:style w:type="paragraph" w:customStyle="1" w:styleId="191">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kern w:val="0"/>
      <w:sz w:val="21"/>
      <w:szCs w:val="21"/>
    </w:rPr>
  </w:style>
  <w:style w:type="paragraph" w:customStyle="1" w:styleId="192">
    <w:name w:val="xl13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cs="宋体"/>
      <w:kern w:val="0"/>
      <w:sz w:val="21"/>
      <w:szCs w:val="21"/>
    </w:rPr>
  </w:style>
  <w:style w:type="paragraph" w:customStyle="1" w:styleId="193">
    <w:name w:val="xl13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cs="宋体"/>
      <w:kern w:val="0"/>
      <w:sz w:val="21"/>
      <w:szCs w:val="21"/>
    </w:rPr>
  </w:style>
  <w:style w:type="paragraph" w:customStyle="1" w:styleId="194">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kern w:val="0"/>
      <w:sz w:val="21"/>
      <w:szCs w:val="21"/>
    </w:rPr>
  </w:style>
  <w:style w:type="paragraph" w:customStyle="1" w:styleId="195">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kern w:val="0"/>
      <w:sz w:val="21"/>
      <w:szCs w:val="21"/>
    </w:rPr>
  </w:style>
  <w:style w:type="paragraph" w:customStyle="1" w:styleId="196">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kern w:val="0"/>
      <w:sz w:val="21"/>
      <w:szCs w:val="21"/>
    </w:rPr>
  </w:style>
  <w:style w:type="paragraph" w:customStyle="1" w:styleId="197">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1"/>
      <w:szCs w:val="21"/>
    </w:rPr>
  </w:style>
  <w:style w:type="paragraph" w:customStyle="1" w:styleId="198">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EFEFE"/>
      <w:spacing w:before="100" w:beforeAutospacing="1" w:after="100" w:afterAutospacing="1" w:line="240" w:lineRule="auto"/>
      <w:ind w:firstLine="0" w:firstLineChars="0"/>
    </w:pPr>
    <w:rPr>
      <w:rFonts w:cs="宋体"/>
      <w:color w:val="000000"/>
      <w:kern w:val="0"/>
      <w:sz w:val="21"/>
      <w:szCs w:val="21"/>
    </w:rPr>
  </w:style>
  <w:style w:type="paragraph" w:customStyle="1" w:styleId="199">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EFEFE"/>
      <w:spacing w:before="100" w:beforeAutospacing="1" w:after="100" w:afterAutospacing="1" w:line="240" w:lineRule="auto"/>
      <w:ind w:firstLine="0" w:firstLineChars="0"/>
    </w:pPr>
    <w:rPr>
      <w:rFonts w:cs="宋体"/>
      <w:color w:val="000000"/>
      <w:kern w:val="0"/>
      <w:sz w:val="21"/>
      <w:szCs w:val="21"/>
    </w:rPr>
  </w:style>
  <w:style w:type="paragraph" w:customStyle="1" w:styleId="20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0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1"/>
      <w:szCs w:val="21"/>
    </w:rPr>
  </w:style>
  <w:style w:type="paragraph" w:customStyle="1" w:styleId="202">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1"/>
      <w:szCs w:val="21"/>
    </w:rPr>
  </w:style>
  <w:style w:type="paragraph" w:customStyle="1" w:styleId="203">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1"/>
      <w:szCs w:val="21"/>
    </w:rPr>
  </w:style>
  <w:style w:type="paragraph" w:customStyle="1" w:styleId="204">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05">
    <w:name w:val="xl14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06">
    <w:name w:val="xl14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07">
    <w:name w:val="xl15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1"/>
      <w:szCs w:val="21"/>
    </w:rPr>
  </w:style>
  <w:style w:type="paragraph" w:customStyle="1" w:styleId="208">
    <w:name w:val="xl151"/>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1"/>
      <w:szCs w:val="21"/>
    </w:rPr>
  </w:style>
  <w:style w:type="paragraph" w:customStyle="1" w:styleId="209">
    <w:name w:val="xl15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1"/>
      <w:szCs w:val="21"/>
    </w:rPr>
  </w:style>
  <w:style w:type="paragraph" w:customStyle="1" w:styleId="210">
    <w:name w:val="xl15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b/>
      <w:bCs/>
      <w:i/>
      <w:iCs/>
      <w:kern w:val="0"/>
      <w:sz w:val="21"/>
      <w:szCs w:val="21"/>
    </w:rPr>
  </w:style>
  <w:style w:type="paragraph" w:customStyle="1" w:styleId="211">
    <w:name w:val="xl15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cs="宋体"/>
      <w:b/>
      <w:bCs/>
      <w:i/>
      <w:iCs/>
      <w:kern w:val="0"/>
      <w:sz w:val="21"/>
      <w:szCs w:val="21"/>
    </w:rPr>
  </w:style>
  <w:style w:type="paragraph" w:customStyle="1" w:styleId="212">
    <w:name w:val="xl15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i/>
      <w:iCs/>
      <w:kern w:val="0"/>
      <w:sz w:val="21"/>
      <w:szCs w:val="21"/>
    </w:rPr>
  </w:style>
  <w:style w:type="paragraph" w:customStyle="1" w:styleId="213">
    <w:name w:val="xl15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b/>
      <w:bCs/>
      <w:i/>
      <w:iCs/>
      <w:kern w:val="0"/>
      <w:sz w:val="21"/>
      <w:szCs w:val="21"/>
    </w:rPr>
  </w:style>
  <w:style w:type="paragraph" w:customStyle="1" w:styleId="214">
    <w:name w:val="xl15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cs="宋体"/>
      <w:b/>
      <w:bCs/>
      <w:i/>
      <w:iCs/>
      <w:kern w:val="0"/>
      <w:sz w:val="21"/>
      <w:szCs w:val="21"/>
    </w:rPr>
  </w:style>
  <w:style w:type="paragraph" w:customStyle="1" w:styleId="215">
    <w:name w:val="xl15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i/>
      <w:iCs/>
      <w:kern w:val="0"/>
      <w:sz w:val="21"/>
      <w:szCs w:val="21"/>
    </w:rPr>
  </w:style>
  <w:style w:type="paragraph" w:customStyle="1" w:styleId="216">
    <w:name w:val="xl159"/>
    <w:basedOn w:val="1"/>
    <w:qFormat/>
    <w:uiPriority w:val="0"/>
    <w:pPr>
      <w:widowControl/>
      <w:pBdr>
        <w:top w:val="single" w:color="auto" w:sz="4" w:space="0"/>
        <w:left w:val="single" w:color="auto" w:sz="4" w:space="0"/>
        <w:right w:val="single" w:color="auto" w:sz="4" w:space="0"/>
      </w:pBdr>
      <w:shd w:val="clear" w:color="000000" w:fill="FEFEFE"/>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17">
    <w:name w:val="xl160"/>
    <w:basedOn w:val="1"/>
    <w:qFormat/>
    <w:uiPriority w:val="0"/>
    <w:pPr>
      <w:widowControl/>
      <w:pBdr>
        <w:left w:val="single" w:color="auto" w:sz="4" w:space="0"/>
        <w:right w:val="single" w:color="auto" w:sz="4" w:space="0"/>
      </w:pBdr>
      <w:shd w:val="clear" w:color="000000" w:fill="FEFEFE"/>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18">
    <w:name w:val="xl161"/>
    <w:basedOn w:val="1"/>
    <w:qFormat/>
    <w:uiPriority w:val="0"/>
    <w:pPr>
      <w:widowControl/>
      <w:pBdr>
        <w:left w:val="single" w:color="auto" w:sz="4" w:space="0"/>
        <w:bottom w:val="single" w:color="auto" w:sz="4" w:space="0"/>
        <w:right w:val="single" w:color="auto" w:sz="4" w:space="0"/>
      </w:pBdr>
      <w:shd w:val="clear" w:color="000000" w:fill="FEFEFE"/>
      <w:spacing w:before="100" w:beforeAutospacing="1" w:after="100" w:afterAutospacing="1" w:line="240" w:lineRule="auto"/>
      <w:ind w:firstLine="0" w:firstLineChars="0"/>
      <w:jc w:val="center"/>
    </w:pPr>
    <w:rPr>
      <w:rFonts w:cs="宋体"/>
      <w:color w:val="000000"/>
      <w:kern w:val="0"/>
      <w:sz w:val="21"/>
      <w:szCs w:val="21"/>
    </w:rPr>
  </w:style>
  <w:style w:type="paragraph" w:customStyle="1" w:styleId="219">
    <w:name w:val="xl162"/>
    <w:basedOn w:val="1"/>
    <w:qFormat/>
    <w:uiPriority w:val="0"/>
    <w:pPr>
      <w:widowControl/>
      <w:pBdr>
        <w:bottom w:val="single" w:color="auto" w:sz="4" w:space="0"/>
      </w:pBdr>
      <w:spacing w:before="100" w:beforeAutospacing="1" w:after="100" w:afterAutospacing="1" w:line="240" w:lineRule="auto"/>
      <w:ind w:firstLine="0" w:firstLineChars="0"/>
      <w:jc w:val="center"/>
    </w:pPr>
    <w:rPr>
      <w:rFonts w:cs="宋体"/>
      <w:b/>
      <w:bCs/>
      <w:kern w:val="0"/>
      <w:sz w:val="21"/>
      <w:szCs w:val="21"/>
    </w:rPr>
  </w:style>
  <w:style w:type="paragraph" w:customStyle="1" w:styleId="220">
    <w:name w:val="xl16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b/>
      <w:bCs/>
      <w:kern w:val="0"/>
      <w:sz w:val="21"/>
      <w:szCs w:val="21"/>
    </w:rPr>
  </w:style>
  <w:style w:type="paragraph" w:customStyle="1" w:styleId="221">
    <w:name w:val="xl16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cs="宋体"/>
      <w:b/>
      <w:bCs/>
      <w:kern w:val="0"/>
      <w:sz w:val="21"/>
      <w:szCs w:val="21"/>
    </w:rPr>
  </w:style>
  <w:style w:type="paragraph" w:customStyle="1" w:styleId="222">
    <w:name w:val="xl1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21"/>
      <w:szCs w:val="21"/>
    </w:rPr>
  </w:style>
  <w:style w:type="paragraph" w:customStyle="1" w:styleId="223">
    <w:name w:val="msolistparagraph"/>
    <w:basedOn w:val="1"/>
    <w:qFormat/>
    <w:uiPriority w:val="0"/>
    <w:pPr>
      <w:spacing w:line="240" w:lineRule="auto"/>
      <w:ind w:firstLine="420"/>
    </w:pPr>
    <w:rPr>
      <w:rFonts w:ascii="Times New Roman" w:hAnsi="Times New Roman" w:eastAsia="仿宋_GB2312"/>
      <w:sz w:val="32"/>
      <w:szCs w:val="22"/>
    </w:rPr>
  </w:style>
  <w:style w:type="character" w:customStyle="1" w:styleId="224">
    <w:name w:val="未处理的提及11"/>
    <w:basedOn w:val="49"/>
    <w:qFormat/>
    <w:uiPriority w:val="0"/>
    <w:rPr>
      <w:color w:val="605E5C"/>
      <w:shd w:val="clear" w:color="auto" w:fill="E1DFDD"/>
    </w:rPr>
  </w:style>
  <w:style w:type="paragraph" w:customStyle="1" w:styleId="225">
    <w:name w:val="内容正文"/>
    <w:basedOn w:val="1"/>
    <w:qFormat/>
    <w:uiPriority w:val="0"/>
    <w:pPr>
      <w:widowControl/>
      <w:spacing w:beforeLines="50"/>
      <w:ind w:firstLine="420"/>
      <w:jc w:val="left"/>
    </w:pPr>
    <w:rPr>
      <w:rFonts w:ascii="Arial" w:hAnsi="Arial"/>
      <w:sz w:val="24"/>
      <w:szCs w:val="21"/>
    </w:rPr>
  </w:style>
  <w:style w:type="paragraph" w:customStyle="1" w:styleId="226">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227">
    <w:name w:val="0正文"/>
    <w:basedOn w:val="1"/>
    <w:qFormat/>
    <w:uiPriority w:val="0"/>
    <w:pPr>
      <w:spacing w:beforeLines="50"/>
    </w:pPr>
    <w:rPr>
      <w:rFonts w:ascii="Arial" w:hAnsi="Arial" w:eastAsia="华文中宋"/>
      <w:sz w:val="24"/>
      <w:szCs w:val="32"/>
    </w:rPr>
  </w:style>
  <w:style w:type="character" w:customStyle="1" w:styleId="228">
    <w:name w:val="font31"/>
    <w:basedOn w:val="49"/>
    <w:qFormat/>
    <w:uiPriority w:val="0"/>
    <w:rPr>
      <w:rFonts w:hint="eastAsia" w:ascii="宋体" w:hAnsi="宋体" w:eastAsia="宋体" w:cs="宋体"/>
      <w:color w:val="000000"/>
      <w:sz w:val="20"/>
      <w:szCs w:val="20"/>
      <w:u w:val="none"/>
    </w:rPr>
  </w:style>
  <w:style w:type="character" w:customStyle="1" w:styleId="229">
    <w:name w:val="font101"/>
    <w:basedOn w:val="49"/>
    <w:qFormat/>
    <w:uiPriority w:val="0"/>
    <w:rPr>
      <w:rFonts w:ascii="Arial" w:hAnsi="Arial" w:cs="Arial"/>
      <w:color w:val="000000"/>
      <w:sz w:val="20"/>
      <w:szCs w:val="20"/>
      <w:u w:val="none"/>
    </w:rPr>
  </w:style>
  <w:style w:type="character" w:customStyle="1" w:styleId="230">
    <w:name w:val="未处理的提及4"/>
    <w:basedOn w:val="49"/>
    <w:semiHidden/>
    <w:unhideWhenUsed/>
    <w:qFormat/>
    <w:uiPriority w:val="99"/>
    <w:rPr>
      <w:color w:val="605E5C"/>
      <w:shd w:val="clear" w:color="auto" w:fill="E1DFDD"/>
    </w:rPr>
  </w:style>
  <w:style w:type="character" w:customStyle="1" w:styleId="231">
    <w:name w:val="font91"/>
    <w:basedOn w:val="49"/>
    <w:qFormat/>
    <w:uiPriority w:val="0"/>
    <w:rPr>
      <w:rFonts w:ascii="Arial" w:hAnsi="Arial" w:cs="Arial"/>
      <w:color w:val="000000"/>
      <w:sz w:val="20"/>
      <w:szCs w:val="20"/>
      <w:u w:val="none"/>
    </w:rPr>
  </w:style>
  <w:style w:type="paragraph" w:customStyle="1" w:styleId="232">
    <w:name w:val="标题 2（绿盟科技）"/>
    <w:basedOn w:val="6"/>
    <w:next w:val="233"/>
    <w:qFormat/>
    <w:uiPriority w:val="0"/>
    <w:pPr>
      <w:keepNext w:val="0"/>
      <w:keepLines w:val="0"/>
      <w:spacing w:line="415" w:lineRule="auto"/>
      <w:ind w:left="907" w:hanging="907"/>
      <w:jc w:val="left"/>
    </w:pPr>
    <w:rPr>
      <w:rFonts w:ascii="Arial" w:hAnsi="Arial" w:eastAsia="黑体"/>
      <w:sz w:val="28"/>
      <w:szCs w:val="32"/>
    </w:rPr>
  </w:style>
  <w:style w:type="paragraph" w:customStyle="1" w:styleId="233">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34">
    <w:name w:val="正文 缩进2字符"/>
    <w:basedOn w:val="1"/>
    <w:qFormat/>
    <w:uiPriority w:val="0"/>
    <w:pPr>
      <w:spacing w:after="218"/>
      <w:ind w:firstLine="480"/>
    </w:pPr>
    <w:rPr>
      <w:rFonts w:ascii="Arial" w:hAnsi="Arial" w:cs="宋体"/>
      <w:szCs w:val="20"/>
    </w:rPr>
  </w:style>
  <w:style w:type="paragraph" w:customStyle="1" w:styleId="235">
    <w:name w:val="_正文段落"/>
    <w:basedOn w:val="1"/>
    <w:next w:val="1"/>
    <w:qFormat/>
    <w:uiPriority w:val="0"/>
    <w:pPr>
      <w:spacing w:beforeLines="15" w:afterLines="15"/>
      <w:ind w:firstLine="560"/>
    </w:pPr>
    <w:rPr>
      <w:rFonts w:ascii="仿宋" w:hAnsi="仿宋" w:eastAsia="仿宋_GB2312"/>
      <w:kern w:val="0"/>
    </w:rPr>
  </w:style>
  <w:style w:type="paragraph" w:customStyle="1" w:styleId="236">
    <w:name w:val="居中"/>
    <w:next w:val="1"/>
    <w:qFormat/>
    <w:uiPriority w:val="0"/>
    <w:pPr>
      <w:jc w:val="center"/>
    </w:pPr>
    <w:rPr>
      <w:rFonts w:ascii="Arial" w:hAnsi="Arial" w:cs="Arial" w:eastAsiaTheme="minorEastAsia"/>
      <w:szCs w:val="18"/>
      <w:lang w:val="en-US" w:eastAsia="zh-CN" w:bidi="ar-SA"/>
    </w:rPr>
  </w:style>
  <w:style w:type="paragraph" w:customStyle="1" w:styleId="237">
    <w:name w:val="图"/>
    <w:next w:val="1"/>
    <w:qFormat/>
    <w:uiPriority w:val="0"/>
    <w:pPr>
      <w:spacing w:line="360" w:lineRule="auto"/>
      <w:jc w:val="center"/>
    </w:pPr>
    <w:rPr>
      <w:rFonts w:ascii="Arial" w:hAnsi="Arial" w:cs="宋体" w:eastAsiaTheme="minorEastAsia"/>
      <w:sz w:val="24"/>
      <w:szCs w:val="28"/>
      <w:lang w:val="en-US" w:eastAsia="zh-CN" w:bidi="ar-SA"/>
    </w:rPr>
  </w:style>
  <w:style w:type="paragraph" w:customStyle="1" w:styleId="238">
    <w:name w:val="表格(五号)"/>
    <w:basedOn w:val="1"/>
    <w:qFormat/>
    <w:uiPriority w:val="0"/>
    <w:pPr>
      <w:snapToGrid w:val="0"/>
      <w:spacing w:before="60" w:after="60" w:line="240" w:lineRule="auto"/>
      <w:ind w:left="11" w:firstLine="0" w:firstLineChars="0"/>
      <w:jc w:val="center"/>
    </w:pPr>
    <w:rPr>
      <w:rFonts w:ascii="Arial" w:hAnsi="Arial" w:eastAsia="仿宋_GB2312"/>
      <w:kern w:val="0"/>
      <w:sz w:val="21"/>
      <w:szCs w:val="20"/>
    </w:rPr>
  </w:style>
  <w:style w:type="character" w:customStyle="1" w:styleId="239">
    <w:name w:val="font112"/>
    <w:basedOn w:val="49"/>
    <w:qFormat/>
    <w:uiPriority w:val="0"/>
    <w:rPr>
      <w:rFonts w:ascii="Arial" w:hAnsi="Arial" w:cs="Arial"/>
      <w:color w:val="000000"/>
      <w:sz w:val="20"/>
      <w:szCs w:val="20"/>
      <w:u w:val="none"/>
    </w:rPr>
  </w:style>
  <w:style w:type="paragraph" w:customStyle="1" w:styleId="240">
    <w:name w:val="_Style 7"/>
    <w:basedOn w:val="5"/>
    <w:next w:val="1"/>
    <w:qFormat/>
    <w:uiPriority w:val="39"/>
    <w:pPr>
      <w:widowControl/>
      <w:numPr>
        <w:numId w:val="0"/>
      </w:numPr>
      <w:tabs>
        <w:tab w:val="left" w:pos="425"/>
      </w:tabs>
      <w:spacing w:before="480" w:after="0" w:line="276" w:lineRule="auto"/>
      <w:jc w:val="left"/>
      <w:outlineLvl w:val="9"/>
    </w:pPr>
    <w:rPr>
      <w:rFonts w:ascii="Cambria" w:hAnsi="Cambria" w:eastAsia="宋体"/>
      <w:b w:val="0"/>
      <w:color w:val="365F91"/>
      <w:kern w:val="0"/>
      <w:sz w:val="28"/>
    </w:rPr>
  </w:style>
  <w:style w:type="paragraph" w:customStyle="1" w:styleId="241">
    <w:name w:val="_标题1"/>
    <w:basedOn w:val="1"/>
    <w:next w:val="1"/>
    <w:qFormat/>
    <w:uiPriority w:val="0"/>
    <w:pPr>
      <w:keepNext/>
      <w:pageBreakBefore/>
      <w:numPr>
        <w:ilvl w:val="0"/>
        <w:numId w:val="5"/>
      </w:numPr>
      <w:spacing w:before="50" w:beforeLines="50" w:after="50" w:afterLines="50"/>
      <w:ind w:firstLineChars="0"/>
      <w:jc w:val="center"/>
      <w:outlineLvl w:val="0"/>
    </w:pPr>
    <w:rPr>
      <w:b/>
      <w:sz w:val="44"/>
      <w:szCs w:val="21"/>
    </w:rPr>
  </w:style>
  <w:style w:type="paragraph" w:customStyle="1" w:styleId="242">
    <w:name w:val="_标题2"/>
    <w:basedOn w:val="1"/>
    <w:next w:val="1"/>
    <w:link w:val="296"/>
    <w:qFormat/>
    <w:uiPriority w:val="0"/>
    <w:pPr>
      <w:keepNext/>
      <w:numPr>
        <w:ilvl w:val="1"/>
        <w:numId w:val="5"/>
      </w:numPr>
      <w:spacing w:before="50" w:beforeLines="50" w:after="50" w:afterLines="50"/>
      <w:ind w:firstLineChars="0"/>
      <w:jc w:val="left"/>
      <w:outlineLvl w:val="1"/>
    </w:pPr>
    <w:rPr>
      <w:b/>
      <w:sz w:val="36"/>
      <w:szCs w:val="21"/>
    </w:rPr>
  </w:style>
  <w:style w:type="paragraph" w:customStyle="1" w:styleId="243">
    <w:name w:val="_标题3"/>
    <w:basedOn w:val="1"/>
    <w:next w:val="1"/>
    <w:link w:val="297"/>
    <w:qFormat/>
    <w:uiPriority w:val="0"/>
    <w:pPr>
      <w:keepNext/>
      <w:numPr>
        <w:ilvl w:val="2"/>
        <w:numId w:val="5"/>
      </w:numPr>
      <w:spacing w:before="50" w:beforeLines="50" w:after="50" w:afterLines="50"/>
      <w:ind w:firstLineChars="0"/>
      <w:jc w:val="left"/>
      <w:outlineLvl w:val="2"/>
    </w:pPr>
    <w:rPr>
      <w:b/>
      <w:sz w:val="32"/>
      <w:szCs w:val="21"/>
    </w:rPr>
  </w:style>
  <w:style w:type="paragraph" w:customStyle="1" w:styleId="244">
    <w:name w:val="_标题4"/>
    <w:basedOn w:val="1"/>
    <w:next w:val="1"/>
    <w:link w:val="298"/>
    <w:qFormat/>
    <w:uiPriority w:val="0"/>
    <w:pPr>
      <w:keepNext/>
      <w:numPr>
        <w:ilvl w:val="3"/>
        <w:numId w:val="5"/>
      </w:numPr>
      <w:spacing w:before="50" w:beforeLines="50"/>
      <w:ind w:firstLineChars="0"/>
      <w:jc w:val="left"/>
      <w:outlineLvl w:val="3"/>
    </w:pPr>
    <w:rPr>
      <w:rFonts w:asciiTheme="minorHAnsi"/>
      <w:b/>
      <w:sz w:val="30"/>
      <w:szCs w:val="21"/>
    </w:rPr>
  </w:style>
  <w:style w:type="paragraph" w:customStyle="1" w:styleId="245">
    <w:name w:val="表格正文"/>
    <w:basedOn w:val="1"/>
    <w:next w:val="9"/>
    <w:qFormat/>
    <w:uiPriority w:val="0"/>
    <w:pPr>
      <w:widowControl/>
      <w:adjustRightInd w:val="0"/>
      <w:snapToGrid w:val="0"/>
      <w:spacing w:line="240" w:lineRule="auto"/>
      <w:ind w:firstLine="0" w:firstLineChars="0"/>
      <w:jc w:val="center"/>
    </w:pPr>
    <w:rPr>
      <w:rFonts w:ascii="Times New Roman" w:hAnsi="Times New Roman" w:cs="宋体"/>
      <w:kern w:val="0"/>
      <w:sz w:val="21"/>
      <w:szCs w:val="18"/>
    </w:rPr>
  </w:style>
  <w:style w:type="paragraph" w:customStyle="1" w:styleId="246">
    <w:name w:val="项编一级"/>
    <w:basedOn w:val="1"/>
    <w:link w:val="292"/>
    <w:qFormat/>
    <w:uiPriority w:val="0"/>
    <w:pPr>
      <w:snapToGrid w:val="0"/>
      <w:spacing w:beforeLines="50" w:afterLines="50"/>
      <w:contextualSpacing/>
    </w:pPr>
    <w:rPr>
      <w:rFonts w:cs="宋体"/>
      <w:b/>
      <w:szCs w:val="21"/>
    </w:rPr>
  </w:style>
  <w:style w:type="paragraph" w:customStyle="1" w:styleId="247">
    <w:name w:val="FC正文"/>
    <w:basedOn w:val="1"/>
    <w:link w:val="293"/>
    <w:qFormat/>
    <w:uiPriority w:val="0"/>
    <w:pPr>
      <w:snapToGrid w:val="0"/>
      <w:spacing w:before="120" w:beforeLines="50" w:after="120" w:afterLines="50"/>
      <w:ind w:firstLine="480"/>
      <w:contextualSpacing/>
    </w:pPr>
    <w:rPr>
      <w:rFonts w:cs="宋体"/>
      <w:szCs w:val="21"/>
    </w:rPr>
  </w:style>
  <w:style w:type="paragraph" w:customStyle="1" w:styleId="248">
    <w:name w:val="12"/>
    <w:basedOn w:val="1"/>
    <w:next w:val="94"/>
    <w:qFormat/>
    <w:uiPriority w:val="34"/>
    <w:pPr>
      <w:ind w:firstLine="420"/>
    </w:pPr>
    <w:rPr>
      <w:rFonts w:ascii="Times New Roman" w:hAnsi="Times New Roman"/>
      <w:kern w:val="0"/>
      <w:sz w:val="20"/>
      <w:szCs w:val="24"/>
    </w:rPr>
  </w:style>
  <w:style w:type="paragraph" w:customStyle="1" w:styleId="249">
    <w:name w:val="FC表格1"/>
    <w:basedOn w:val="250"/>
    <w:link w:val="313"/>
    <w:qFormat/>
    <w:uiPriority w:val="0"/>
    <w:pPr>
      <w:spacing w:line="276" w:lineRule="auto"/>
    </w:pPr>
    <w:rPr>
      <w:rFonts w:ascii="Calibri" w:hAnsi="Calibri"/>
      <w:kern w:val="2"/>
      <w:sz w:val="21"/>
      <w:szCs w:val="22"/>
    </w:rPr>
  </w:style>
  <w:style w:type="paragraph" w:styleId="250">
    <w:name w:val="No Spacing"/>
    <w:link w:val="280"/>
    <w:qFormat/>
    <w:uiPriority w:val="1"/>
    <w:pPr>
      <w:widowControl w:val="0"/>
      <w:jc w:val="both"/>
    </w:pPr>
    <w:rPr>
      <w:rFonts w:ascii="Times New Roman" w:hAnsi="Times New Roman" w:eastAsia="宋体" w:cs="Times New Roman"/>
      <w:szCs w:val="24"/>
      <w:lang w:val="en-US" w:eastAsia="zh-CN" w:bidi="ar-SA"/>
    </w:rPr>
  </w:style>
  <w:style w:type="paragraph" w:customStyle="1" w:styleId="251">
    <w:name w:val="14"/>
    <w:basedOn w:val="1"/>
    <w:next w:val="94"/>
    <w:qFormat/>
    <w:uiPriority w:val="34"/>
    <w:pPr>
      <w:ind w:firstLine="420"/>
    </w:pPr>
    <w:rPr>
      <w:rFonts w:ascii="Times New Roman" w:hAnsi="Times New Roman"/>
      <w:kern w:val="0"/>
      <w:sz w:val="20"/>
      <w:szCs w:val="24"/>
    </w:rPr>
  </w:style>
  <w:style w:type="paragraph" w:customStyle="1" w:styleId="252">
    <w:name w:val="13"/>
    <w:basedOn w:val="1"/>
    <w:next w:val="94"/>
    <w:qFormat/>
    <w:uiPriority w:val="34"/>
    <w:pPr>
      <w:ind w:firstLine="420"/>
    </w:pPr>
    <w:rPr>
      <w:rFonts w:ascii="Times New Roman" w:hAnsi="Times New Roman"/>
      <w:kern w:val="0"/>
      <w:sz w:val="20"/>
      <w:szCs w:val="24"/>
    </w:rPr>
  </w:style>
  <w:style w:type="paragraph" w:customStyle="1" w:styleId="253">
    <w:name w:val="16"/>
    <w:basedOn w:val="1"/>
    <w:next w:val="94"/>
    <w:qFormat/>
    <w:uiPriority w:val="34"/>
    <w:pPr>
      <w:ind w:firstLine="420"/>
    </w:pPr>
    <w:rPr>
      <w:rFonts w:ascii="Times New Roman" w:hAnsi="Times New Roman"/>
      <w:kern w:val="0"/>
      <w:sz w:val="20"/>
      <w:szCs w:val="24"/>
    </w:rPr>
  </w:style>
  <w:style w:type="paragraph" w:customStyle="1" w:styleId="254">
    <w:name w:val="_正文"/>
    <w:link w:val="255"/>
    <w:qFormat/>
    <w:uiPriority w:val="0"/>
    <w:pPr>
      <w:spacing w:line="360" w:lineRule="auto"/>
      <w:ind w:firstLine="200" w:firstLineChars="200"/>
    </w:pPr>
    <w:rPr>
      <w:rFonts w:asciiTheme="minorHAnsi" w:hAnsiTheme="minorHAnsi" w:eastAsiaTheme="minorEastAsia" w:cstheme="minorBidi"/>
      <w:kern w:val="2"/>
      <w:sz w:val="24"/>
      <w:szCs w:val="21"/>
      <w:lang w:val="en-US" w:eastAsia="zh-CN" w:bidi="ar-SA"/>
    </w:rPr>
  </w:style>
  <w:style w:type="character" w:customStyle="1" w:styleId="255">
    <w:name w:val="_正文 Char"/>
    <w:basedOn w:val="49"/>
    <w:link w:val="254"/>
    <w:qFormat/>
    <w:uiPriority w:val="0"/>
    <w:rPr>
      <w:rFonts w:asciiTheme="minorHAnsi" w:hAnsiTheme="minorHAnsi" w:eastAsiaTheme="minorEastAsia" w:cstheme="minorBidi"/>
      <w:kern w:val="2"/>
      <w:sz w:val="24"/>
      <w:szCs w:val="21"/>
    </w:rPr>
  </w:style>
  <w:style w:type="paragraph" w:customStyle="1" w:styleId="256">
    <w:name w:val="封面"/>
    <w:basedOn w:val="1"/>
    <w:qFormat/>
    <w:uiPriority w:val="0"/>
    <w:pPr>
      <w:adjustRightInd w:val="0"/>
      <w:spacing w:line="360" w:lineRule="atLeast"/>
      <w:ind w:firstLine="0" w:firstLineChars="0"/>
      <w:jc w:val="right"/>
      <w:textAlignment w:val="baseline"/>
    </w:pPr>
    <w:rPr>
      <w:rFonts w:ascii="Symbol" w:hAnsi="Symbol"/>
      <w:kern w:val="0"/>
      <w:sz w:val="24"/>
      <w:szCs w:val="20"/>
    </w:rPr>
  </w:style>
  <w:style w:type="paragraph" w:customStyle="1" w:styleId="257">
    <w:name w:val="h0"/>
    <w:basedOn w:val="1"/>
    <w:link w:val="258"/>
    <w:qFormat/>
    <w:uiPriority w:val="0"/>
    <w:pPr>
      <w:adjustRightInd w:val="0"/>
      <w:ind w:firstLine="480"/>
      <w:textAlignment w:val="baseline"/>
    </w:pPr>
    <w:rPr>
      <w:rFonts w:eastAsia="仿宋"/>
      <w:kern w:val="0"/>
      <w:szCs w:val="24"/>
      <w:lang w:val="zh-CN"/>
    </w:rPr>
  </w:style>
  <w:style w:type="character" w:customStyle="1" w:styleId="258">
    <w:name w:val="h0 Char"/>
    <w:link w:val="257"/>
    <w:qFormat/>
    <w:uiPriority w:val="0"/>
    <w:rPr>
      <w:rFonts w:ascii="宋体" w:hAnsi="宋体" w:eastAsia="仿宋"/>
      <w:sz w:val="28"/>
      <w:szCs w:val="24"/>
      <w:lang w:val="zh-CN"/>
    </w:rPr>
  </w:style>
  <w:style w:type="character" w:customStyle="1" w:styleId="259">
    <w:name w:val="apple-converted-space"/>
    <w:qFormat/>
    <w:uiPriority w:val="0"/>
  </w:style>
  <w:style w:type="character" w:customStyle="1" w:styleId="260">
    <w:name w:val="普通(网站) 字符"/>
    <w:link w:val="43"/>
    <w:qFormat/>
    <w:uiPriority w:val="99"/>
    <w:rPr>
      <w:rFonts w:ascii="宋体" w:hAnsi="宋体" w:cs="宋体"/>
      <w:sz w:val="24"/>
      <w:szCs w:val="24"/>
    </w:rPr>
  </w:style>
  <w:style w:type="character" w:customStyle="1" w:styleId="261">
    <w:name w:val="p0 Char"/>
    <w:link w:val="92"/>
    <w:qFormat/>
    <w:uiPriority w:val="0"/>
    <w:rPr>
      <w:sz w:val="28"/>
      <w:szCs w:val="28"/>
    </w:rPr>
  </w:style>
  <w:style w:type="character" w:customStyle="1" w:styleId="262">
    <w:name w:val="fontstyle01"/>
    <w:qFormat/>
    <w:uiPriority w:val="0"/>
    <w:rPr>
      <w:rFonts w:hint="eastAsia" w:ascii="宋体" w:hAnsi="宋体" w:eastAsia="宋体"/>
      <w:color w:val="000000"/>
      <w:sz w:val="24"/>
      <w:szCs w:val="24"/>
    </w:rPr>
  </w:style>
  <w:style w:type="paragraph" w:customStyle="1" w:styleId="263">
    <w:name w:val="样式2"/>
    <w:basedOn w:val="94"/>
    <w:link w:val="287"/>
    <w:qFormat/>
    <w:uiPriority w:val="0"/>
    <w:pPr>
      <w:widowControl w:val="0"/>
      <w:numPr>
        <w:ilvl w:val="0"/>
        <w:numId w:val="6"/>
      </w:numPr>
      <w:snapToGrid w:val="0"/>
      <w:spacing w:line="288" w:lineRule="auto"/>
      <w:ind w:firstLine="0" w:firstLineChars="0"/>
      <w:jc w:val="both"/>
    </w:pPr>
    <w:rPr>
      <w:rFonts w:ascii="微软雅黑" w:hAnsi="微软雅黑" w:eastAsia="微软雅黑" w:cstheme="minorBidi"/>
      <w:kern w:val="2"/>
    </w:rPr>
  </w:style>
  <w:style w:type="paragraph" w:customStyle="1" w:styleId="264">
    <w:name w:val="21-1级目录"/>
    <w:basedOn w:val="1"/>
    <w:next w:val="1"/>
    <w:qFormat/>
    <w:uiPriority w:val="0"/>
    <w:pPr>
      <w:tabs>
        <w:tab w:val="left" w:pos="0"/>
        <w:tab w:val="left" w:pos="360"/>
      </w:tabs>
      <w:spacing w:before="360" w:after="360"/>
      <w:ind w:firstLine="420" w:firstLineChars="0"/>
      <w:jc w:val="left"/>
      <w:outlineLvl w:val="2"/>
    </w:pPr>
    <w:rPr>
      <w:rFonts w:ascii="Times New Roman" w:hAnsi="Times New Roman" w:eastAsia="微软雅黑"/>
      <w:b/>
      <w:szCs w:val="22"/>
    </w:rPr>
  </w:style>
  <w:style w:type="paragraph" w:customStyle="1" w:styleId="265">
    <w:name w:val="17"/>
    <w:basedOn w:val="1"/>
    <w:next w:val="94"/>
    <w:link w:val="266"/>
    <w:qFormat/>
    <w:uiPriority w:val="34"/>
    <w:pPr>
      <w:ind w:firstLine="420"/>
    </w:pPr>
    <w:rPr>
      <w:rFonts w:ascii="Times New Roman" w:hAnsi="Times New Roman"/>
      <w:kern w:val="0"/>
      <w:sz w:val="20"/>
      <w:szCs w:val="24"/>
    </w:rPr>
  </w:style>
  <w:style w:type="character" w:customStyle="1" w:styleId="266">
    <w:name w:val="列出段落 Char"/>
    <w:link w:val="265"/>
    <w:qFormat/>
    <w:uiPriority w:val="34"/>
    <w:rPr>
      <w:szCs w:val="24"/>
    </w:rPr>
  </w:style>
  <w:style w:type="character" w:customStyle="1" w:styleId="267">
    <w:name w:val="UH正文 Char"/>
    <w:link w:val="268"/>
    <w:qFormat/>
    <w:locked/>
    <w:uiPriority w:val="0"/>
    <w:rPr>
      <w:rFonts w:ascii="Arial" w:hAnsi="Arial"/>
      <w:szCs w:val="21"/>
    </w:rPr>
  </w:style>
  <w:style w:type="paragraph" w:customStyle="1" w:styleId="268">
    <w:name w:val="UH正文"/>
    <w:link w:val="267"/>
    <w:qFormat/>
    <w:uiPriority w:val="0"/>
    <w:pPr>
      <w:spacing w:line="360" w:lineRule="auto"/>
      <w:ind w:firstLine="200" w:firstLineChars="200"/>
    </w:pPr>
    <w:rPr>
      <w:rFonts w:ascii="Arial" w:hAnsi="Arial" w:eastAsia="宋体" w:cs="Times New Roman"/>
      <w:szCs w:val="21"/>
      <w:lang w:val="en-US" w:eastAsia="zh-CN" w:bidi="ar-SA"/>
    </w:rPr>
  </w:style>
  <w:style w:type="character" w:customStyle="1" w:styleId="269">
    <w:name w:val="文档结构图 字符1"/>
    <w:basedOn w:val="49"/>
    <w:semiHidden/>
    <w:qFormat/>
    <w:uiPriority w:val="99"/>
    <w:rPr>
      <w:rFonts w:ascii="Microsoft YaHei UI" w:eastAsia="Microsoft YaHei UI"/>
      <w:sz w:val="18"/>
      <w:szCs w:val="18"/>
    </w:rPr>
  </w:style>
  <w:style w:type="character" w:customStyle="1" w:styleId="270">
    <w:name w:val="批注框文本 字符1"/>
    <w:basedOn w:val="49"/>
    <w:semiHidden/>
    <w:qFormat/>
    <w:uiPriority w:val="99"/>
    <w:rPr>
      <w:sz w:val="18"/>
      <w:szCs w:val="18"/>
    </w:rPr>
  </w:style>
  <w:style w:type="paragraph" w:customStyle="1" w:styleId="271">
    <w:name w:val="我的正文"/>
    <w:basedOn w:val="1"/>
    <w:link w:val="272"/>
    <w:qFormat/>
    <w:uiPriority w:val="0"/>
    <w:pPr>
      <w:widowControl/>
      <w:adjustRightInd w:val="0"/>
      <w:snapToGrid w:val="0"/>
      <w:ind w:left="420"/>
      <w:jc w:val="left"/>
    </w:pPr>
    <w:rPr>
      <w:rFonts w:ascii="仿宋" w:hAnsi="仿宋" w:eastAsia="仿宋"/>
      <w:sz w:val="24"/>
      <w:szCs w:val="30"/>
    </w:rPr>
  </w:style>
  <w:style w:type="character" w:customStyle="1" w:styleId="272">
    <w:name w:val="我的正文 Char"/>
    <w:link w:val="271"/>
    <w:qFormat/>
    <w:uiPriority w:val="0"/>
    <w:rPr>
      <w:rFonts w:ascii="仿宋" w:hAnsi="仿宋" w:eastAsia="仿宋"/>
      <w:kern w:val="2"/>
      <w:sz w:val="24"/>
      <w:szCs w:val="30"/>
    </w:rPr>
  </w:style>
  <w:style w:type="character" w:customStyle="1" w:styleId="273">
    <w:name w:val="04-正文 Char"/>
    <w:link w:val="274"/>
    <w:qFormat/>
    <w:uiPriority w:val="0"/>
  </w:style>
  <w:style w:type="paragraph" w:customStyle="1" w:styleId="274">
    <w:name w:val="04-正文"/>
    <w:link w:val="273"/>
    <w:qFormat/>
    <w:uiPriority w:val="0"/>
    <w:pPr>
      <w:spacing w:before="240" w:after="240" w:line="360" w:lineRule="auto"/>
      <w:ind w:firstLine="420"/>
    </w:pPr>
    <w:rPr>
      <w:rFonts w:ascii="Times New Roman" w:hAnsi="Times New Roman" w:eastAsia="宋体" w:cs="Times New Roman"/>
      <w:lang w:val="en-US" w:eastAsia="zh-CN" w:bidi="ar-SA"/>
    </w:rPr>
  </w:style>
  <w:style w:type="character" w:customStyle="1" w:styleId="275">
    <w:name w:val="题注 字符"/>
    <w:link w:val="21"/>
    <w:qFormat/>
    <w:uiPriority w:val="35"/>
    <w:rPr>
      <w:rFonts w:ascii="Arial" w:hAnsi="Arial" w:eastAsia="黑体" w:cs="Times New Roman"/>
      <w:kern w:val="2"/>
      <w:sz w:val="20"/>
      <w:szCs w:val="24"/>
      <w:highlight w:val="none"/>
      <w:lang w:val="en-US" w:eastAsia="zh-CN" w:bidi="ar-SA"/>
    </w:rPr>
  </w:style>
  <w:style w:type="paragraph" w:customStyle="1" w:styleId="276">
    <w:name w:val="样式 正文首行缩进 2 + 左侧:  1.5 字符 首行缩进:  2 字符2"/>
    <w:basedOn w:val="46"/>
    <w:qFormat/>
    <w:uiPriority w:val="0"/>
    <w:pPr>
      <w:spacing w:after="0"/>
      <w:ind w:left="0" w:leftChars="0" w:firstLine="0" w:firstLineChars="0"/>
    </w:pPr>
    <w:rPr>
      <w:rFonts w:cs="宋体"/>
      <w:kern w:val="0"/>
      <w:sz w:val="20"/>
      <w:szCs w:val="20"/>
    </w:rPr>
  </w:style>
  <w:style w:type="paragraph" w:customStyle="1" w:styleId="277">
    <w:name w:val="样式1"/>
    <w:basedOn w:val="1"/>
    <w:next w:val="10"/>
    <w:link w:val="278"/>
    <w:qFormat/>
    <w:uiPriority w:val="0"/>
    <w:pPr>
      <w:ind w:firstLine="716" w:firstLineChars="297"/>
    </w:pPr>
    <w:rPr>
      <w:rFonts w:ascii="仿宋_GB2312" w:hAnsi="Times New Roman" w:eastAsia="黑体"/>
      <w:b/>
      <w:color w:val="000000"/>
      <w:szCs w:val="20"/>
    </w:rPr>
  </w:style>
  <w:style w:type="character" w:customStyle="1" w:styleId="278">
    <w:name w:val="样式1 Char"/>
    <w:link w:val="277"/>
    <w:qFormat/>
    <w:locked/>
    <w:uiPriority w:val="0"/>
    <w:rPr>
      <w:rFonts w:ascii="仿宋_GB2312" w:eastAsia="黑体"/>
      <w:b/>
      <w:color w:val="000000"/>
      <w:kern w:val="2"/>
      <w:sz w:val="28"/>
    </w:rPr>
  </w:style>
  <w:style w:type="character" w:customStyle="1" w:styleId="279">
    <w:name w:val="题注 Char"/>
    <w:qFormat/>
    <w:uiPriority w:val="0"/>
    <w:rPr>
      <w:rFonts w:ascii="Times New Roman" w:hAnsi="Times New Roman" w:eastAsia="宋体" w:cs="Times New Roman"/>
      <w:b/>
      <w:kern w:val="0"/>
      <w:sz w:val="28"/>
      <w:szCs w:val="20"/>
    </w:rPr>
  </w:style>
  <w:style w:type="character" w:customStyle="1" w:styleId="280">
    <w:name w:val="无间隔 字符"/>
    <w:link w:val="250"/>
    <w:qFormat/>
    <w:uiPriority w:val="1"/>
    <w:rPr>
      <w:szCs w:val="24"/>
    </w:rPr>
  </w:style>
  <w:style w:type="character" w:customStyle="1" w:styleId="281">
    <w:name w:val="正文缩进 字符"/>
    <w:basedOn w:val="49"/>
    <w:link w:val="20"/>
    <w:qFormat/>
    <w:uiPriority w:val="99"/>
  </w:style>
  <w:style w:type="paragraph" w:customStyle="1" w:styleId="282">
    <w:name w:val="标准正文格式"/>
    <w:basedOn w:val="1"/>
    <w:link w:val="283"/>
    <w:qFormat/>
    <w:uiPriority w:val="0"/>
    <w:pPr>
      <w:widowControl/>
      <w:adjustRightInd w:val="0"/>
      <w:spacing w:before="60" w:after="120"/>
      <w:textAlignment w:val="baseline"/>
    </w:pPr>
    <w:rPr>
      <w:rFonts w:hAnsi="Times New Roman" w:eastAsia="仿宋_GB2312" w:cs="宋体"/>
      <w:color w:val="000000"/>
      <w:kern w:val="0"/>
      <w:sz w:val="24"/>
      <w:szCs w:val="20"/>
    </w:rPr>
  </w:style>
  <w:style w:type="character" w:customStyle="1" w:styleId="283">
    <w:name w:val="标准正文格式 Char"/>
    <w:basedOn w:val="49"/>
    <w:link w:val="282"/>
    <w:qFormat/>
    <w:uiPriority w:val="0"/>
    <w:rPr>
      <w:rFonts w:ascii="宋体" w:eastAsia="仿宋_GB2312" w:cs="宋体"/>
      <w:color w:val="000000"/>
      <w:sz w:val="24"/>
    </w:rPr>
  </w:style>
  <w:style w:type="paragraph" w:customStyle="1" w:styleId="284">
    <w:name w:val="my正文"/>
    <w:basedOn w:val="1"/>
    <w:qFormat/>
    <w:uiPriority w:val="0"/>
    <w:pPr>
      <w:ind w:firstLine="480"/>
    </w:pPr>
    <w:rPr>
      <w:rFonts w:ascii="Times New Roman" w:hAnsi="Times New Roman"/>
      <w:sz w:val="24"/>
      <w:szCs w:val="24"/>
    </w:rPr>
  </w:style>
  <w:style w:type="paragraph" w:customStyle="1" w:styleId="285">
    <w:name w:val="InfoBlue"/>
    <w:basedOn w:val="1"/>
    <w:next w:val="3"/>
    <w:qFormat/>
    <w:uiPriority w:val="0"/>
    <w:pPr>
      <w:spacing w:after="120" w:line="240" w:lineRule="atLeast"/>
      <w:ind w:left="720" w:firstLine="0" w:firstLineChars="0"/>
      <w:jc w:val="left"/>
    </w:pPr>
    <w:rPr>
      <w:rFonts w:ascii="Times New Roman" w:hAnsi="Times New Roman"/>
      <w:iCs/>
      <w:snapToGrid w:val="0"/>
      <w:color w:val="0000FF"/>
      <w:kern w:val="0"/>
      <w:sz w:val="20"/>
      <w:szCs w:val="20"/>
    </w:rPr>
  </w:style>
  <w:style w:type="paragraph" w:customStyle="1" w:styleId="286">
    <w:name w:val="方案正文"/>
    <w:basedOn w:val="1"/>
    <w:link w:val="288"/>
    <w:qFormat/>
    <w:uiPriority w:val="0"/>
    <w:pPr>
      <w:spacing w:before="120"/>
      <w:ind w:firstLine="425" w:firstLineChars="177"/>
    </w:pPr>
    <w:rPr>
      <w:rFonts w:ascii="华文细黑" w:hAnsi="华文细黑" w:eastAsia="华文细黑"/>
      <w:sz w:val="24"/>
      <w:szCs w:val="24"/>
    </w:rPr>
  </w:style>
  <w:style w:type="character" w:customStyle="1" w:styleId="287">
    <w:name w:val="样式2 Char"/>
    <w:link w:val="263"/>
    <w:qFormat/>
    <w:uiPriority w:val="0"/>
    <w:rPr>
      <w:rFonts w:ascii="微软雅黑" w:hAnsi="微软雅黑" w:eastAsia="微软雅黑" w:cstheme="minorBidi"/>
      <w:kern w:val="2"/>
      <w:sz w:val="24"/>
      <w:szCs w:val="24"/>
    </w:rPr>
  </w:style>
  <w:style w:type="character" w:customStyle="1" w:styleId="288">
    <w:name w:val="方案正文 Char"/>
    <w:link w:val="286"/>
    <w:qFormat/>
    <w:locked/>
    <w:uiPriority w:val="0"/>
    <w:rPr>
      <w:rFonts w:ascii="华文细黑" w:hAnsi="华文细黑" w:eastAsia="华文细黑"/>
      <w:kern w:val="2"/>
      <w:sz w:val="24"/>
      <w:szCs w:val="24"/>
    </w:rPr>
  </w:style>
  <w:style w:type="character" w:customStyle="1" w:styleId="289">
    <w:name w:val="04-正文 Char Char"/>
    <w:qFormat/>
    <w:locked/>
    <w:uiPriority w:val="0"/>
    <w:rPr>
      <w:szCs w:val="24"/>
    </w:rPr>
  </w:style>
  <w:style w:type="character" w:customStyle="1" w:styleId="290">
    <w:name w:val="普通(网站) Char"/>
    <w:qFormat/>
    <w:uiPriority w:val="0"/>
    <w:rPr>
      <w:rFonts w:ascii="宋体" w:hAnsi="宋体" w:eastAsia="宋体" w:cs="宋体"/>
      <w:kern w:val="0"/>
      <w:sz w:val="24"/>
      <w:szCs w:val="24"/>
    </w:rPr>
  </w:style>
  <w:style w:type="paragraph" w:customStyle="1" w:styleId="291">
    <w:name w:val="正文首行缩进 Char1 Char Char"/>
    <w:basedOn w:val="1"/>
    <w:next w:val="94"/>
    <w:qFormat/>
    <w:uiPriority w:val="34"/>
    <w:pPr>
      <w:ind w:firstLine="420"/>
    </w:pPr>
    <w:rPr>
      <w:rFonts w:ascii="Times New Roman" w:hAnsi="Times New Roman"/>
      <w:kern w:val="0"/>
      <w:sz w:val="20"/>
      <w:szCs w:val="24"/>
    </w:rPr>
  </w:style>
  <w:style w:type="character" w:customStyle="1" w:styleId="292">
    <w:name w:val="项编一级 Char"/>
    <w:link w:val="246"/>
    <w:qFormat/>
    <w:locked/>
    <w:uiPriority w:val="0"/>
    <w:rPr>
      <w:rFonts w:ascii="宋体" w:hAnsi="宋体" w:cs="宋体"/>
      <w:b/>
      <w:kern w:val="2"/>
      <w:sz w:val="28"/>
      <w:szCs w:val="21"/>
    </w:rPr>
  </w:style>
  <w:style w:type="character" w:customStyle="1" w:styleId="293">
    <w:name w:val="FC正文 Char"/>
    <w:link w:val="247"/>
    <w:qFormat/>
    <w:uiPriority w:val="0"/>
    <w:rPr>
      <w:rFonts w:ascii="宋体" w:hAnsi="宋体" w:cs="宋体"/>
      <w:kern w:val="2"/>
      <w:sz w:val="28"/>
      <w:szCs w:val="21"/>
    </w:rPr>
  </w:style>
  <w:style w:type="paragraph" w:customStyle="1" w:styleId="294">
    <w:name w:val="15"/>
    <w:basedOn w:val="1"/>
    <w:next w:val="94"/>
    <w:qFormat/>
    <w:uiPriority w:val="34"/>
    <w:pPr>
      <w:ind w:firstLine="420"/>
    </w:pPr>
    <w:rPr>
      <w:rFonts w:ascii="Times New Roman" w:hAnsi="Times New Roman"/>
      <w:kern w:val="0"/>
      <w:sz w:val="20"/>
      <w:szCs w:val="24"/>
    </w:rPr>
  </w:style>
  <w:style w:type="paragraph" w:customStyle="1" w:styleId="295">
    <w:name w:val="List Paragraph1"/>
    <w:basedOn w:val="1"/>
    <w:qFormat/>
    <w:uiPriority w:val="34"/>
    <w:pPr>
      <w:ind w:firstLine="420"/>
    </w:pPr>
    <w:rPr>
      <w:rFonts w:ascii="Calibri" w:hAnsi="Calibri" w:cs="黑体"/>
      <w:sz w:val="24"/>
      <w:szCs w:val="22"/>
    </w:rPr>
  </w:style>
  <w:style w:type="character" w:customStyle="1" w:styleId="296">
    <w:name w:val="_标题2 Char"/>
    <w:basedOn w:val="49"/>
    <w:link w:val="242"/>
    <w:qFormat/>
    <w:uiPriority w:val="0"/>
    <w:rPr>
      <w:rFonts w:ascii="宋体" w:hAnsi="宋体"/>
      <w:b/>
      <w:kern w:val="2"/>
      <w:sz w:val="36"/>
      <w:szCs w:val="21"/>
    </w:rPr>
  </w:style>
  <w:style w:type="character" w:customStyle="1" w:styleId="297">
    <w:name w:val="_标题3 Char"/>
    <w:basedOn w:val="49"/>
    <w:link w:val="243"/>
    <w:qFormat/>
    <w:uiPriority w:val="0"/>
    <w:rPr>
      <w:rFonts w:ascii="宋体" w:hAnsi="宋体"/>
      <w:b/>
      <w:kern w:val="2"/>
      <w:sz w:val="32"/>
      <w:szCs w:val="21"/>
    </w:rPr>
  </w:style>
  <w:style w:type="character" w:customStyle="1" w:styleId="298">
    <w:name w:val="_标题4 Char"/>
    <w:basedOn w:val="49"/>
    <w:link w:val="244"/>
    <w:qFormat/>
    <w:uiPriority w:val="0"/>
    <w:rPr>
      <w:rFonts w:hAnsi="宋体" w:asciiTheme="minorHAnsi"/>
      <w:b/>
      <w:kern w:val="2"/>
      <w:sz w:val="30"/>
      <w:szCs w:val="21"/>
    </w:rPr>
  </w:style>
  <w:style w:type="paragraph" w:customStyle="1" w:styleId="299">
    <w:name w:val="_标题5"/>
    <w:basedOn w:val="90"/>
    <w:next w:val="90"/>
    <w:link w:val="309"/>
    <w:qFormat/>
    <w:uiPriority w:val="0"/>
    <w:pPr>
      <w:keepNext/>
      <w:widowControl/>
      <w:spacing w:before="50" w:beforeLines="50"/>
      <w:ind w:firstLine="0" w:firstLineChars="0"/>
      <w:outlineLvl w:val="4"/>
    </w:pPr>
    <w:rPr>
      <w:rFonts w:ascii="Calibri" w:hAnsi="Calibri"/>
      <w:b/>
      <w:sz w:val="24"/>
    </w:rPr>
  </w:style>
  <w:style w:type="paragraph" w:customStyle="1" w:styleId="300">
    <w:name w:val="_标题6"/>
    <w:basedOn w:val="90"/>
    <w:next w:val="90"/>
    <w:link w:val="310"/>
    <w:qFormat/>
    <w:uiPriority w:val="0"/>
    <w:pPr>
      <w:widowControl/>
      <w:spacing w:before="50" w:beforeLines="50" w:after="50" w:afterLines="50"/>
      <w:ind w:firstLine="0" w:firstLineChars="0"/>
      <w:outlineLvl w:val="5"/>
    </w:pPr>
    <w:rPr>
      <w:rFonts w:ascii="Calibri" w:hAnsi="Calibri"/>
      <w:b/>
      <w:sz w:val="28"/>
    </w:rPr>
  </w:style>
  <w:style w:type="paragraph" w:customStyle="1" w:styleId="301">
    <w:name w:val="_标题7"/>
    <w:basedOn w:val="90"/>
    <w:next w:val="90"/>
    <w:qFormat/>
    <w:uiPriority w:val="0"/>
    <w:pPr>
      <w:widowControl/>
      <w:spacing w:before="50" w:beforeLines="50" w:after="50" w:afterLines="50"/>
      <w:ind w:firstLine="0" w:firstLineChars="0"/>
      <w:outlineLvl w:val="6"/>
    </w:pPr>
    <w:rPr>
      <w:rFonts w:asciiTheme="minorHAnsi" w:hAnsiTheme="minorHAnsi" w:eastAsiaTheme="minorEastAsia" w:cstheme="minorBidi"/>
      <w:b/>
      <w:sz w:val="24"/>
    </w:rPr>
  </w:style>
  <w:style w:type="paragraph" w:customStyle="1" w:styleId="302">
    <w:name w:val="_标题8"/>
    <w:basedOn w:val="90"/>
    <w:next w:val="90"/>
    <w:qFormat/>
    <w:uiPriority w:val="0"/>
    <w:pPr>
      <w:widowControl/>
      <w:spacing w:before="50" w:beforeLines="50" w:after="50" w:afterLines="50"/>
      <w:ind w:firstLine="0" w:firstLineChars="0"/>
      <w:outlineLvl w:val="7"/>
    </w:pPr>
    <w:rPr>
      <w:rFonts w:asciiTheme="minorHAnsi" w:hAnsiTheme="minorHAnsi" w:eastAsiaTheme="minorEastAsia" w:cstheme="minorBidi"/>
      <w:b/>
      <w:sz w:val="24"/>
    </w:rPr>
  </w:style>
  <w:style w:type="paragraph" w:customStyle="1" w:styleId="303">
    <w:name w:val="_标题9"/>
    <w:basedOn w:val="90"/>
    <w:next w:val="90"/>
    <w:qFormat/>
    <w:uiPriority w:val="0"/>
    <w:pPr>
      <w:widowControl/>
      <w:spacing w:before="50" w:beforeLines="50" w:after="50" w:afterLines="50"/>
      <w:ind w:firstLine="0" w:firstLineChars="0"/>
      <w:outlineLvl w:val="8"/>
    </w:pPr>
    <w:rPr>
      <w:rFonts w:asciiTheme="minorHAnsi" w:hAnsiTheme="minorHAnsi" w:eastAsiaTheme="minorEastAsia" w:cstheme="minorBidi"/>
      <w:sz w:val="24"/>
    </w:rPr>
  </w:style>
  <w:style w:type="paragraph" w:customStyle="1" w:styleId="304">
    <w:name w:val="Char Char Char Char Char Char Char"/>
    <w:basedOn w:val="1"/>
    <w:qFormat/>
    <w:uiPriority w:val="0"/>
    <w:pPr>
      <w:widowControl/>
      <w:spacing w:after="160" w:line="240" w:lineRule="exact"/>
      <w:ind w:firstLine="0" w:firstLineChars="0"/>
      <w:jc w:val="left"/>
    </w:pPr>
    <w:rPr>
      <w:rFonts w:ascii="Verdana" w:hAnsi="Verdana" w:eastAsia="仿宋_GB2312"/>
      <w:kern w:val="0"/>
      <w:sz w:val="24"/>
      <w:szCs w:val="20"/>
      <w:lang w:eastAsia="en-US"/>
    </w:rPr>
  </w:style>
  <w:style w:type="paragraph" w:customStyle="1" w:styleId="305">
    <w:name w:val="表格段落"/>
    <w:basedOn w:val="1"/>
    <w:next w:val="94"/>
    <w:qFormat/>
    <w:uiPriority w:val="34"/>
    <w:pPr>
      <w:ind w:firstLine="420"/>
    </w:pPr>
    <w:rPr>
      <w:rFonts w:ascii="Times New Roman" w:hAnsi="Times New Roman"/>
      <w:kern w:val="0"/>
      <w:sz w:val="20"/>
      <w:szCs w:val="24"/>
    </w:rPr>
  </w:style>
  <w:style w:type="character" w:customStyle="1" w:styleId="306">
    <w:name w:val="列出段落 字符"/>
    <w:qFormat/>
    <w:uiPriority w:val="34"/>
    <w:rPr>
      <w:kern w:val="2"/>
      <w:sz w:val="24"/>
      <w:szCs w:val="22"/>
    </w:rPr>
  </w:style>
  <w:style w:type="paragraph" w:customStyle="1" w:styleId="307">
    <w:name w:val="_图片"/>
    <w:basedOn w:val="254"/>
    <w:next w:val="254"/>
    <w:link w:val="308"/>
    <w:qFormat/>
    <w:uiPriority w:val="0"/>
    <w:pPr>
      <w:ind w:firstLine="0" w:firstLineChars="0"/>
      <w:jc w:val="center"/>
    </w:pPr>
    <w:rPr>
      <w:szCs w:val="24"/>
    </w:rPr>
  </w:style>
  <w:style w:type="character" w:customStyle="1" w:styleId="308">
    <w:name w:val="_图片 Char"/>
    <w:basedOn w:val="255"/>
    <w:link w:val="307"/>
    <w:qFormat/>
    <w:uiPriority w:val="0"/>
    <w:rPr>
      <w:rFonts w:asciiTheme="minorHAnsi" w:hAnsiTheme="minorHAnsi" w:eastAsiaTheme="minorEastAsia" w:cstheme="minorBidi"/>
      <w:kern w:val="2"/>
      <w:sz w:val="24"/>
      <w:szCs w:val="24"/>
    </w:rPr>
  </w:style>
  <w:style w:type="character" w:customStyle="1" w:styleId="309">
    <w:name w:val="_标题5 Char"/>
    <w:basedOn w:val="112"/>
    <w:link w:val="299"/>
    <w:qFormat/>
    <w:uiPriority w:val="0"/>
    <w:rPr>
      <w:rFonts w:ascii="Calibri" w:hAnsi="Calibri" w:eastAsia="微软雅黑"/>
      <w:b/>
      <w:kern w:val="2"/>
      <w:sz w:val="24"/>
      <w:szCs w:val="21"/>
    </w:rPr>
  </w:style>
  <w:style w:type="character" w:customStyle="1" w:styleId="310">
    <w:name w:val="_标题6 Char"/>
    <w:basedOn w:val="112"/>
    <w:link w:val="300"/>
    <w:qFormat/>
    <w:uiPriority w:val="0"/>
    <w:rPr>
      <w:rFonts w:ascii="Calibri" w:hAnsi="Calibri" w:eastAsia="微软雅黑"/>
      <w:b/>
      <w:kern w:val="2"/>
      <w:sz w:val="28"/>
      <w:szCs w:val="21"/>
    </w:rPr>
  </w:style>
  <w:style w:type="paragraph" w:customStyle="1" w:styleId="311">
    <w:name w:val="p17"/>
    <w:basedOn w:val="1"/>
    <w:qFormat/>
    <w:uiPriority w:val="0"/>
    <w:pPr>
      <w:widowControl/>
      <w:ind w:firstLine="420" w:firstLineChars="0"/>
    </w:pPr>
    <w:rPr>
      <w:rFonts w:ascii="Times New Roman" w:hAnsi="Times New Roman"/>
      <w:kern w:val="0"/>
      <w:sz w:val="24"/>
      <w:szCs w:val="21"/>
    </w:rPr>
  </w:style>
  <w:style w:type="paragraph" w:customStyle="1" w:styleId="312">
    <w:name w:val="_"/>
    <w:basedOn w:val="1"/>
    <w:qFormat/>
    <w:uiPriority w:val="0"/>
    <w:pPr>
      <w:adjustRightInd w:val="0"/>
      <w:ind w:left="480" w:firstLine="0" w:firstLineChars="0"/>
      <w:textAlignment w:val="baseline"/>
    </w:pPr>
    <w:rPr>
      <w:rFonts w:ascii="Times New Roman" w:hAnsi="Times New Roman"/>
      <w:kern w:val="0"/>
      <w:sz w:val="24"/>
      <w:szCs w:val="20"/>
    </w:rPr>
  </w:style>
  <w:style w:type="character" w:customStyle="1" w:styleId="313">
    <w:name w:val="FC表格1 Char"/>
    <w:link w:val="249"/>
    <w:qFormat/>
    <w:uiPriority w:val="0"/>
    <w:rPr>
      <w:rFonts w:ascii="Calibri" w:hAnsi="Calibri"/>
      <w:kern w:val="2"/>
      <w:sz w:val="21"/>
      <w:szCs w:val="22"/>
    </w:rPr>
  </w:style>
  <w:style w:type="character" w:customStyle="1" w:styleId="314">
    <w:name w:val="正文缩进 Char1"/>
    <w:qFormat/>
    <w:locked/>
    <w:uiPriority w:val="0"/>
    <w:rPr>
      <w:rFonts w:ascii="Times New Roman" w:hAnsi="Times New Roman"/>
    </w:rPr>
  </w:style>
  <w:style w:type="table" w:customStyle="1" w:styleId="315">
    <w:name w:val="网格型1"/>
    <w:basedOn w:val="47"/>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6">
    <w:name w:val="_Style 34"/>
    <w:basedOn w:val="1"/>
    <w:next w:val="94"/>
    <w:qFormat/>
    <w:uiPriority w:val="34"/>
    <w:pPr>
      <w:ind w:firstLine="420"/>
    </w:pPr>
    <w:rPr>
      <w:rFonts w:ascii="Calibri" w:hAnsi="Calibri"/>
      <w:sz w:val="24"/>
      <w:szCs w:val="22"/>
    </w:rPr>
  </w:style>
  <w:style w:type="paragraph" w:customStyle="1" w:styleId="317">
    <w:name w:val="列出段落7"/>
    <w:basedOn w:val="1"/>
    <w:semiHidden/>
    <w:qFormat/>
    <w:uiPriority w:val="0"/>
    <w:pPr>
      <w:ind w:firstLine="420"/>
    </w:pPr>
    <w:rPr>
      <w:rFonts w:ascii="Times New Roman" w:hAnsi="Times New Roman"/>
      <w:sz w:val="24"/>
      <w:szCs w:val="21"/>
    </w:rPr>
  </w:style>
  <w:style w:type="paragraph" w:customStyle="1" w:styleId="318">
    <w:name w:val="文本正文"/>
    <w:basedOn w:val="1"/>
    <w:link w:val="319"/>
    <w:qFormat/>
    <w:uiPriority w:val="0"/>
    <w:pPr>
      <w:ind w:firstLine="420" w:firstLineChars="0"/>
    </w:pPr>
    <w:rPr>
      <w:sz w:val="24"/>
      <w:szCs w:val="24"/>
    </w:rPr>
  </w:style>
  <w:style w:type="character" w:customStyle="1" w:styleId="319">
    <w:name w:val="文本正文 Char"/>
    <w:link w:val="318"/>
    <w:qFormat/>
    <w:uiPriority w:val="0"/>
    <w:rPr>
      <w:rFonts w:ascii="宋体" w:hAnsi="宋体"/>
      <w:kern w:val="2"/>
      <w:sz w:val="24"/>
      <w:szCs w:val="24"/>
    </w:rPr>
  </w:style>
  <w:style w:type="paragraph" w:customStyle="1" w:styleId="320">
    <w:name w:val="正文1"/>
    <w:basedOn w:val="1"/>
    <w:link w:val="321"/>
    <w:qFormat/>
    <w:uiPriority w:val="0"/>
    <w:pPr>
      <w:spacing w:afterLines="50"/>
      <w:ind w:firstLine="480"/>
    </w:pPr>
    <w:rPr>
      <w:rFonts w:ascii="Times New Roman" w:hAnsi="Times New Roman"/>
      <w:sz w:val="24"/>
      <w:szCs w:val="24"/>
    </w:rPr>
  </w:style>
  <w:style w:type="character" w:customStyle="1" w:styleId="321">
    <w:name w:val="正文1 Char"/>
    <w:basedOn w:val="49"/>
    <w:link w:val="320"/>
    <w:qFormat/>
    <w:uiPriority w:val="0"/>
    <w:rPr>
      <w:kern w:val="2"/>
      <w:sz w:val="24"/>
      <w:szCs w:val="24"/>
    </w:rPr>
  </w:style>
  <w:style w:type="paragraph" w:customStyle="1" w:styleId="322">
    <w:name w:val="论文正文"/>
    <w:basedOn w:val="1"/>
    <w:link w:val="323"/>
    <w:qFormat/>
    <w:uiPriority w:val="0"/>
    <w:pPr>
      <w:spacing w:line="400" w:lineRule="exact"/>
    </w:pPr>
    <w:rPr>
      <w:rFonts w:ascii="Times New Roman" w:hAnsi="Times New Roman"/>
      <w:kern w:val="0"/>
      <w:sz w:val="24"/>
      <w:szCs w:val="24"/>
    </w:rPr>
  </w:style>
  <w:style w:type="character" w:customStyle="1" w:styleId="323">
    <w:name w:val="论文正文 Char"/>
    <w:link w:val="322"/>
    <w:qFormat/>
    <w:uiPriority w:val="0"/>
    <w:rPr>
      <w:sz w:val="24"/>
      <w:szCs w:val="24"/>
    </w:rPr>
  </w:style>
  <w:style w:type="character" w:customStyle="1" w:styleId="324">
    <w:name w:val="font11"/>
    <w:basedOn w:val="49"/>
    <w:qFormat/>
    <w:uiPriority w:val="0"/>
    <w:rPr>
      <w:rFonts w:hint="eastAsia" w:ascii="微软雅黑" w:hAnsi="微软雅黑" w:eastAsia="微软雅黑"/>
      <w:color w:val="FF0000"/>
      <w:sz w:val="20"/>
      <w:szCs w:val="20"/>
      <w:u w:val="none"/>
    </w:rPr>
  </w:style>
  <w:style w:type="paragraph" w:customStyle="1" w:styleId="325">
    <w:name w:val="11"/>
    <w:basedOn w:val="1"/>
    <w:next w:val="94"/>
    <w:qFormat/>
    <w:uiPriority w:val="34"/>
    <w:pPr>
      <w:ind w:firstLine="420"/>
    </w:pPr>
    <w:rPr>
      <w:rFonts w:ascii="Times New Roman" w:hAnsi="Times New Roman"/>
      <w:kern w:val="0"/>
      <w:sz w:val="20"/>
      <w:szCs w:val="24"/>
    </w:rPr>
  </w:style>
  <w:style w:type="paragraph" w:customStyle="1" w:styleId="326">
    <w:name w:val="10"/>
    <w:basedOn w:val="1"/>
    <w:next w:val="94"/>
    <w:qFormat/>
    <w:uiPriority w:val="34"/>
    <w:pPr>
      <w:ind w:firstLine="420"/>
    </w:pPr>
    <w:rPr>
      <w:rFonts w:ascii="Times New Roman" w:hAnsi="Times New Roman"/>
      <w:kern w:val="0"/>
      <w:sz w:val="20"/>
      <w:szCs w:val="24"/>
    </w:rPr>
  </w:style>
  <w:style w:type="paragraph" w:customStyle="1" w:styleId="327">
    <w:name w:val="9"/>
    <w:basedOn w:val="1"/>
    <w:next w:val="94"/>
    <w:qFormat/>
    <w:uiPriority w:val="34"/>
    <w:pPr>
      <w:ind w:firstLine="420"/>
    </w:pPr>
    <w:rPr>
      <w:rFonts w:ascii="Times New Roman" w:hAnsi="Times New Roman"/>
      <w:kern w:val="0"/>
      <w:sz w:val="20"/>
      <w:szCs w:val="24"/>
    </w:rPr>
  </w:style>
  <w:style w:type="paragraph" w:customStyle="1" w:styleId="328">
    <w:name w:val="8"/>
    <w:basedOn w:val="1"/>
    <w:next w:val="94"/>
    <w:qFormat/>
    <w:uiPriority w:val="34"/>
    <w:pPr>
      <w:ind w:firstLine="420"/>
    </w:pPr>
    <w:rPr>
      <w:rFonts w:ascii="Times New Roman" w:hAnsi="Times New Roman"/>
      <w:kern w:val="0"/>
      <w:sz w:val="20"/>
      <w:szCs w:val="24"/>
    </w:rPr>
  </w:style>
  <w:style w:type="paragraph" w:customStyle="1" w:styleId="329">
    <w:name w:val="4"/>
    <w:basedOn w:val="1"/>
    <w:next w:val="94"/>
    <w:qFormat/>
    <w:uiPriority w:val="34"/>
    <w:pPr>
      <w:ind w:firstLine="420"/>
    </w:pPr>
    <w:rPr>
      <w:rFonts w:ascii="Times New Roman" w:hAnsi="Times New Roman"/>
      <w:kern w:val="0"/>
      <w:sz w:val="20"/>
      <w:szCs w:val="24"/>
    </w:rPr>
  </w:style>
  <w:style w:type="paragraph" w:customStyle="1" w:styleId="330">
    <w:name w:val="1"/>
    <w:basedOn w:val="1"/>
    <w:next w:val="94"/>
    <w:qFormat/>
    <w:uiPriority w:val="34"/>
    <w:pPr>
      <w:ind w:firstLine="420"/>
    </w:pPr>
    <w:rPr>
      <w:rFonts w:ascii="Times New Roman" w:hAnsi="Times New Roman"/>
      <w:kern w:val="0"/>
      <w:sz w:val="20"/>
      <w:szCs w:val="24"/>
    </w:rPr>
  </w:style>
  <w:style w:type="table" w:customStyle="1" w:styleId="331">
    <w:name w:val="网格表 4 - 着色 11"/>
    <w:basedOn w:val="47"/>
    <w:qFormat/>
    <w:uiPriority w:val="49"/>
    <w:rPr>
      <w:rFonts w:asciiTheme="minorHAnsi" w:hAnsiTheme="minorHAnsi" w:eastAsiaTheme="minorEastAsia" w:cstheme="minorBidi"/>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paragraph" w:customStyle="1" w:styleId="332">
    <w:name w:val="第五级标题"/>
    <w:basedOn w:val="13"/>
    <w:next w:val="1"/>
    <w:qFormat/>
    <w:uiPriority w:val="0"/>
    <w:pPr>
      <w:numPr>
        <w:ilvl w:val="0"/>
        <w:numId w:val="0"/>
      </w:numPr>
      <w:tabs>
        <w:tab w:val="left" w:pos="360"/>
      </w:tabs>
      <w:spacing w:line="360" w:lineRule="auto"/>
      <w:ind w:left="2978"/>
    </w:pPr>
    <w:rPr>
      <w:rFonts w:eastAsia="宋体"/>
      <w:sz w:val="24"/>
      <w:lang w:val="zh-CN"/>
    </w:rPr>
  </w:style>
  <w:style w:type="paragraph" w:customStyle="1" w:styleId="333">
    <w:name w:val="第三极标题"/>
    <w:basedOn w:val="10"/>
    <w:next w:val="1"/>
    <w:qFormat/>
    <w:uiPriority w:val="0"/>
    <w:pPr>
      <w:numPr>
        <w:ilvl w:val="0"/>
        <w:numId w:val="0"/>
      </w:numPr>
      <w:tabs>
        <w:tab w:val="left" w:pos="360"/>
        <w:tab w:val="left" w:pos="420"/>
      </w:tabs>
      <w:spacing w:line="360" w:lineRule="auto"/>
    </w:pPr>
    <w:rPr>
      <w:rFonts w:hint="eastAsia" w:ascii="宋体" w:hAnsi="宋体" w:eastAsia="宋体" w:cs="宋体"/>
      <w:sz w:val="32"/>
      <w:szCs w:val="32"/>
      <w:lang w:val="zh-CN"/>
    </w:rPr>
  </w:style>
  <w:style w:type="paragraph" w:customStyle="1" w:styleId="334">
    <w:name w:val="第二级标题"/>
    <w:basedOn w:val="6"/>
    <w:next w:val="1"/>
    <w:qFormat/>
    <w:uiPriority w:val="0"/>
    <w:pPr>
      <w:numPr>
        <w:numId w:val="7"/>
      </w:numPr>
      <w:tabs>
        <w:tab w:val="left" w:pos="360"/>
      </w:tabs>
      <w:spacing w:line="415" w:lineRule="auto"/>
      <w:ind w:left="0" w:firstLine="0"/>
    </w:pPr>
    <w:rPr>
      <w:rFonts w:hint="eastAsia" w:ascii="宋体" w:hAnsi="宋体" w:eastAsia="宋体" w:cs="宋体"/>
      <w:sz w:val="36"/>
      <w:szCs w:val="36"/>
      <w:lang w:val="zh-CN"/>
    </w:rPr>
  </w:style>
  <w:style w:type="paragraph" w:customStyle="1" w:styleId="335">
    <w:name w:val="第四级标题"/>
    <w:basedOn w:val="12"/>
    <w:next w:val="1"/>
    <w:qFormat/>
    <w:uiPriority w:val="0"/>
    <w:pPr>
      <w:numPr>
        <w:numId w:val="7"/>
      </w:numPr>
      <w:tabs>
        <w:tab w:val="left" w:pos="360"/>
      </w:tabs>
      <w:spacing w:line="377" w:lineRule="auto"/>
      <w:ind w:left="0" w:firstLine="0"/>
    </w:pPr>
    <w:rPr>
      <w:rFonts w:ascii="Cambria" w:hAnsi="Cambria" w:eastAsia="宋体"/>
      <w:sz w:val="30"/>
      <w:szCs w:val="30"/>
      <w:lang w:val="zh-CN"/>
    </w:rPr>
  </w:style>
  <w:style w:type="paragraph" w:customStyle="1" w:styleId="336">
    <w:name w:val="第一级标题"/>
    <w:basedOn w:val="5"/>
    <w:next w:val="1"/>
    <w:qFormat/>
    <w:uiPriority w:val="0"/>
    <w:pPr>
      <w:numPr>
        <w:numId w:val="7"/>
      </w:numPr>
      <w:tabs>
        <w:tab w:val="left" w:pos="360"/>
      </w:tabs>
      <w:spacing w:line="578" w:lineRule="auto"/>
      <w:ind w:left="0" w:firstLine="0"/>
      <w:jc w:val="both"/>
    </w:pPr>
    <w:rPr>
      <w:rFonts w:hint="eastAsia" w:ascii="宋体" w:hAnsi="宋体" w:eastAsia="宋体" w:cs="宋体"/>
      <w:sz w:val="44"/>
      <w:szCs w:val="44"/>
      <w:lang w:val="zh-CN"/>
    </w:rPr>
  </w:style>
  <w:style w:type="character" w:customStyle="1" w:styleId="337">
    <w:name w:val="样式 正文缩进 + 首行缩进:  2 字符 Char"/>
    <w:link w:val="133"/>
    <w:qFormat/>
    <w:uiPriority w:val="0"/>
    <w:rPr>
      <w:rFonts w:cs="宋体"/>
      <w:kern w:val="2"/>
      <w:sz w:val="24"/>
    </w:rPr>
  </w:style>
  <w:style w:type="paragraph" w:customStyle="1" w:styleId="338">
    <w:name w:val="_Style 2"/>
    <w:basedOn w:val="1"/>
    <w:qFormat/>
    <w:uiPriority w:val="0"/>
    <w:pPr>
      <w:ind w:firstLine="420"/>
    </w:pPr>
    <w:rPr>
      <w:rFonts w:ascii="Times New Roman" w:hAnsi="Times New Roman"/>
      <w:sz w:val="24"/>
      <w:szCs w:val="20"/>
    </w:rPr>
  </w:style>
  <w:style w:type="paragraph" w:customStyle="1" w:styleId="339">
    <w:name w:val="符号2-zy"/>
    <w:basedOn w:val="1"/>
    <w:qFormat/>
    <w:uiPriority w:val="0"/>
    <w:pPr>
      <w:numPr>
        <w:ilvl w:val="0"/>
        <w:numId w:val="8"/>
      </w:numPr>
      <w:spacing w:beforeLines="50" w:afterLines="50"/>
      <w:ind w:firstLine="0" w:firstLineChars="0"/>
    </w:pPr>
    <w:rPr>
      <w:rFonts w:ascii="Calibri"/>
      <w:sz w:val="24"/>
      <w:szCs w:val="22"/>
    </w:rPr>
  </w:style>
  <w:style w:type="character" w:customStyle="1" w:styleId="340">
    <w:name w:val="!BECC正文 字符"/>
    <w:link w:val="341"/>
    <w:qFormat/>
    <w:locked/>
    <w:uiPriority w:val="0"/>
  </w:style>
  <w:style w:type="paragraph" w:customStyle="1" w:styleId="341">
    <w:name w:val="!BECC正文"/>
    <w:basedOn w:val="1"/>
    <w:link w:val="340"/>
    <w:qFormat/>
    <w:uiPriority w:val="0"/>
    <w:pPr>
      <w:tabs>
        <w:tab w:val="left" w:pos="0"/>
      </w:tabs>
      <w:spacing w:beforeLines="50"/>
      <w:contextualSpacing/>
    </w:pPr>
    <w:rPr>
      <w:rFonts w:ascii="Times New Roman" w:hAnsi="Times New Roman"/>
      <w:kern w:val="0"/>
      <w:sz w:val="20"/>
      <w:szCs w:val="20"/>
    </w:rPr>
  </w:style>
  <w:style w:type="paragraph" w:customStyle="1" w:styleId="342">
    <w:name w:val="List Bullet0"/>
    <w:basedOn w:val="1"/>
    <w:qFormat/>
    <w:uiPriority w:val="99"/>
    <w:pPr>
      <w:widowControl/>
      <w:numPr>
        <w:ilvl w:val="0"/>
        <w:numId w:val="9"/>
      </w:numPr>
      <w:spacing w:line="288" w:lineRule="auto"/>
      <w:ind w:right="113" w:firstLine="0" w:firstLineChars="0"/>
      <w:jc w:val="left"/>
    </w:pPr>
    <w:rPr>
      <w:rFonts w:ascii="Times New Roman" w:hAnsi="Times New Roman"/>
      <w:kern w:val="0"/>
      <w:sz w:val="24"/>
      <w:szCs w:val="24"/>
    </w:rPr>
  </w:style>
  <w:style w:type="character" w:customStyle="1" w:styleId="343">
    <w:name w:val="!BECC正文 Char"/>
    <w:qFormat/>
    <w:locked/>
    <w:uiPriority w:val="0"/>
  </w:style>
  <w:style w:type="paragraph" w:customStyle="1" w:styleId="344">
    <w:name w:val="_表格格式"/>
    <w:basedOn w:val="1"/>
    <w:link w:val="345"/>
    <w:qFormat/>
    <w:uiPriority w:val="0"/>
    <w:pPr>
      <w:widowControl/>
      <w:spacing w:line="240" w:lineRule="auto"/>
      <w:ind w:firstLine="0" w:firstLineChars="0"/>
      <w:jc w:val="center"/>
    </w:pPr>
    <w:rPr>
      <w:rFonts w:ascii="等线" w:hAnsi="等线" w:eastAsia="等线"/>
      <w:color w:val="000000"/>
      <w:kern w:val="0"/>
      <w:sz w:val="20"/>
      <w:szCs w:val="20"/>
    </w:rPr>
  </w:style>
  <w:style w:type="character" w:customStyle="1" w:styleId="345">
    <w:name w:val="_表格格式 字符"/>
    <w:basedOn w:val="49"/>
    <w:link w:val="344"/>
    <w:qFormat/>
    <w:uiPriority w:val="0"/>
    <w:rPr>
      <w:rFonts w:ascii="等线" w:hAnsi="等线" w:eastAsia="等线"/>
      <w:color w:val="000000"/>
    </w:rPr>
  </w:style>
  <w:style w:type="paragraph" w:customStyle="1" w:styleId="346">
    <w:name w:val="图片格式"/>
    <w:basedOn w:val="1"/>
    <w:link w:val="347"/>
    <w:qFormat/>
    <w:uiPriority w:val="0"/>
    <w:pPr>
      <w:widowControl/>
      <w:ind w:firstLine="0" w:firstLineChars="0"/>
      <w:jc w:val="center"/>
    </w:pPr>
    <w:rPr>
      <w:rFonts w:asciiTheme="minorHAnsi" w:hAnsiTheme="minorHAnsi" w:eastAsiaTheme="minorEastAsia"/>
      <w:sz w:val="21"/>
      <w:szCs w:val="24"/>
    </w:rPr>
  </w:style>
  <w:style w:type="character" w:customStyle="1" w:styleId="347">
    <w:name w:val="图片格式 字符1"/>
    <w:basedOn w:val="49"/>
    <w:link w:val="346"/>
    <w:qFormat/>
    <w:uiPriority w:val="0"/>
    <w:rPr>
      <w:rFonts w:asciiTheme="minorHAnsi" w:hAnsiTheme="minorHAnsi" w:eastAsiaTheme="minorEastAsia"/>
      <w:kern w:val="2"/>
      <w:sz w:val="21"/>
      <w:szCs w:val="24"/>
    </w:rPr>
  </w:style>
  <w:style w:type="paragraph" w:customStyle="1" w:styleId="348">
    <w:name w:val="font0"/>
    <w:basedOn w:val="1"/>
    <w:qFormat/>
    <w:uiPriority w:val="0"/>
    <w:pPr>
      <w:widowControl/>
      <w:spacing w:before="100" w:beforeAutospacing="1" w:after="100" w:afterAutospacing="1" w:line="240" w:lineRule="auto"/>
      <w:ind w:firstLine="0" w:firstLineChars="0"/>
      <w:jc w:val="left"/>
    </w:pPr>
    <w:rPr>
      <w:rFonts w:cs="宋体"/>
      <w:color w:val="000000"/>
      <w:kern w:val="0"/>
      <w:sz w:val="22"/>
      <w:szCs w:val="22"/>
    </w:rPr>
  </w:style>
  <w:style w:type="paragraph" w:customStyle="1" w:styleId="349">
    <w:name w:val="font7"/>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350">
    <w:name w:val="font8"/>
    <w:basedOn w:val="1"/>
    <w:qFormat/>
    <w:uiPriority w:val="0"/>
    <w:pPr>
      <w:widowControl/>
      <w:spacing w:before="100" w:beforeAutospacing="1" w:after="100" w:afterAutospacing="1" w:line="240" w:lineRule="auto"/>
      <w:ind w:firstLine="0" w:firstLineChars="0"/>
      <w:jc w:val="left"/>
    </w:pPr>
    <w:rPr>
      <w:rFonts w:cs="宋体"/>
      <w:color w:val="000000"/>
      <w:kern w:val="0"/>
      <w:sz w:val="22"/>
      <w:szCs w:val="22"/>
    </w:rPr>
  </w:style>
  <w:style w:type="paragraph" w:customStyle="1" w:styleId="351">
    <w:name w:val="font9"/>
    <w:basedOn w:val="1"/>
    <w:qFormat/>
    <w:uiPriority w:val="0"/>
    <w:pPr>
      <w:widowControl/>
      <w:spacing w:before="100" w:beforeAutospacing="1" w:after="100" w:afterAutospacing="1" w:line="240" w:lineRule="auto"/>
      <w:ind w:firstLine="0" w:firstLineChars="0"/>
      <w:jc w:val="left"/>
    </w:pPr>
    <w:rPr>
      <w:rFonts w:cs="宋体"/>
      <w:color w:val="000000"/>
      <w:kern w:val="0"/>
      <w:sz w:val="22"/>
      <w:szCs w:val="22"/>
    </w:rPr>
  </w:style>
  <w:style w:type="paragraph" w:customStyle="1" w:styleId="352">
    <w:name w:val="xl65"/>
    <w:basedOn w:val="1"/>
    <w:qFormat/>
    <w:uiPriority w:val="0"/>
    <w:pPr>
      <w:widowControl/>
      <w:spacing w:before="100" w:beforeAutospacing="1" w:after="100" w:afterAutospacing="1" w:line="240" w:lineRule="auto"/>
      <w:ind w:firstLine="0" w:firstLineChars="0"/>
      <w:jc w:val="center"/>
    </w:pPr>
    <w:rPr>
      <w:rFonts w:cs="宋体"/>
      <w:kern w:val="0"/>
      <w:sz w:val="24"/>
      <w:szCs w:val="24"/>
    </w:rPr>
  </w:style>
  <w:style w:type="paragraph" w:customStyle="1" w:styleId="353">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line="240" w:lineRule="auto"/>
      <w:ind w:firstLine="0" w:firstLineChars="0"/>
      <w:jc w:val="center"/>
    </w:pPr>
    <w:rPr>
      <w:rFonts w:cs="宋体"/>
      <w:b/>
      <w:bCs/>
      <w:kern w:val="0"/>
      <w:sz w:val="24"/>
      <w:szCs w:val="24"/>
    </w:rPr>
  </w:style>
  <w:style w:type="paragraph" w:customStyle="1" w:styleId="354">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4"/>
      <w:szCs w:val="24"/>
    </w:rPr>
  </w:style>
  <w:style w:type="paragraph" w:customStyle="1" w:styleId="355">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4"/>
      <w:szCs w:val="24"/>
    </w:rPr>
  </w:style>
  <w:style w:type="paragraph" w:customStyle="1" w:styleId="356">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color w:val="FF0000"/>
      <w:kern w:val="0"/>
      <w:sz w:val="24"/>
      <w:szCs w:val="24"/>
    </w:rPr>
  </w:style>
  <w:style w:type="paragraph" w:customStyle="1" w:styleId="357">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4"/>
      <w:szCs w:val="24"/>
    </w:rPr>
  </w:style>
  <w:style w:type="paragraph" w:customStyle="1" w:styleId="35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359">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color w:val="FF0000"/>
      <w:kern w:val="0"/>
      <w:sz w:val="24"/>
      <w:szCs w:val="24"/>
    </w:rPr>
  </w:style>
  <w:style w:type="paragraph" w:customStyle="1" w:styleId="360">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color w:val="FF0000"/>
      <w:kern w:val="0"/>
      <w:sz w:val="24"/>
      <w:szCs w:val="24"/>
    </w:rPr>
  </w:style>
  <w:style w:type="paragraph" w:customStyle="1" w:styleId="361">
    <w:name w:val="xl74"/>
    <w:basedOn w:val="1"/>
    <w:qFormat/>
    <w:uiPriority w:val="0"/>
    <w:pPr>
      <w:widowControl/>
      <w:pBdr>
        <w:bottom w:val="single" w:color="auto" w:sz="4" w:space="0"/>
      </w:pBdr>
      <w:spacing w:before="100" w:beforeAutospacing="1" w:after="100" w:afterAutospacing="1" w:line="240" w:lineRule="auto"/>
      <w:ind w:firstLine="0" w:firstLineChars="0"/>
      <w:jc w:val="center"/>
    </w:pPr>
    <w:rPr>
      <w:rFonts w:cs="宋体"/>
      <w:b/>
      <w:bCs/>
      <w:kern w:val="0"/>
    </w:rPr>
  </w:style>
  <w:style w:type="paragraph" w:customStyle="1" w:styleId="362">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4"/>
      <w:szCs w:val="24"/>
    </w:rPr>
  </w:style>
  <w:style w:type="paragraph" w:customStyle="1" w:styleId="36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character" w:customStyle="1" w:styleId="364">
    <w:name w:val="图片格式 字符"/>
    <w:basedOn w:val="49"/>
    <w:qFormat/>
    <w:uiPriority w:val="0"/>
    <w:rPr>
      <w:rFonts w:ascii="等线" w:hAnsi="等线" w:eastAsia="等线" w:cs="等线 Light"/>
      <w:kern w:val="0"/>
      <w:sz w:val="24"/>
      <w:szCs w:val="22"/>
    </w:rPr>
  </w:style>
  <w:style w:type="paragraph" w:customStyle="1" w:styleId="365">
    <w:name w:val="表格格式"/>
    <w:basedOn w:val="1"/>
    <w:link w:val="366"/>
    <w:qFormat/>
    <w:uiPriority w:val="0"/>
    <w:pPr>
      <w:spacing w:line="240" w:lineRule="auto"/>
      <w:ind w:firstLine="0" w:firstLineChars="0"/>
      <w:jc w:val="center"/>
    </w:pPr>
    <w:rPr>
      <w:rFonts w:asciiTheme="minorHAnsi" w:hAnsiTheme="minorHAnsi" w:eastAsiaTheme="minorEastAsia"/>
      <w:sz w:val="21"/>
      <w:szCs w:val="24"/>
    </w:rPr>
  </w:style>
  <w:style w:type="character" w:customStyle="1" w:styleId="366">
    <w:name w:val="表格格式 字符"/>
    <w:basedOn w:val="49"/>
    <w:link w:val="365"/>
    <w:qFormat/>
    <w:uiPriority w:val="0"/>
    <w:rPr>
      <w:rFonts w:asciiTheme="minorHAnsi" w:hAnsiTheme="minorHAnsi" w:eastAsiaTheme="minorEastAsia"/>
      <w:kern w:val="2"/>
      <w:sz w:val="21"/>
      <w:szCs w:val="24"/>
    </w:rPr>
  </w:style>
  <w:style w:type="paragraph" w:customStyle="1" w:styleId="367">
    <w:name w:val="标题 1（绿盟科技）"/>
    <w:basedOn w:val="5"/>
    <w:next w:val="1"/>
    <w:qFormat/>
    <w:uiPriority w:val="0"/>
    <w:pPr>
      <w:pageBreakBefore/>
      <w:numPr>
        <w:numId w:val="0"/>
      </w:numPr>
      <w:pBdr>
        <w:bottom w:val="single" w:color="auto" w:sz="48" w:space="1"/>
      </w:pBdr>
      <w:spacing w:before="600"/>
      <w:ind w:left="907" w:hanging="907"/>
      <w:jc w:val="left"/>
    </w:pPr>
    <w:rPr>
      <w:rFonts w:ascii="Arial" w:hAnsi="Arial" w:eastAsia="黑体"/>
      <w:sz w:val="36"/>
      <w:szCs w:val="36"/>
    </w:rPr>
  </w:style>
  <w:style w:type="paragraph" w:customStyle="1" w:styleId="368">
    <w:name w:val="标题 3（绿盟科技）"/>
    <w:basedOn w:val="10"/>
    <w:next w:val="1"/>
    <w:qFormat/>
    <w:uiPriority w:val="0"/>
    <w:pPr>
      <w:numPr>
        <w:ilvl w:val="0"/>
        <w:numId w:val="0"/>
      </w:numPr>
      <w:tabs>
        <w:tab w:val="left" w:pos="960"/>
      </w:tabs>
      <w:spacing w:line="415" w:lineRule="auto"/>
      <w:ind w:left="907" w:hanging="907"/>
      <w:jc w:val="left"/>
    </w:pPr>
    <w:rPr>
      <w:rFonts w:ascii="Arial" w:hAnsi="Arial" w:eastAsia="宋体"/>
      <w:b w:val="0"/>
      <w:kern w:val="0"/>
      <w:sz w:val="30"/>
      <w:szCs w:val="30"/>
    </w:rPr>
  </w:style>
  <w:style w:type="paragraph" w:customStyle="1" w:styleId="369">
    <w:name w:val="标题 4（绿盟科技）"/>
    <w:basedOn w:val="12"/>
    <w:next w:val="1"/>
    <w:qFormat/>
    <w:uiPriority w:val="0"/>
    <w:pPr>
      <w:widowControl/>
      <w:numPr>
        <w:ilvl w:val="0"/>
        <w:numId w:val="0"/>
      </w:numPr>
      <w:spacing w:after="156" w:line="360" w:lineRule="auto"/>
      <w:ind w:left="1021" w:hanging="1021"/>
      <w:jc w:val="left"/>
    </w:pPr>
    <w:rPr>
      <w:rFonts w:ascii="Arial" w:hAnsi="Arial" w:eastAsia="黑体"/>
      <w:kern w:val="0"/>
      <w:sz w:val="24"/>
      <w:szCs w:val="24"/>
    </w:rPr>
  </w:style>
  <w:style w:type="paragraph" w:customStyle="1" w:styleId="370">
    <w:name w:val="标题 5（有编号）（绿盟科技）"/>
    <w:basedOn w:val="1"/>
    <w:next w:val="1"/>
    <w:qFormat/>
    <w:uiPriority w:val="0"/>
    <w:pPr>
      <w:keepNext/>
      <w:keepLines/>
      <w:widowControl/>
      <w:spacing w:before="280" w:after="156" w:line="377" w:lineRule="auto"/>
      <w:ind w:left="1134" w:firstLine="0" w:firstLineChars="0"/>
      <w:jc w:val="left"/>
      <w:outlineLvl w:val="4"/>
    </w:pPr>
    <w:rPr>
      <w:rFonts w:ascii="Arial" w:hAnsi="Arial" w:eastAsia="黑体"/>
      <w:b/>
      <w:kern w:val="0"/>
      <w:sz w:val="24"/>
    </w:rPr>
  </w:style>
  <w:style w:type="paragraph" w:customStyle="1" w:styleId="371">
    <w:name w:val="标题 6（有编号）（绿盟科技）"/>
    <w:basedOn w:val="1"/>
    <w:next w:val="1"/>
    <w:qFormat/>
    <w:uiPriority w:val="0"/>
    <w:pPr>
      <w:keepNext/>
      <w:keepLines/>
      <w:spacing w:before="240" w:after="64" w:line="319" w:lineRule="auto"/>
      <w:ind w:left="1247" w:firstLine="0" w:firstLineChars="0"/>
      <w:jc w:val="left"/>
      <w:outlineLvl w:val="5"/>
    </w:pPr>
    <w:rPr>
      <w:rFonts w:ascii="Arial" w:hAnsi="Arial" w:eastAsia="黑体"/>
      <w:b/>
      <w:kern w:val="0"/>
      <w:sz w:val="21"/>
      <w:szCs w:val="24"/>
    </w:rPr>
  </w:style>
  <w:style w:type="paragraph" w:customStyle="1" w:styleId="372">
    <w:name w:val="yj数字编号"/>
    <w:basedOn w:val="1"/>
    <w:qFormat/>
    <w:uiPriority w:val="0"/>
    <w:pPr>
      <w:tabs>
        <w:tab w:val="left" w:pos="780"/>
      </w:tabs>
      <w:spacing w:beforeLines="50" w:line="240" w:lineRule="auto"/>
      <w:ind w:left="780" w:right="210" w:rightChars="100" w:firstLine="0" w:firstLineChars="0"/>
    </w:pPr>
    <w:rPr>
      <w:rFonts w:ascii="Times New Roman" w:hAnsi="Times New Roman"/>
      <w:b/>
      <w:sz w:val="24"/>
      <w:szCs w:val="44"/>
    </w:rPr>
  </w:style>
  <w:style w:type="paragraph" w:customStyle="1" w:styleId="373">
    <w:name w:val="科维-"/>
    <w:basedOn w:val="1"/>
    <w:qFormat/>
    <w:uiPriority w:val="0"/>
    <w:pPr>
      <w:widowControl/>
      <w:spacing w:beforeLines="50" w:afterLines="50"/>
      <w:ind w:left="420" w:firstLine="0" w:firstLineChars="0"/>
      <w:jc w:val="left"/>
    </w:pPr>
    <w:rPr>
      <w:rFonts w:ascii="Times New Roman" w:hAnsi="Times New Roman"/>
      <w:color w:val="000000"/>
      <w:kern w:val="0"/>
      <w:sz w:val="24"/>
      <w:szCs w:val="24"/>
      <w:lang w:eastAsia="en-US"/>
    </w:rPr>
  </w:style>
  <w:style w:type="paragraph" w:customStyle="1" w:styleId="374">
    <w:name w:val="List Paragraph2"/>
    <w:basedOn w:val="1"/>
    <w:qFormat/>
    <w:uiPriority w:val="0"/>
    <w:pPr>
      <w:ind w:firstLine="420"/>
      <w:jc w:val="left"/>
    </w:pPr>
    <w:rPr>
      <w:rFonts w:ascii="等线" w:hAnsi="等线" w:eastAsia="仿宋"/>
    </w:rPr>
  </w:style>
  <w:style w:type="paragraph" w:customStyle="1" w:styleId="375">
    <w:name w:val="xl77"/>
    <w:basedOn w:val="1"/>
    <w:qFormat/>
    <w:uiPriority w:val="0"/>
    <w:pPr>
      <w:widowControl/>
      <w:spacing w:before="100" w:beforeAutospacing="1" w:after="100" w:afterAutospacing="1" w:line="240" w:lineRule="auto"/>
      <w:ind w:firstLine="0" w:firstLineChars="0"/>
      <w:jc w:val="left"/>
    </w:pPr>
    <w:rPr>
      <w:rFonts w:cs="宋体"/>
      <w:kern w:val="0"/>
      <w:sz w:val="24"/>
      <w:szCs w:val="24"/>
    </w:rPr>
  </w:style>
  <w:style w:type="paragraph" w:customStyle="1" w:styleId="376">
    <w:name w:val="xl78"/>
    <w:basedOn w:val="1"/>
    <w:qFormat/>
    <w:uiPriority w:val="0"/>
    <w:pPr>
      <w:widowControl/>
      <w:spacing w:before="100" w:beforeAutospacing="1" w:after="100" w:afterAutospacing="1" w:line="240" w:lineRule="auto"/>
      <w:ind w:firstLine="0" w:firstLineChars="0"/>
      <w:jc w:val="center"/>
    </w:pPr>
    <w:rPr>
      <w:rFonts w:cs="宋体"/>
      <w:kern w:val="0"/>
      <w:sz w:val="24"/>
      <w:szCs w:val="24"/>
    </w:rPr>
  </w:style>
  <w:style w:type="paragraph" w:customStyle="1" w:styleId="37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7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7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kern w:val="0"/>
      <w:sz w:val="24"/>
      <w:szCs w:val="24"/>
    </w:rPr>
  </w:style>
  <w:style w:type="paragraph" w:customStyle="1" w:styleId="38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38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FF0000"/>
      <w:kern w:val="0"/>
      <w:sz w:val="24"/>
      <w:szCs w:val="24"/>
    </w:rPr>
  </w:style>
  <w:style w:type="paragraph" w:customStyle="1" w:styleId="38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cs="宋体"/>
      <w:b/>
      <w:bCs/>
      <w:kern w:val="0"/>
      <w:sz w:val="24"/>
      <w:szCs w:val="24"/>
    </w:rPr>
  </w:style>
  <w:style w:type="paragraph" w:customStyle="1" w:styleId="38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left"/>
    </w:pPr>
    <w:rPr>
      <w:rFonts w:cs="宋体"/>
      <w:b/>
      <w:bCs/>
      <w:kern w:val="0"/>
      <w:sz w:val="24"/>
      <w:szCs w:val="24"/>
    </w:rPr>
  </w:style>
  <w:style w:type="paragraph" w:customStyle="1" w:styleId="38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38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8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387">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88">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38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FF0000"/>
      <w:kern w:val="0"/>
      <w:sz w:val="24"/>
      <w:szCs w:val="24"/>
    </w:rPr>
  </w:style>
  <w:style w:type="paragraph" w:customStyle="1" w:styleId="39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FF0000"/>
      <w:kern w:val="0"/>
      <w:sz w:val="24"/>
      <w:szCs w:val="24"/>
    </w:rPr>
  </w:style>
  <w:style w:type="paragraph" w:customStyle="1" w:styleId="391">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color w:val="FF0000"/>
      <w:kern w:val="0"/>
      <w:sz w:val="24"/>
      <w:szCs w:val="24"/>
    </w:rPr>
  </w:style>
  <w:style w:type="paragraph" w:customStyle="1" w:styleId="39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FF0000"/>
      <w:kern w:val="0"/>
      <w:sz w:val="24"/>
      <w:szCs w:val="24"/>
    </w:rPr>
  </w:style>
  <w:style w:type="paragraph" w:customStyle="1" w:styleId="39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FF0000"/>
      <w:kern w:val="0"/>
      <w:sz w:val="24"/>
      <w:szCs w:val="24"/>
    </w:rPr>
  </w:style>
  <w:style w:type="paragraph" w:customStyle="1" w:styleId="394">
    <w:name w:val="xl96"/>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cs="宋体"/>
      <w:b/>
      <w:bCs/>
      <w:kern w:val="0"/>
      <w:sz w:val="24"/>
      <w:szCs w:val="24"/>
    </w:rPr>
  </w:style>
  <w:style w:type="paragraph" w:customStyle="1" w:styleId="39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4"/>
      <w:szCs w:val="24"/>
    </w:rPr>
  </w:style>
  <w:style w:type="paragraph" w:customStyle="1" w:styleId="396">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97">
    <w:name w:val="xl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98">
    <w:name w:val="xl10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4"/>
      <w:szCs w:val="24"/>
    </w:rPr>
  </w:style>
  <w:style w:type="paragraph" w:customStyle="1" w:styleId="400">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401">
    <w:name w:val="xl10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paragraph" w:customStyle="1" w:styleId="402">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4"/>
      <w:szCs w:val="24"/>
    </w:rPr>
  </w:style>
  <w:style w:type="character" w:customStyle="1" w:styleId="403">
    <w:name w:val="未处理的提及5"/>
    <w:basedOn w:val="49"/>
    <w:semiHidden/>
    <w:unhideWhenUsed/>
    <w:qFormat/>
    <w:uiPriority w:val="99"/>
    <w:rPr>
      <w:color w:val="605E5C"/>
      <w:shd w:val="clear" w:color="auto" w:fill="E1DFDD"/>
    </w:rPr>
  </w:style>
  <w:style w:type="character" w:customStyle="1" w:styleId="404">
    <w:name w:val="Unresolved Mention"/>
    <w:basedOn w:val="49"/>
    <w:semiHidden/>
    <w:unhideWhenUsed/>
    <w:qFormat/>
    <w:uiPriority w:val="99"/>
    <w:rPr>
      <w:color w:val="605E5C"/>
      <w:shd w:val="clear" w:color="auto" w:fill="E1DFDD"/>
    </w:rPr>
  </w:style>
  <w:style w:type="paragraph" w:customStyle="1" w:styleId="405">
    <w:name w:val="样式3"/>
    <w:basedOn w:val="406"/>
    <w:next w:val="1"/>
    <w:qFormat/>
    <w:uiPriority w:val="0"/>
    <w:pPr>
      <w:numPr>
        <w:ilvl w:val="0"/>
        <w:numId w:val="10"/>
      </w:numPr>
      <w:ind w:left="100" w:firstLine="0"/>
    </w:pPr>
  </w:style>
  <w:style w:type="paragraph" w:customStyle="1" w:styleId="406">
    <w:name w:val="三级样式"/>
    <w:next w:val="1"/>
    <w:qFormat/>
    <w:uiPriority w:val="0"/>
    <w:pPr>
      <w:numPr>
        <w:ilvl w:val="0"/>
        <w:numId w:val="11"/>
      </w:numPr>
      <w:spacing w:before="100" w:beforeLines="100" w:after="100" w:afterLines="100" w:line="360" w:lineRule="auto"/>
      <w:ind w:left="100" w:leftChars="100" w:firstLine="0"/>
      <w:outlineLvl w:val="2"/>
    </w:pPr>
    <w:rPr>
      <w:rFonts w:ascii="宋体" w:hAnsi="宋体" w:eastAsia="宋体" w:cstheme="minorBidi"/>
      <w:b/>
      <w:bCs/>
      <w:kern w:val="2"/>
      <w:sz w:val="28"/>
      <w:szCs w:val="32"/>
      <w:lang w:val="en-US" w:eastAsia="zh-CN" w:bidi="ar-SA"/>
    </w:rPr>
  </w:style>
  <w:style w:type="paragraph" w:customStyle="1" w:styleId="407">
    <w:name w:val="M正文"/>
    <w:basedOn w:val="1"/>
    <w:qFormat/>
    <w:uiPriority w:val="0"/>
    <w:pPr>
      <w:ind w:firstLine="480"/>
    </w:pPr>
    <w:rPr>
      <w:rFonts w:ascii="Calibri" w:hAnsi="Calibri"/>
    </w:rPr>
  </w:style>
  <w:style w:type="paragraph" w:customStyle="1" w:styleId="408">
    <w:name w:val="【正文】"/>
    <w:basedOn w:val="41"/>
    <w:qFormat/>
    <w:uiPriority w:val="0"/>
    <w:pPr>
      <w:spacing w:after="0"/>
      <w:ind w:firstLine="560"/>
      <w:jc w:val="left"/>
    </w:pPr>
    <w:rPr>
      <w:rFonts w:ascii="仿宋" w:hAnsi="仿宋" w:cs="仿宋_GB2312"/>
      <w:szCs w:val="28"/>
    </w:rPr>
  </w:style>
  <w:style w:type="character" w:customStyle="1" w:styleId="409">
    <w:name w:val="font12"/>
    <w:basedOn w:val="49"/>
    <w:qFormat/>
    <w:uiPriority w:val="0"/>
    <w:rPr>
      <w:rFonts w:hint="eastAsia" w:ascii="宋体" w:hAnsi="宋体" w:eastAsia="宋体" w:cs="宋体"/>
      <w:color w:val="000000"/>
      <w:sz w:val="24"/>
      <w:szCs w:val="24"/>
      <w:u w:val="none"/>
    </w:rPr>
  </w:style>
  <w:style w:type="paragraph" w:customStyle="1" w:styleId="410">
    <w:name w:val="1111五级"/>
    <w:basedOn w:val="13"/>
    <w:qFormat/>
    <w:uiPriority w:val="0"/>
    <w:rPr>
      <w:rFonts w:ascii="Arial" w:hAnsi="Arial"/>
    </w:rPr>
  </w:style>
  <w:style w:type="paragraph" w:customStyle="1" w:styleId="411">
    <w:name w:val="1111ws"/>
    <w:basedOn w:val="412"/>
    <w:qFormat/>
    <w:uiPriority w:val="0"/>
    <w:pPr>
      <w:numPr>
        <w:numId w:val="0"/>
      </w:numPr>
      <w:ind w:firstLine="422" w:firstLineChars="200"/>
    </w:pPr>
    <w:rPr>
      <w:rFonts w:eastAsia="宋体"/>
      <w:sz w:val="24"/>
    </w:rPr>
  </w:style>
  <w:style w:type="paragraph" w:customStyle="1" w:styleId="412">
    <w:name w:val="11111"/>
    <w:basedOn w:val="94"/>
    <w:qFormat/>
    <w:uiPriority w:val="0"/>
    <w:pPr>
      <w:keepNext/>
      <w:numPr>
        <w:ilvl w:val="0"/>
        <w:numId w:val="12"/>
      </w:numPr>
      <w:spacing w:before="326" w:beforeLines="100"/>
      <w:ind w:left="0" w:firstLine="422"/>
    </w:pPr>
    <w:rPr>
      <w:rFonts w:ascii="Arial" w:hAnsi="Arial"/>
      <w:b/>
    </w:rPr>
  </w:style>
  <w:style w:type="paragraph" w:customStyle="1" w:styleId="413">
    <w:name w:val="CR正文带符号"/>
    <w:basedOn w:val="1"/>
    <w:qFormat/>
    <w:uiPriority w:val="0"/>
    <w:pPr>
      <w:tabs>
        <w:tab w:val="left" w:pos="284"/>
      </w:tabs>
      <w:spacing w:line="240" w:lineRule="auto"/>
      <w:ind w:left="420" w:right="210" w:hanging="420"/>
    </w:pPr>
    <w:rPr>
      <w:rFonts w:ascii="Calibri" w:hAnsi="Calibri" w:eastAsia="微软雅黑" w:cs="Times New Roman"/>
      <w:szCs w:val="21"/>
    </w:rPr>
  </w:style>
  <w:style w:type="character" w:customStyle="1" w:styleId="414">
    <w:name w:val="font121"/>
    <w:basedOn w:val="49"/>
    <w:qFormat/>
    <w:uiPriority w:val="0"/>
    <w:rPr>
      <w:rFonts w:hint="eastAsia" w:ascii="宋体" w:hAnsi="宋体" w:eastAsia="宋体" w:cs="宋体"/>
      <w:color w:val="000000"/>
      <w:sz w:val="21"/>
      <w:szCs w:val="21"/>
      <w:u w:val="none"/>
    </w:rPr>
  </w:style>
  <w:style w:type="character" w:customStyle="1" w:styleId="415">
    <w:name w:val="font111"/>
    <w:basedOn w:val="49"/>
    <w:qFormat/>
    <w:uiPriority w:val="0"/>
    <w:rPr>
      <w:rFonts w:hint="eastAsia" w:ascii="宋体" w:hAnsi="宋体" w:eastAsia="宋体" w:cs="宋体"/>
      <w:color w:val="000000"/>
      <w:sz w:val="21"/>
      <w:szCs w:val="21"/>
      <w:u w:val="none"/>
    </w:rPr>
  </w:style>
  <w:style w:type="paragraph" w:customStyle="1" w:styleId="416">
    <w:name w:val="H4-HXDI"/>
    <w:basedOn w:val="9"/>
    <w:next w:val="9"/>
    <w:qFormat/>
    <w:uiPriority w:val="0"/>
    <w:pPr>
      <w:ind w:firstLine="0" w:firstLineChars="0"/>
      <w:outlineLvl w:val="3"/>
    </w:pPr>
  </w:style>
  <w:style w:type="table" w:customStyle="1" w:styleId="417">
    <w:name w:val="HXDI"/>
    <w:basedOn w:val="47"/>
    <w:qFormat/>
    <w:uiPriority w:val="99"/>
    <w:pPr>
      <w:adjustRightInd w:val="0"/>
      <w:snapToGrid w:val="0"/>
      <w:jc w:val="center"/>
    </w:pPr>
    <w:rPr>
      <w:rFonts w:ascii="Times New Roman" w:hAnsi="Times New Roman" w:eastAsia="宋体"/>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ascii="Times New Roman" w:hAnsi="Times New Roman" w:eastAsia="宋体"/>
        <w:b/>
        <w:i w:val="0"/>
        <w:sz w:val="21"/>
      </w:rPr>
    </w:tblStylePr>
  </w:style>
  <w:style w:type="paragraph" w:customStyle="1" w:styleId="418">
    <w:name w:val="页眉页脚"/>
    <w:basedOn w:val="1"/>
    <w:qFormat/>
    <w:uiPriority w:val="0"/>
    <w:pPr>
      <w:adjustRightInd w:val="0"/>
      <w:snapToGrid w:val="0"/>
      <w:spacing w:line="240" w:lineRule="auto"/>
      <w:ind w:firstLine="0" w:firstLineChars="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emf"/><Relationship Id="rId25" Type="http://schemas.openxmlformats.org/officeDocument/2006/relationships/oleObject" Target="embeddings/oleObject2.bin"/><Relationship Id="rId24" Type="http://schemas.openxmlformats.org/officeDocument/2006/relationships/image" Target="media/image8.emf"/><Relationship Id="rId23" Type="http://schemas.openxmlformats.org/officeDocument/2006/relationships/oleObject" Target="embeddings/oleObject1.bin"/><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315</Pages>
  <Words>5275</Words>
  <Characters>5995</Characters>
  <Lines>1</Lines>
  <Paragraphs>1</Paragraphs>
  <TotalTime>18</TotalTime>
  <ScaleCrop>false</ScaleCrop>
  <LinksUpToDate>false</LinksUpToDate>
  <CharactersWithSpaces>6503</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2024-10-11T09:28:00Z</dcterms:created>
  <dc:creator>Flyman</dc:creator>
  <cp:lastModifiedBy>lenovo</cp:lastModifiedBy>
  <dcterms:modified xsi:type="dcterms:W3CDTF">2026-06-18T01:14:34Z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4942D67F6BF64D58877B90969FB31A74_13</vt:lpwstr>
  </property>
  <property fmtid="{D5CDD505-2E9C-101B-9397-08002B2CF9AE}" pid="4" name="KSOTemplateDocerSaveRecord">
    <vt:lpwstr>eyJoZGlkIjoiMjYxNGY2Mzc3MDFkYmQxYzg5YTcxNzY2Y2Y1OGRjNjIiLCJ1c2VySWQiOiI0NTU3MjU5MDkifQ==</vt:lpwstr>
  </property>
</Properties>
</file>