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7656">
      <w:pPr>
        <w:spacing w:line="560" w:lineRule="exact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bookmarkStart w:id="0" w:name="_GoBack"/>
      <w:bookmarkEnd w:id="0"/>
    </w:p>
    <w:p w14:paraId="5B52926E">
      <w:pPr>
        <w:spacing w:line="560" w:lineRule="exact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一、设备技术需求：</w:t>
      </w:r>
    </w:p>
    <w:p w14:paraId="65FFD07E">
      <w:pPr>
        <w:spacing w:line="560" w:lineRule="exact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医院现有十台十功能自动煎药机和五台中药液包装机，新老设备以及信息化要能兼容。</w:t>
      </w:r>
    </w:p>
    <w:p w14:paraId="21EE51FC">
      <w:pPr>
        <w:spacing w:line="560" w:lineRule="exact"/>
        <w:jc w:val="left"/>
        <w:rPr>
          <w:rFonts w:hint="eastAsia" w:ascii="黑体" w:hAnsi="黑体"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1、十功能自动煎药机：</w:t>
      </w:r>
    </w:p>
    <w:p w14:paraId="4ECBECB7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①符合《中药煎药机行业标准》的相关要求，煎药效果有效成份煎出率不小于50%，以国家认可的相关检测机构出具的检验报告为准；</w:t>
      </w:r>
    </w:p>
    <w:p w14:paraId="0044FCDB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②可预设不少于12种煎药方案，并具备联网通讯功能。可支持通讯协议自动设置及实现煎药单据传输等通讯协议；</w:t>
      </w:r>
    </w:p>
    <w:p w14:paraId="71A4FEE6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③符合中药煎药室管理规范的相关要求。具有常压煎药功能，自动完成一煎两煎的全过程，提高煎药药效。可实现二煎煎药，二煎时自动加水，自动清洗。</w:t>
      </w:r>
    </w:p>
    <w:p w14:paraId="61D3B73D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④先煎后下提示功能，可实现常压煎药、密闭煎药、循环煎药功能。</w:t>
      </w:r>
    </w:p>
    <w:p w14:paraId="122986CA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⑤采用安全、卫生、自下往上、双滑道定位的电动机械挤压系统，实现药渣充分分离。</w:t>
      </w:r>
    </w:p>
    <w:p w14:paraId="5E24AEE0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⑥拉伸锅体设计，具有很高的机械强度和刚度，大副提高锅筒的安全性能。</w:t>
      </w:r>
    </w:p>
    <w:p w14:paraId="4055A9C2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⑦不锈钢锅体，内置不锈钢二煎储药罐。</w:t>
      </w:r>
    </w:p>
    <w:p w14:paraId="315E3DE9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⑧具有防温度过高和防干烧功能，数控煎药计时、定时功能，控制精度高。</w:t>
      </w:r>
    </w:p>
    <w:p w14:paraId="0779E399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⑨自动加热调节，文火、武火自动转换。</w:t>
      </w:r>
    </w:p>
    <w:p w14:paraId="16F26442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⑩有蒸汽循环回收功能，煎药蒸汽经风冷冷凝器回收，保障有效成份无损失，无味煎药，改善环境。</w:t>
      </w:r>
    </w:p>
    <w:p w14:paraId="1D3C790B">
      <w:pPr>
        <w:spacing w:line="560" w:lineRule="exact"/>
        <w:jc w:val="left"/>
        <w:rPr>
          <w:rFonts w:hint="eastAsia" w:ascii="黑体" w:hAnsi="黑体"/>
          <w:b/>
          <w:bCs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2、中药液包装机</w:t>
      </w:r>
    </w:p>
    <w:p w14:paraId="65316126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容量：20 升</w:t>
      </w:r>
    </w:p>
    <w:p w14:paraId="3268E51E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电压 220V</w:t>
      </w:r>
    </w:p>
    <w:p w14:paraId="7D2A8277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①自动包装，卫生健康，保质期长，易于携带，服用方便。</w:t>
      </w:r>
    </w:p>
    <w:p w14:paraId="62DC15E0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②包装温度、包装量自动显示。</w:t>
      </w:r>
    </w:p>
    <w:p w14:paraId="30401BF3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③★具备联网通讯功能。可实现煎药单数据传输等通讯协议，并支持包数、包装量通讯协议的自动设置；</w:t>
      </w:r>
    </w:p>
    <w:p w14:paraId="267D107F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④封合温度数字化控制，可以设定自动恒定。</w:t>
      </w:r>
    </w:p>
    <w:p w14:paraId="26EE9C19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⑤包装量为50-250ML无极变量可调包装。</w:t>
      </w:r>
    </w:p>
    <w:p w14:paraId="2AE73B42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⑥适用于老人、儿童、成年人等不同用量。</w:t>
      </w:r>
    </w:p>
    <w:p w14:paraId="03D9141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⑦包装平均速度8袋/分。</w:t>
      </w:r>
    </w:p>
    <w:p w14:paraId="39E48A47">
      <w:pPr>
        <w:spacing w:line="560" w:lineRule="exact"/>
        <w:jc w:val="left"/>
        <w:rPr>
          <w:rFonts w:hint="eastAsia" w:ascii="黑体" w:hAnsi="黑体"/>
          <w:b/>
          <w:bCs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3、浓煎药机</w:t>
      </w:r>
    </w:p>
    <w:p w14:paraId="105200C6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①浓缩效率超 7000ML / 小时，支持大容量及混煎</w:t>
      </w:r>
    </w:p>
    <w:p w14:paraId="34F45C8F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②防干烧+液位联动保护系统（引用传感器方案）</w:t>
      </w:r>
    </w:p>
    <w:p w14:paraId="2C4785B0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③精准出药：通过玻璃桶刻度以及浓缩效率公式致力于实现精准出药</w:t>
      </w:r>
    </w:p>
    <w:p w14:paraId="4EE070ED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④自动清洗：内置喷淋系统</w:t>
      </w:r>
    </w:p>
    <w:p w14:paraId="13591296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⑤快速消泡：具有浓缩快速消泡功能</w:t>
      </w:r>
    </w:p>
    <w:p w14:paraId="5B2AB9D7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⑥采用电容式液位传感器等双重保护</w:t>
      </w:r>
    </w:p>
    <w:p w14:paraId="11285389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/>
          <w:b/>
          <w:bCs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高效浓缩机</w:t>
      </w:r>
    </w:p>
    <w:p w14:paraId="53196DDC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①电压：AC220V</w:t>
      </w:r>
    </w:p>
    <w:p w14:paraId="11986884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②★浓缩量：≥12000-13000ml/h (高效模式)、≥8000ml/h-9000ml/h（真空模式）</w:t>
      </w:r>
    </w:p>
    <w:p w14:paraId="1EEE506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③真空率：-0.09Mpa</w:t>
      </w:r>
    </w:p>
    <w:p w14:paraId="378EEE43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④★具有高效快速浓缩和低温快速浓缩特点。</w:t>
      </w:r>
    </w:p>
    <w:p w14:paraId="01574354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⑤具有自动报警提示功能。</w:t>
      </w:r>
    </w:p>
    <w:p w14:paraId="0BBEAFD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⑥采用大功率双筒加热、抽真空及水冷凝冷却系统。</w:t>
      </w:r>
    </w:p>
    <w:p w14:paraId="2D6C2857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⑦防止浓缩液有效成分流失，保证浓缩效率。</w:t>
      </w:r>
    </w:p>
    <w:p w14:paraId="29546C2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⑧具有防高温和防干烧功能。</w:t>
      </w:r>
    </w:p>
    <w:p w14:paraId="26C614DC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⑨消泡方式：高效模式采用快速风压消泡，低温模式采用瞬时压差消泡。</w:t>
      </w:r>
    </w:p>
    <w:p w14:paraId="181B015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⑩清洗方式：具备管路自动清洗功能。</w:t>
      </w:r>
    </w:p>
    <w:p w14:paraId="5F0F5EC0">
      <w:pPr>
        <w:spacing w:line="560" w:lineRule="exact"/>
        <w:jc w:val="left"/>
        <w:rPr>
          <w:rFonts w:hint="eastAsia" w:ascii="黑体" w:hAnsi="黑体"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5、膏方包装机</w:t>
      </w:r>
    </w:p>
    <w:p w14:paraId="6BB2E2C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①包装量：15～50mL</w:t>
      </w:r>
    </w:p>
    <w:p w14:paraId="48B2A131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②电源电压：AC220V  50HZ</w:t>
      </w:r>
    </w:p>
    <w:p w14:paraId="07DEB7EF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③包装速度：8包/分</w:t>
      </w:r>
    </w:p>
    <w:p w14:paraId="06430B3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④内置控温装置，可控制膏体加热保温温度、包装袋封口温度等</w:t>
      </w:r>
    </w:p>
    <w:p w14:paraId="55120A1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⑤膏体保温加热棒与膏体隔绝，降低清洁难度。</w:t>
      </w:r>
    </w:p>
    <w:p w14:paraId="30199DF3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⑥包装档位电动可调，且各个档位具有微调功能，适应不同膏体。</w:t>
      </w:r>
    </w:p>
    <w:p w14:paraId="61CD305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⑦所有与膏方接触的材质符合药品生产法规要求，均为304不锈钢、玻璃、药用硅胶等，所有与膏方接触的不锈钢焊接口进行抛光处理，无卫生死角。</w:t>
      </w:r>
    </w:p>
    <w:p w14:paraId="18F5BCE2">
      <w:pPr>
        <w:spacing w:line="560" w:lineRule="exact"/>
        <w:jc w:val="left"/>
        <w:rPr>
          <w:rFonts w:hint="eastAsia" w:ascii="黑体" w:hAnsi="黑体"/>
          <w:b/>
          <w:bCs/>
          <w:sz w:val="30"/>
          <w:szCs w:val="30"/>
        </w:rPr>
      </w:pPr>
      <w:r>
        <w:rPr>
          <w:rFonts w:hint="eastAsia" w:ascii="黑体" w:hAnsi="黑体"/>
          <w:b/>
          <w:bCs/>
          <w:sz w:val="30"/>
          <w:szCs w:val="30"/>
        </w:rPr>
        <w:t>二、信息系统技术需求：</w:t>
      </w:r>
    </w:p>
    <w:p w14:paraId="17C47B3C">
      <w:pPr>
        <w:spacing w:line="560" w:lineRule="exact"/>
        <w:jc w:val="left"/>
        <w:rPr>
          <w:rFonts w:hint="eastAsia" w:ascii="黑体" w:hAnsi="黑体"/>
          <w:b/>
          <w:bCs/>
          <w:sz w:val="30"/>
          <w:szCs w:val="30"/>
        </w:rPr>
      </w:pPr>
    </w:p>
    <w:p w14:paraId="78BB88AF">
      <w:pPr>
        <w:spacing w:line="560" w:lineRule="exact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实现南昌县区域统一智慧共享中药房，通过实时流转、接方、审方、配方、审核、泡药、煎煮、包装、临方制剂、发货等步骤，实现煎药流程全方位智能化闭环管理。符合信创要求，智慧中药房系统软件适配操作系统openEuler当前最新的LTS版本，数据库适配openguass，能够支持操作系统实时更新补丁；硬件需满足智慧共享中药房要求。</w:t>
      </w:r>
    </w:p>
    <w:p w14:paraId="4D778EBF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1、</w:t>
      </w:r>
      <w:r>
        <w:rPr>
          <w:rFonts w:ascii="宋体" w:hAnsi="宋体" w:eastAsia="宋体" w:cs="Times New Roman"/>
          <w:kern w:val="0"/>
          <w:sz w:val="24"/>
        </w:rPr>
        <w:t>建立数据接口，与医院信息系统（</w:t>
      </w:r>
      <w:r>
        <w:rPr>
          <w:rFonts w:hint="eastAsia" w:ascii="宋体" w:hAnsi="宋体" w:eastAsia="宋体" w:cs="Times New Roman"/>
          <w:kern w:val="0"/>
          <w:sz w:val="24"/>
        </w:rPr>
        <w:t>东华医为</w:t>
      </w:r>
      <w:r>
        <w:rPr>
          <w:rFonts w:ascii="宋体" w:hAnsi="宋体" w:eastAsia="宋体" w:cs="Times New Roman"/>
          <w:kern w:val="0"/>
          <w:sz w:val="24"/>
        </w:rPr>
        <w:t xml:space="preserve">HIS）实现处方信息交互，交互信息一般包括但不限于：医院名称、医生姓名、处方编号、患者信息、处方付数及剂量、加工方案、服用方法。无法实现信息交互时，应支持手工录入处方。 </w:t>
      </w:r>
    </w:p>
    <w:p w14:paraId="7EAC01E3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2、</w:t>
      </w:r>
      <w:r>
        <w:rPr>
          <w:rFonts w:ascii="宋体" w:hAnsi="宋体" w:eastAsia="宋体" w:cs="Times New Roman"/>
          <w:kern w:val="0"/>
          <w:sz w:val="24"/>
        </w:rPr>
        <w:t xml:space="preserve">建立处方审方规则数据库，实现辅助审方功能，对中药处方的配伍禁忌、妊娠禁忌、超过最 大常用剂量等配方异常现象具有自动识别和警示提醒功能。 </w:t>
      </w:r>
    </w:p>
    <w:p w14:paraId="27D14CC4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3、</w:t>
      </w:r>
      <w:r>
        <w:rPr>
          <w:rFonts w:ascii="宋体" w:hAnsi="宋体" w:eastAsia="宋体" w:cs="Times New Roman"/>
          <w:kern w:val="0"/>
          <w:sz w:val="24"/>
        </w:rPr>
        <w:t xml:space="preserve"> 能监控设备运行状态、采集处方调剂过程信息。</w:t>
      </w:r>
    </w:p>
    <w:p w14:paraId="237AB2E0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4、</w:t>
      </w:r>
      <w:r>
        <w:rPr>
          <w:rFonts w:ascii="宋体" w:hAnsi="宋体" w:eastAsia="宋体" w:cs="Times New Roman"/>
          <w:kern w:val="0"/>
          <w:sz w:val="24"/>
        </w:rPr>
        <w:t>对药品调剂库存统计、出入库记录、处方调剂状态进行管理。</w:t>
      </w:r>
    </w:p>
    <w:p w14:paraId="352D13A4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5、</w:t>
      </w:r>
      <w:r>
        <w:rPr>
          <w:rFonts w:ascii="宋体" w:hAnsi="宋体" w:eastAsia="宋体" w:cs="Times New Roman"/>
          <w:kern w:val="0"/>
          <w:sz w:val="24"/>
        </w:rPr>
        <w:t xml:space="preserve">能监控设备运行状态、采集处方煎煮和包装过程信息。 </w:t>
      </w:r>
    </w:p>
    <w:p w14:paraId="1D57535F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6、</w:t>
      </w:r>
      <w:r>
        <w:rPr>
          <w:rFonts w:ascii="宋体" w:hAnsi="宋体" w:eastAsia="宋体" w:cs="Times New Roman"/>
          <w:kern w:val="0"/>
          <w:sz w:val="24"/>
        </w:rPr>
        <w:t xml:space="preserve">对设备煎煮过程温度、时间、出液量、包装量等进行管理。 </w:t>
      </w:r>
    </w:p>
    <w:p w14:paraId="3A26205B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7、</w:t>
      </w:r>
      <w:r>
        <w:rPr>
          <w:rFonts w:ascii="宋体" w:hAnsi="宋体" w:eastAsia="宋体" w:cs="Times New Roman"/>
          <w:kern w:val="0"/>
          <w:sz w:val="24"/>
        </w:rPr>
        <w:t xml:space="preserve">对自动清洗过程进行管理。 </w:t>
      </w:r>
    </w:p>
    <w:p w14:paraId="63B4096A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8、</w:t>
      </w:r>
      <w:r>
        <w:rPr>
          <w:rFonts w:ascii="宋体" w:hAnsi="宋体" w:eastAsia="宋体" w:cs="Times New Roman"/>
          <w:kern w:val="0"/>
          <w:sz w:val="24"/>
        </w:rPr>
        <w:t xml:space="preserve">对入库、申领、库存、报损、报溢、出库、统计查询等进行管理。 </w:t>
      </w:r>
    </w:p>
    <w:p w14:paraId="0CDA16DB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9、</w:t>
      </w:r>
      <w:r>
        <w:rPr>
          <w:rFonts w:ascii="宋体" w:hAnsi="宋体" w:eastAsia="宋体" w:cs="Times New Roman"/>
          <w:kern w:val="0"/>
          <w:sz w:val="24"/>
        </w:rPr>
        <w:t xml:space="preserve"> 对供应商及药品档案等进行管理。</w:t>
      </w:r>
    </w:p>
    <w:p w14:paraId="25AB7FE4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10、</w:t>
      </w:r>
      <w:r>
        <w:rPr>
          <w:rFonts w:ascii="宋体" w:hAnsi="宋体" w:eastAsia="宋体" w:cs="Times New Roman"/>
          <w:kern w:val="0"/>
          <w:sz w:val="24"/>
        </w:rPr>
        <w:t xml:space="preserve">根据中药房需求，智慧管理系统可与第三方物流系统实现对接，并实时获取配送管理信息，便于查询。 </w:t>
      </w:r>
    </w:p>
    <w:p w14:paraId="3F560760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11、</w:t>
      </w:r>
      <w:r>
        <w:rPr>
          <w:rFonts w:ascii="宋体" w:hAnsi="宋体" w:eastAsia="宋体" w:cs="Times New Roman"/>
          <w:kern w:val="0"/>
          <w:sz w:val="24"/>
        </w:rPr>
        <w:t>物流系统可实时获取处方加工信息和待配送信息，主动发送给患者。</w:t>
      </w:r>
    </w:p>
    <w:p w14:paraId="6265B48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12、</w:t>
      </w:r>
      <w:r>
        <w:rPr>
          <w:rFonts w:ascii="宋体" w:hAnsi="宋体" w:eastAsia="宋体" w:cs="Times New Roman"/>
          <w:kern w:val="0"/>
          <w:sz w:val="24"/>
        </w:rPr>
        <w:t xml:space="preserve"> 可记录接方、审方、处方调剂、煎煮、包装、配送及用户取药签收等信息。</w:t>
      </w:r>
    </w:p>
    <w:p w14:paraId="72CBAA42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13、</w:t>
      </w:r>
      <w:r>
        <w:rPr>
          <w:rFonts w:ascii="宋体" w:hAnsi="宋体" w:eastAsia="宋体" w:cs="Times New Roman"/>
          <w:kern w:val="0"/>
          <w:sz w:val="24"/>
        </w:rPr>
        <w:t xml:space="preserve"> 根据中药房需求，智慧管理系统可具备数据收集和分析能力，为中药房仓储、药品流转、处方 分配、处方优化、设备维护、设备优化等提供数据支持。</w:t>
      </w:r>
    </w:p>
    <w:p w14:paraId="0A4F928D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14、</w:t>
      </w:r>
      <w:r>
        <w:rPr>
          <w:rFonts w:ascii="宋体" w:hAnsi="宋体" w:eastAsia="宋体" w:cs="Times New Roman"/>
          <w:kern w:val="0"/>
          <w:sz w:val="24"/>
        </w:rPr>
        <w:t xml:space="preserve"> 支持医院信息系统（</w:t>
      </w:r>
      <w:r>
        <w:rPr>
          <w:rFonts w:hint="eastAsia" w:ascii="宋体" w:hAnsi="宋体" w:eastAsia="宋体" w:cs="Times New Roman"/>
          <w:kern w:val="0"/>
          <w:sz w:val="24"/>
        </w:rPr>
        <w:t>东华医为</w:t>
      </w:r>
      <w:r>
        <w:rPr>
          <w:rFonts w:ascii="宋体" w:hAnsi="宋体" w:eastAsia="宋体" w:cs="Times New Roman"/>
          <w:kern w:val="0"/>
          <w:sz w:val="24"/>
        </w:rPr>
        <w:t xml:space="preserve">HIS）获取处方流转信息，便于医师实时追溯处方加工和配送情况。 </w:t>
      </w:r>
    </w:p>
    <w:p w14:paraId="29B5E658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15、</w:t>
      </w:r>
      <w:r>
        <w:rPr>
          <w:rFonts w:ascii="宋体" w:hAnsi="宋体" w:eastAsia="宋体" w:cs="Times New Roman"/>
          <w:kern w:val="0"/>
          <w:sz w:val="24"/>
        </w:rPr>
        <w:t xml:space="preserve">可支持微信公众号、Web、物流系统等方式接入访问，便于患者或其他被授权人员等用户以相应 权限查询处方流转信息。 </w:t>
      </w:r>
    </w:p>
    <w:p w14:paraId="42527D82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16、</w:t>
      </w:r>
      <w:r>
        <w:rPr>
          <w:rFonts w:ascii="宋体" w:hAnsi="宋体" w:eastAsia="宋体" w:cs="Times New Roman"/>
          <w:kern w:val="0"/>
          <w:sz w:val="24"/>
        </w:rPr>
        <w:t xml:space="preserve">支持患者通过追溯码查询到处方流转信息。 </w:t>
      </w:r>
    </w:p>
    <w:p w14:paraId="71A5BF43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17、</w:t>
      </w:r>
      <w:r>
        <w:rPr>
          <w:rFonts w:ascii="宋体" w:hAnsi="宋体" w:eastAsia="宋体" w:cs="Times New Roman"/>
          <w:kern w:val="0"/>
          <w:sz w:val="24"/>
        </w:rPr>
        <w:t xml:space="preserve"> 按照信息安全技术要求，对敏感数据进行加密，保障数据传输安全。 </w:t>
      </w:r>
    </w:p>
    <w:p w14:paraId="7EA761C6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18、</w:t>
      </w:r>
      <w:r>
        <w:rPr>
          <w:rFonts w:ascii="宋体" w:hAnsi="宋体" w:eastAsia="宋体" w:cs="Times New Roman"/>
          <w:kern w:val="0"/>
          <w:sz w:val="24"/>
        </w:rPr>
        <w:t xml:space="preserve"> 采用网络安全身份认证、权限设置等方式，为不同角色分配操作权限。 </w:t>
      </w:r>
    </w:p>
    <w:p w14:paraId="765EF39E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19、</w:t>
      </w:r>
      <w:r>
        <w:rPr>
          <w:rFonts w:ascii="宋体" w:hAnsi="宋体" w:eastAsia="宋体" w:cs="Times New Roman"/>
          <w:kern w:val="0"/>
          <w:sz w:val="24"/>
        </w:rPr>
        <w:t xml:space="preserve"> 限制智慧中药房无线网络的使用，保证无线网络通过受控的边界设备接入内部网络。</w:t>
      </w:r>
    </w:p>
    <w:p w14:paraId="33B4FCFE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20、</w:t>
      </w:r>
      <w:r>
        <w:rPr>
          <w:rFonts w:ascii="宋体" w:hAnsi="宋体" w:eastAsia="宋体" w:cs="Times New Roman"/>
          <w:kern w:val="0"/>
          <w:sz w:val="24"/>
        </w:rPr>
        <w:t xml:space="preserve">应在智慧中药房内部系统与外部系统对接处设置防火墙，拦截系统非法入侵者，识别并记录入 侵者身份。 </w:t>
      </w:r>
    </w:p>
    <w:p w14:paraId="415A7B3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21、</w:t>
      </w:r>
      <w:r>
        <w:rPr>
          <w:rFonts w:ascii="宋体" w:hAnsi="宋体" w:eastAsia="宋体" w:cs="Times New Roman"/>
          <w:kern w:val="0"/>
          <w:sz w:val="24"/>
        </w:rPr>
        <w:t xml:space="preserve">应对患者信息、处方信息等重要数据进行备份和保护，未经授权人员不应使用备份数据。 </w:t>
      </w:r>
    </w:p>
    <w:p w14:paraId="47357F6A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22、</w:t>
      </w:r>
      <w:r>
        <w:rPr>
          <w:rFonts w:ascii="宋体" w:hAnsi="宋体" w:eastAsia="宋体" w:cs="Times New Roman"/>
          <w:kern w:val="0"/>
          <w:sz w:val="24"/>
        </w:rPr>
        <w:t xml:space="preserve"> 应具备恢复所有数据功能，包括但不限于：接方、审方、调剂、煎煮、包装等过程追 溯数据。 </w:t>
      </w:r>
    </w:p>
    <w:p w14:paraId="6A65D335">
      <w:pPr>
        <w:spacing w:line="560" w:lineRule="exact"/>
        <w:jc w:val="left"/>
        <w:rPr>
          <w:rFonts w:hint="eastAsia" w:ascii="宋体" w:hAnsi="宋体" w:eastAsia="宋体" w:cs="Times New Roman"/>
          <w:kern w:val="0"/>
          <w:sz w:val="24"/>
        </w:rPr>
      </w:pPr>
    </w:p>
    <w:p w14:paraId="65A83466"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三、商务需求：</w:t>
      </w:r>
    </w:p>
    <w:tbl>
      <w:tblPr>
        <w:tblStyle w:val="16"/>
        <w:tblW w:w="511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59"/>
        <w:gridCol w:w="5737"/>
      </w:tblGrid>
      <w:tr w14:paraId="3D382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5" w:type="dxa"/>
            <w:noWrap/>
            <w:vAlign w:val="center"/>
          </w:tcPr>
          <w:p w14:paraId="6CB5D53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序号</w:t>
            </w:r>
          </w:p>
        </w:tc>
        <w:tc>
          <w:tcPr>
            <w:tcW w:w="1237" w:type="dxa"/>
            <w:noWrap/>
            <w:vAlign w:val="center"/>
          </w:tcPr>
          <w:p w14:paraId="16C255A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商务和服务项目</w:t>
            </w:r>
          </w:p>
        </w:tc>
        <w:tc>
          <w:tcPr>
            <w:tcW w:w="3286" w:type="dxa"/>
            <w:noWrap/>
            <w:vAlign w:val="center"/>
          </w:tcPr>
          <w:p w14:paraId="385C04F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商务和服务要求</w:t>
            </w:r>
          </w:p>
        </w:tc>
      </w:tr>
      <w:tr w14:paraId="24A9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75" w:type="dxa"/>
            <w:noWrap/>
            <w:vAlign w:val="center"/>
          </w:tcPr>
          <w:p w14:paraId="2F7AC10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1</w:t>
            </w:r>
          </w:p>
        </w:tc>
        <w:tc>
          <w:tcPr>
            <w:tcW w:w="1237" w:type="dxa"/>
            <w:noWrap/>
            <w:vAlign w:val="center"/>
          </w:tcPr>
          <w:p w14:paraId="134C54F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★交货期</w:t>
            </w:r>
          </w:p>
        </w:tc>
        <w:tc>
          <w:tcPr>
            <w:tcW w:w="3286" w:type="dxa"/>
            <w:noWrap/>
            <w:vAlign w:val="center"/>
          </w:tcPr>
          <w:p w14:paraId="7264EB6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合同签订后两个月内</w:t>
            </w:r>
          </w:p>
        </w:tc>
      </w:tr>
      <w:tr w14:paraId="31A2A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75" w:type="dxa"/>
            <w:noWrap/>
            <w:vAlign w:val="center"/>
          </w:tcPr>
          <w:p w14:paraId="02B5097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37" w:type="dxa"/>
            <w:noWrap/>
            <w:vAlign w:val="center"/>
          </w:tcPr>
          <w:p w14:paraId="7639684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★</w:t>
            </w: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售后服务</w:t>
            </w:r>
          </w:p>
        </w:tc>
        <w:tc>
          <w:tcPr>
            <w:tcW w:w="3286" w:type="dxa"/>
            <w:noWrap/>
            <w:vAlign w:val="center"/>
          </w:tcPr>
          <w:p w14:paraId="6ECFFC8B">
            <w:pPr>
              <w:pStyle w:val="38"/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4"/>
              </w:rPr>
              <w:t>本项目所有硬件设备提供3年免费原厂质保服务，自项目整体最终验收合格之日起计算。</w:t>
            </w:r>
          </w:p>
          <w:p w14:paraId="36FACE39">
            <w:pPr>
              <w:pStyle w:val="38"/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本项目信息化系统、软件平台、应用模块及配套服务提供3年免费维保服务，与硬件质保同期计算。</w:t>
            </w:r>
          </w:p>
          <w:p w14:paraId="7D151716">
            <w:pPr>
              <w:pStyle w:val="38"/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免费期内，所有维修、更换、技术支持、系统升级、故障处理均不收取任何费用。</w:t>
            </w:r>
          </w:p>
          <w:p w14:paraId="55B84266">
            <w:pPr>
              <w:pStyle w:val="38"/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免费期满后，双方可按年度续签维保合同，一年一签。</w:t>
            </w:r>
          </w:p>
          <w:p w14:paraId="741848D6">
            <w:pPr>
              <w:pStyle w:val="38"/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续签价格执行本项目投标文件承诺的费率/总价，不另行议价。</w:t>
            </w:r>
          </w:p>
          <w:p w14:paraId="13627FA2">
            <w:pPr>
              <w:pStyle w:val="38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采购人有权根据服务质量、考核结果决定是否续签，中标人不得拒绝。 </w:t>
            </w:r>
          </w:p>
          <w:p w14:paraId="44C71C6E">
            <w:pPr>
              <w:pStyle w:val="38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2、对医院技术人员进行应用培训，直至操作人员会使用为止。</w:t>
            </w:r>
          </w:p>
          <w:p w14:paraId="259A72BE">
            <w:pPr>
              <w:pStyle w:val="38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3、设备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和信息系统</w:t>
            </w:r>
            <w:r>
              <w:rPr>
                <w:rFonts w:hint="eastAsia" w:ascii="宋体" w:hAnsi="宋体"/>
                <w:sz w:val="24"/>
              </w:rPr>
              <w:t>交付使用后，定期对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sz w:val="24"/>
              </w:rPr>
              <w:t>进行维护保养，在保修期内提供免费维护保养服务两次。</w:t>
            </w:r>
          </w:p>
          <w:p w14:paraId="3130A124">
            <w:pPr>
              <w:pStyle w:val="38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4、定期对机器清洁、性能测试及校准、必要的机械或电气的检查。</w:t>
            </w:r>
          </w:p>
        </w:tc>
      </w:tr>
      <w:tr w14:paraId="09966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75" w:type="dxa"/>
            <w:noWrap/>
            <w:vAlign w:val="center"/>
          </w:tcPr>
          <w:p w14:paraId="48A5F3D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37" w:type="dxa"/>
            <w:noWrap/>
            <w:vAlign w:val="center"/>
          </w:tcPr>
          <w:p w14:paraId="2188A8E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交货地点</w:t>
            </w:r>
          </w:p>
        </w:tc>
        <w:tc>
          <w:tcPr>
            <w:tcW w:w="3286" w:type="dxa"/>
            <w:noWrap/>
            <w:vAlign w:val="center"/>
          </w:tcPr>
          <w:p w14:paraId="12C4239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南昌县中医院指定地点</w:t>
            </w:r>
          </w:p>
        </w:tc>
      </w:tr>
      <w:tr w14:paraId="479F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75" w:type="dxa"/>
            <w:noWrap/>
            <w:vAlign w:val="center"/>
          </w:tcPr>
          <w:p w14:paraId="69DC50A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37" w:type="dxa"/>
            <w:noWrap/>
            <w:vAlign w:val="center"/>
          </w:tcPr>
          <w:p w14:paraId="440FF0F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包装运输</w:t>
            </w:r>
          </w:p>
        </w:tc>
        <w:tc>
          <w:tcPr>
            <w:tcW w:w="3286" w:type="dxa"/>
            <w:noWrap/>
            <w:vAlign w:val="center"/>
          </w:tcPr>
          <w:p w14:paraId="329CE23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highlight w:val="white"/>
              </w:rPr>
            </w:pPr>
            <w:r>
              <w:rPr>
                <w:rFonts w:hint="eastAsia" w:ascii="宋体" w:hAnsi="宋体" w:cs="宋体"/>
                <w:bCs/>
                <w:sz w:val="24"/>
                <w:highlight w:val="white"/>
              </w:rPr>
              <w:t>由供应商承担</w:t>
            </w:r>
          </w:p>
        </w:tc>
      </w:tr>
      <w:tr w14:paraId="3AB17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75" w:type="dxa"/>
            <w:noWrap/>
            <w:vAlign w:val="center"/>
          </w:tcPr>
          <w:p w14:paraId="42E7E43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5</w:t>
            </w:r>
          </w:p>
        </w:tc>
        <w:tc>
          <w:tcPr>
            <w:tcW w:w="1237" w:type="dxa"/>
            <w:shd w:val="clear" w:color="auto" w:fill="FFFFFF"/>
            <w:noWrap/>
            <w:vAlign w:val="center"/>
          </w:tcPr>
          <w:p w14:paraId="552AAEE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★付款方式</w:t>
            </w:r>
          </w:p>
        </w:tc>
        <w:tc>
          <w:tcPr>
            <w:tcW w:w="3286" w:type="dxa"/>
            <w:shd w:val="clear" w:color="auto" w:fill="FFFFFF"/>
            <w:noWrap/>
            <w:vAlign w:val="center"/>
          </w:tcPr>
          <w:p w14:paraId="6184B21A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bCs/>
                <w:sz w:val="24"/>
                <w:highlight w:val="white"/>
              </w:rPr>
            </w:pPr>
            <w:r>
              <w:rPr>
                <w:rFonts w:hint="eastAsia" w:ascii="宋体" w:hAnsi="宋体" w:cs="宋体"/>
                <w:bCs/>
                <w:sz w:val="24"/>
                <w:highlight w:val="white"/>
              </w:rPr>
              <w:t>安装调试验收合格后支付合同总金额的</w:t>
            </w:r>
            <w:r>
              <w:rPr>
                <w:rFonts w:ascii="宋体" w:hAnsi="宋体" w:cs="宋体"/>
                <w:bCs/>
                <w:sz w:val="24"/>
                <w:highlight w:val="white"/>
              </w:rPr>
              <w:t>30%,</w:t>
            </w:r>
            <w:r>
              <w:rPr>
                <w:rFonts w:hint="eastAsia" w:ascii="宋体" w:hAnsi="宋体" w:cs="宋体"/>
                <w:bCs/>
                <w:sz w:val="24"/>
                <w:highlight w:val="white"/>
              </w:rPr>
              <w:t>正常运行六个月后支付合同总金额的</w:t>
            </w:r>
            <w:r>
              <w:rPr>
                <w:rFonts w:ascii="宋体" w:hAnsi="宋体" w:cs="宋体"/>
                <w:bCs/>
                <w:sz w:val="24"/>
                <w:highlight w:val="white"/>
              </w:rPr>
              <w:t>60%</w:t>
            </w:r>
            <w:r>
              <w:rPr>
                <w:rFonts w:hint="eastAsia" w:ascii="宋体" w:hAnsi="宋体" w:cs="宋体"/>
                <w:bCs/>
                <w:sz w:val="24"/>
                <w:highlight w:val="white"/>
              </w:rPr>
              <w:t>，一年期满后支付合同10%余款。</w:t>
            </w:r>
          </w:p>
        </w:tc>
      </w:tr>
    </w:tbl>
    <w:p w14:paraId="44FB31DA">
      <w:pPr>
        <w:spacing w:line="360" w:lineRule="auto"/>
        <w:rPr>
          <w:rStyle w:val="18"/>
          <w:rFonts w:hint="eastAsia" w:ascii="宋体" w:hAnsi="宋体" w:eastAsia="宋体" w:cs="Arial"/>
          <w:color w:val="000000"/>
          <w:sz w:val="24"/>
        </w:rPr>
      </w:pPr>
    </w:p>
    <w:p w14:paraId="73B45C26">
      <w:pPr>
        <w:spacing w:line="360" w:lineRule="auto"/>
        <w:rPr>
          <w:rStyle w:val="18"/>
          <w:rFonts w:hint="eastAsia" w:ascii="宋体" w:hAnsi="宋体" w:eastAsia="宋体" w:cs="Arial"/>
          <w:b/>
          <w:bCs/>
          <w:color w:val="000000"/>
          <w:sz w:val="24"/>
        </w:rPr>
      </w:pPr>
      <w:r>
        <w:rPr>
          <w:rStyle w:val="18"/>
          <w:rFonts w:ascii="宋体" w:hAnsi="宋体" w:eastAsia="宋体" w:cs="Arial"/>
          <w:b/>
          <w:bCs/>
          <w:color w:val="000000"/>
          <w:sz w:val="24"/>
        </w:rPr>
        <w:br w:type="page" w:clear="all"/>
      </w:r>
    </w:p>
    <w:p w14:paraId="698C146D"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30A1"/>
    <w:multiLevelType w:val="singleLevel"/>
    <w:tmpl w:val="B2FE30A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3F"/>
    <w:rsid w:val="00220849"/>
    <w:rsid w:val="003A40F7"/>
    <w:rsid w:val="003D640E"/>
    <w:rsid w:val="005946A0"/>
    <w:rsid w:val="005D253F"/>
    <w:rsid w:val="006C2544"/>
    <w:rsid w:val="00903A97"/>
    <w:rsid w:val="00912D90"/>
    <w:rsid w:val="00A21DBC"/>
    <w:rsid w:val="00A24EB7"/>
    <w:rsid w:val="00A8336C"/>
    <w:rsid w:val="00C80244"/>
    <w:rsid w:val="00DA45CB"/>
    <w:rsid w:val="00E91C8C"/>
    <w:rsid w:val="00EC220E"/>
    <w:rsid w:val="00ED0C88"/>
    <w:rsid w:val="00EF6F09"/>
    <w:rsid w:val="14D95394"/>
    <w:rsid w:val="21D11D99"/>
    <w:rsid w:val="26C629BA"/>
    <w:rsid w:val="4FA2598A"/>
    <w:rsid w:val="730918EB"/>
    <w:rsid w:val="7D5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正文文本11"/>
    <w:basedOn w:val="1"/>
    <w:next w:val="1"/>
    <w:link w:val="39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0"/>
    </w:rPr>
  </w:style>
  <w:style w:type="character" w:customStyle="1" w:styleId="39">
    <w:name w:val="正文文本 字符1"/>
    <w:link w:val="38"/>
    <w:qFormat/>
    <w:uiPriority w:val="99"/>
    <w:rPr>
      <w:rFonts w:ascii="Times New Roman" w:hAnsi="Times New Roman" w:eastAsia="宋体" w:cs="Times New Roman"/>
      <w:kern w:val="0"/>
      <w:sz w:val="20"/>
      <w14:ligatures w14:val="none"/>
    </w:rPr>
  </w:style>
  <w:style w:type="paragraph" w:customStyle="1" w:styleId="40">
    <w:name w:val="标题 12"/>
    <w:next w:val="1"/>
    <w:qFormat/>
    <w:uiPriority w:val="9"/>
    <w:pPr>
      <w:keepNext/>
      <w:keepLines/>
      <w:widowControl w:val="0"/>
      <w:spacing w:before="480" w:after="200" w:line="240" w:lineRule="auto"/>
      <w:jc w:val="both"/>
      <w:outlineLvl w:val="0"/>
    </w:pPr>
    <w:rPr>
      <w:rFonts w:ascii="Arial" w:hAnsi="Arial" w:eastAsia="Arial" w:cs="Times New Roman"/>
      <w:kern w:val="0"/>
      <w:sz w:val="40"/>
      <w:szCs w:val="40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2548</Words>
  <Characters>2667</Characters>
  <Lines>75</Lines>
  <Paragraphs>101</Paragraphs>
  <TotalTime>41</TotalTime>
  <ScaleCrop>false</ScaleCrop>
  <LinksUpToDate>false</LinksUpToDate>
  <CharactersWithSpaces>2706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2026-04-10T06:40:00Z</dcterms:created>
  <dc:creator>李立岩 李立岩</dc:creator>
  <cp:lastModifiedBy>倔强</cp:lastModifiedBy>
  <dcterms:modified xsi:type="dcterms:W3CDTF">2026-04-17T02:18:49Z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eyJoZGlkIjoiOGQzMzg5ZmI4NmFiMDgwNjEzMmUxZjVlNDVmZDY3NTkiLCJ1c2VySWQiOiIxNjgwNzkxMTcyIn0=</vt:lpwstr>
  </property>
  <property fmtid="{D5CDD505-2E9C-101B-9397-08002B2CF9AE}" pid="3" name="KSOProductBuildVer">
    <vt:lpwstr>2052-12.8.2.18913</vt:lpwstr>
  </property>
  <property fmtid="{D5CDD505-2E9C-101B-9397-08002B2CF9AE}" pid="4" name="ICV">
    <vt:lpwstr>A47B206CD04E46C6A10D9C96062E5696_13</vt:lpwstr>
  </property>
</Properties>
</file>