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EBE6D">
      <w:pPr>
        <w:pageBreakBefore w:val="0"/>
        <w:widowControl w:val="0"/>
        <w:wordWrap/>
        <w:overflowPunct/>
        <w:topLinePunct w:val="0"/>
        <w:bidi w:val="0"/>
        <w:spacing w:before="63" w:line="224" w:lineRule="auto"/>
        <w:jc w:val="center"/>
        <w:outlineLvl w:val="0"/>
        <w:rPr>
          <w:rFonts w:ascii="宋体" w:hAnsi="宋体" w:eastAsia="宋体" w:cs="宋体"/>
          <w:color w:val="auto"/>
          <w:sz w:val="31"/>
          <w:szCs w:val="31"/>
          <w:highlight w:val="none"/>
          <w:lang w:eastAsia="zh-CN"/>
        </w:rPr>
      </w:pPr>
      <w:bookmarkStart w:id="0" w:name="_Toc14484"/>
      <w:r>
        <w:rPr>
          <w:rFonts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t>第五章</w:t>
      </w:r>
      <w:r>
        <w:rPr>
          <w:rFonts w:ascii="宋体" w:hAnsi="宋体" w:eastAsia="宋体" w:cs="宋体"/>
          <w:color w:val="auto"/>
          <w:spacing w:val="9"/>
          <w:sz w:val="31"/>
          <w:szCs w:val="31"/>
          <w:highlight w:val="none"/>
          <w:lang w:eastAsia="zh-CN"/>
        </w:rPr>
        <w:t xml:space="preserve">  </w:t>
      </w:r>
      <w:r>
        <w:rPr>
          <w:rFonts w:hint="eastAsia"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t>采购需求</w:t>
      </w:r>
      <w:bookmarkEnd w:id="0"/>
    </w:p>
    <w:p w14:paraId="68C5005A">
      <w:pPr>
        <w:pageBreakBefore w:val="0"/>
        <w:widowControl w:val="0"/>
        <w:wordWrap/>
        <w:overflowPunct/>
        <w:topLinePunct w:val="0"/>
        <w:bidi w:val="0"/>
        <w:spacing w:line="309" w:lineRule="auto"/>
        <w:jc w:val="center"/>
        <w:rPr>
          <w:color w:val="auto"/>
          <w:highlight w:val="none"/>
          <w:lang w:eastAsia="zh-CN"/>
        </w:rPr>
      </w:pPr>
    </w:p>
    <w:p w14:paraId="47EE93D3">
      <w:pPr>
        <w:pageBreakBefore w:val="0"/>
        <w:widowControl w:val="0"/>
        <w:wordWrap/>
        <w:overflowPunct/>
        <w:topLinePunct w:val="0"/>
        <w:bidi w:val="0"/>
        <w:spacing w:before="78" w:line="220" w:lineRule="auto"/>
        <w:jc w:val="both"/>
        <w:outlineLvl w:val="1"/>
        <w:rPr>
          <w:rFonts w:ascii="宋体" w:hAnsi="宋体" w:eastAsia="宋体" w:cs="宋体"/>
          <w:color w:val="auto"/>
          <w:sz w:val="24"/>
          <w:szCs w:val="24"/>
          <w:highlight w:val="none"/>
        </w:rPr>
      </w:pPr>
      <w:bookmarkStart w:id="1" w:name="_Toc32207"/>
      <w:r>
        <w:rPr>
          <w:rFonts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一、</w:t>
      </w:r>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采购</w:t>
      </w:r>
      <w:r>
        <w:rPr>
          <w:rFonts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需求表</w:t>
      </w:r>
      <w:bookmarkEnd w:id="1"/>
    </w:p>
    <w:p w14:paraId="3C1676DE">
      <w:pPr>
        <w:pageBreakBefore w:val="0"/>
        <w:widowControl w:val="0"/>
        <w:wordWrap/>
        <w:overflowPunct/>
        <w:topLinePunct w:val="0"/>
        <w:bidi w:val="0"/>
        <w:spacing w:before="64"/>
        <w:rPr>
          <w:color w:val="auto"/>
          <w:highlight w:val="none"/>
        </w:rPr>
      </w:pPr>
    </w:p>
    <w:tbl>
      <w:tblPr>
        <w:tblStyle w:val="6"/>
        <w:tblW w:w="9015" w:type="dxa"/>
        <w:tblInd w:w="-3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48"/>
        <w:gridCol w:w="817"/>
        <w:gridCol w:w="6150"/>
      </w:tblGrid>
      <w:tr w14:paraId="604F0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2" w:hRule="atLeast"/>
        </w:trPr>
        <w:tc>
          <w:tcPr>
            <w:tcW w:w="2048" w:type="dxa"/>
            <w:tcBorders>
              <w:right w:val="nil"/>
            </w:tcBorders>
          </w:tcPr>
          <w:p w14:paraId="27C20018">
            <w:pPr>
              <w:pageBreakBefore w:val="0"/>
              <w:widowControl w:val="0"/>
              <w:wordWrap/>
              <w:overflowPunct/>
              <w:topLinePunct w:val="0"/>
              <w:bidi w:val="0"/>
              <w:spacing w:before="183" w:line="223" w:lineRule="auto"/>
              <w:ind w:left="1091"/>
              <w:rPr>
                <w:rFonts w:ascii="宋体" w:hAnsi="宋体" w:eastAsia="宋体" w:cs="宋体"/>
                <w:color w:val="auto"/>
                <w:sz w:val="24"/>
                <w:szCs w:val="24"/>
                <w:highlight w:val="none"/>
              </w:rPr>
            </w:pPr>
            <w:r>
              <w:rPr>
                <w:color w:val="auto"/>
                <w:highlight w:val="none"/>
              </w:rPr>
              <w:drawing>
                <wp:anchor distT="0" distB="0" distL="0" distR="0" simplePos="0" relativeHeight="251662336" behindDoc="1" locked="0" layoutInCell="1" allowOverlap="1">
                  <wp:simplePos x="0" y="0"/>
                  <wp:positionH relativeFrom="column">
                    <wp:posOffset>6985</wp:posOffset>
                  </wp:positionH>
                  <wp:positionV relativeFrom="paragraph">
                    <wp:posOffset>0</wp:posOffset>
                  </wp:positionV>
                  <wp:extent cx="1805305" cy="1485265"/>
                  <wp:effectExtent l="0" t="0" r="4445" b="63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1805051" cy="1485442"/>
                          </a:xfrm>
                          <a:prstGeom prst="rect">
                            <a:avLst/>
                          </a:prstGeom>
                        </pic:spPr>
                      </pic:pic>
                    </a:graphicData>
                  </a:graphic>
                </wp:anchor>
              </w:drawing>
            </w:r>
            <w:r>
              <w:rPr>
                <w:rFonts w:ascii="宋体" w:hAnsi="宋体" w:eastAsia="宋体" w:cs="宋体"/>
                <w:color w:val="auto"/>
                <w:sz w:val="24"/>
                <w:szCs w:val="24"/>
                <w:highlight w:val="none"/>
              </w:rPr>
              <w:t>名</w:t>
            </w:r>
          </w:p>
          <w:p w14:paraId="2234759D">
            <w:pPr>
              <w:pStyle w:val="7"/>
              <w:pageBreakBefore w:val="0"/>
              <w:widowControl w:val="0"/>
              <w:wordWrap/>
              <w:overflowPunct/>
              <w:topLinePunct w:val="0"/>
              <w:bidi w:val="0"/>
              <w:spacing w:line="245" w:lineRule="auto"/>
              <w:rPr>
                <w:color w:val="auto"/>
                <w:highlight w:val="none"/>
              </w:rPr>
            </w:pPr>
          </w:p>
          <w:p w14:paraId="42EA3886">
            <w:pPr>
              <w:pStyle w:val="7"/>
              <w:pageBreakBefore w:val="0"/>
              <w:widowControl w:val="0"/>
              <w:wordWrap/>
              <w:overflowPunct/>
              <w:topLinePunct w:val="0"/>
              <w:bidi w:val="0"/>
              <w:spacing w:line="246" w:lineRule="auto"/>
              <w:rPr>
                <w:color w:val="auto"/>
                <w:highlight w:val="none"/>
              </w:rPr>
            </w:pPr>
          </w:p>
          <w:p w14:paraId="6846598A">
            <w:pPr>
              <w:pageBreakBefore w:val="0"/>
              <w:widowControl w:val="0"/>
              <w:wordWrap/>
              <w:overflowPunct/>
              <w:topLinePunct w:val="0"/>
              <w:bidi w:val="0"/>
              <w:spacing w:before="78" w:line="219" w:lineRule="auto"/>
              <w:ind w:left="481"/>
              <w:rPr>
                <w:rFonts w:ascii="宋体" w:hAnsi="宋体" w:eastAsia="宋体" w:cs="宋体"/>
                <w:color w:val="auto"/>
                <w:sz w:val="24"/>
                <w:szCs w:val="24"/>
                <w:highlight w:val="none"/>
              </w:rPr>
            </w:pPr>
            <w:r>
              <w:rPr>
                <w:rFonts w:ascii="宋体" w:hAnsi="宋体" w:eastAsia="宋体" w:cs="宋体"/>
                <w:color w:val="auto"/>
                <w:sz w:val="24"/>
                <w:szCs w:val="24"/>
                <w:highlight w:val="none"/>
              </w:rPr>
              <w:t>内</w:t>
            </w:r>
          </w:p>
          <w:p w14:paraId="1047730D">
            <w:pPr>
              <w:pStyle w:val="7"/>
              <w:pageBreakBefore w:val="0"/>
              <w:widowControl w:val="0"/>
              <w:wordWrap/>
              <w:overflowPunct/>
              <w:topLinePunct w:val="0"/>
              <w:bidi w:val="0"/>
              <w:spacing w:line="338" w:lineRule="auto"/>
              <w:rPr>
                <w:color w:val="auto"/>
                <w:highlight w:val="none"/>
              </w:rPr>
            </w:pPr>
          </w:p>
          <w:p w14:paraId="22EB4C69">
            <w:pPr>
              <w:pageBreakBefore w:val="0"/>
              <w:widowControl w:val="0"/>
              <w:wordWrap/>
              <w:overflowPunct/>
              <w:topLinePunct w:val="0"/>
              <w:bidi w:val="0"/>
              <w:spacing w:before="78" w:line="220" w:lineRule="auto"/>
              <w:ind w:left="1311"/>
              <w:rPr>
                <w:rFonts w:ascii="宋体" w:hAnsi="宋体" w:eastAsia="宋体" w:cs="宋体"/>
                <w:color w:val="auto"/>
                <w:sz w:val="24"/>
                <w:szCs w:val="24"/>
                <w:highlight w:val="none"/>
              </w:rPr>
            </w:pPr>
            <w:r>
              <w:rPr>
                <w:rFonts w:ascii="宋体" w:hAnsi="宋体" w:eastAsia="宋体" w:cs="宋体"/>
                <w:color w:val="auto"/>
                <w:sz w:val="24"/>
                <w:szCs w:val="24"/>
                <w:highlight w:val="none"/>
              </w:rPr>
              <w:t>容</w:t>
            </w:r>
          </w:p>
        </w:tc>
        <w:tc>
          <w:tcPr>
            <w:tcW w:w="817" w:type="dxa"/>
            <w:tcBorders>
              <w:left w:val="nil"/>
            </w:tcBorders>
          </w:tcPr>
          <w:p w14:paraId="5C24C312">
            <w:pPr>
              <w:pStyle w:val="7"/>
              <w:pageBreakBefore w:val="0"/>
              <w:widowControl w:val="0"/>
              <w:wordWrap/>
              <w:overflowPunct/>
              <w:topLinePunct w:val="0"/>
              <w:bidi w:val="0"/>
              <w:spacing w:line="263" w:lineRule="auto"/>
              <w:rPr>
                <w:color w:val="auto"/>
                <w:highlight w:val="none"/>
              </w:rPr>
            </w:pPr>
          </w:p>
          <w:p w14:paraId="35F50E7A">
            <w:pPr>
              <w:pStyle w:val="7"/>
              <w:pageBreakBefore w:val="0"/>
              <w:widowControl w:val="0"/>
              <w:wordWrap/>
              <w:overflowPunct/>
              <w:topLinePunct w:val="0"/>
              <w:bidi w:val="0"/>
              <w:spacing w:line="263" w:lineRule="auto"/>
              <w:rPr>
                <w:color w:val="auto"/>
                <w:highlight w:val="none"/>
              </w:rPr>
            </w:pPr>
          </w:p>
          <w:p w14:paraId="6E70E22B">
            <w:pPr>
              <w:pStyle w:val="7"/>
              <w:pageBreakBefore w:val="0"/>
              <w:widowControl w:val="0"/>
              <w:wordWrap/>
              <w:overflowPunct/>
              <w:topLinePunct w:val="0"/>
              <w:bidi w:val="0"/>
              <w:spacing w:line="264" w:lineRule="auto"/>
              <w:rPr>
                <w:color w:val="auto"/>
                <w:highlight w:val="none"/>
              </w:rPr>
            </w:pPr>
          </w:p>
          <w:p w14:paraId="3EAD89FA">
            <w:pPr>
              <w:pageBreakBefore w:val="0"/>
              <w:widowControl w:val="0"/>
              <w:wordWrap/>
              <w:overflowPunct/>
              <w:topLinePunct w:val="0"/>
              <w:bidi w:val="0"/>
              <w:spacing w:before="78" w:line="221" w:lineRule="auto"/>
              <w:ind w:left="192"/>
              <w:rPr>
                <w:rFonts w:ascii="宋体" w:hAnsi="宋体" w:eastAsia="宋体" w:cs="宋体"/>
                <w:color w:val="auto"/>
                <w:sz w:val="24"/>
                <w:szCs w:val="24"/>
                <w:highlight w:val="none"/>
              </w:rPr>
            </w:pPr>
            <w:r>
              <w:rPr>
                <w:rFonts w:ascii="宋体" w:hAnsi="宋体" w:eastAsia="宋体" w:cs="宋体"/>
                <w:color w:val="auto"/>
                <w:sz w:val="24"/>
                <w:szCs w:val="24"/>
                <w:highlight w:val="none"/>
              </w:rPr>
              <w:t>称</w:t>
            </w:r>
          </w:p>
        </w:tc>
        <w:tc>
          <w:tcPr>
            <w:tcW w:w="6150" w:type="dxa"/>
            <w:vAlign w:val="center"/>
          </w:tcPr>
          <w:p w14:paraId="75A59B60">
            <w:pPr>
              <w:spacing w:line="360" w:lineRule="auto"/>
              <w:jc w:val="center"/>
              <w:rPr>
                <w:color w:val="auto"/>
                <w:highlight w:val="none"/>
              </w:rPr>
            </w:pPr>
            <w:r>
              <w:rPr>
                <w:rFonts w:hint="eastAsia" w:asciiTheme="minorEastAsia" w:hAnsiTheme="minorEastAsia" w:eastAsiaTheme="minorEastAsia" w:cstheme="minorEastAsia"/>
                <w:color w:val="auto"/>
                <w:sz w:val="24"/>
                <w:highlight w:val="none"/>
              </w:rPr>
              <w:t>详见“第一章</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邀请”</w:t>
            </w:r>
          </w:p>
        </w:tc>
      </w:tr>
      <w:tr w14:paraId="382F3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865" w:type="dxa"/>
            <w:gridSpan w:val="2"/>
          </w:tcPr>
          <w:p w14:paraId="772EFACF">
            <w:pPr>
              <w:pageBreakBefore w:val="0"/>
              <w:widowControl w:val="0"/>
              <w:wordWrap/>
              <w:overflowPunct/>
              <w:topLinePunct w:val="0"/>
              <w:bidi w:val="0"/>
              <w:spacing w:before="253" w:line="219" w:lineRule="auto"/>
              <w:ind w:left="1188"/>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数量</w:t>
            </w:r>
          </w:p>
        </w:tc>
        <w:tc>
          <w:tcPr>
            <w:tcW w:w="6150" w:type="dxa"/>
            <w:vAlign w:val="center"/>
          </w:tcPr>
          <w:p w14:paraId="685AF9A9">
            <w:pPr>
              <w:spacing w:line="360" w:lineRule="auto"/>
              <w:jc w:val="center"/>
              <w:rPr>
                <w:color w:val="auto"/>
                <w:highlight w:val="none"/>
              </w:rPr>
            </w:pPr>
            <w:r>
              <w:rPr>
                <w:rFonts w:hint="eastAsia" w:ascii="宋体" w:hAnsi="宋体" w:eastAsia="宋体" w:cs="宋体"/>
                <w:color w:val="auto"/>
                <w:sz w:val="24"/>
                <w:highlight w:val="none"/>
                <w:lang w:val="en-US" w:eastAsia="zh-CN"/>
              </w:rPr>
              <w:t>详见第五章中的“采购需求”</w:t>
            </w:r>
          </w:p>
        </w:tc>
      </w:tr>
      <w:tr w14:paraId="62552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865" w:type="dxa"/>
            <w:gridSpan w:val="2"/>
          </w:tcPr>
          <w:p w14:paraId="518E4408">
            <w:pPr>
              <w:pageBreakBefore w:val="0"/>
              <w:widowControl w:val="0"/>
              <w:wordWrap/>
              <w:overflowPunct/>
              <w:topLinePunct w:val="0"/>
              <w:bidi w:val="0"/>
              <w:spacing w:before="253" w:line="219" w:lineRule="auto"/>
              <w:ind w:left="1071"/>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val="en-US" w:eastAsia="zh-CN"/>
              </w:rPr>
              <w:t>服务</w:t>
            </w:r>
            <w:r>
              <w:rPr>
                <w:rFonts w:ascii="宋体" w:hAnsi="宋体" w:eastAsia="宋体" w:cs="宋体"/>
                <w:color w:val="auto"/>
                <w:spacing w:val="-5"/>
                <w:sz w:val="24"/>
                <w:szCs w:val="24"/>
                <w:highlight w:val="none"/>
              </w:rPr>
              <w:t>期</w:t>
            </w:r>
          </w:p>
        </w:tc>
        <w:tc>
          <w:tcPr>
            <w:tcW w:w="6150" w:type="dxa"/>
            <w:vAlign w:val="center"/>
          </w:tcPr>
          <w:p w14:paraId="30F9305C">
            <w:pPr>
              <w:spacing w:line="360" w:lineRule="auto"/>
              <w:jc w:val="center"/>
              <w:rPr>
                <w:color w:val="auto"/>
                <w:highlight w:val="none"/>
              </w:rPr>
            </w:pPr>
            <w:r>
              <w:rPr>
                <w:rFonts w:hint="eastAsia" w:ascii="宋体" w:hAnsi="宋体" w:eastAsia="宋体" w:cs="宋体"/>
                <w:color w:val="auto"/>
                <w:sz w:val="24"/>
                <w:highlight w:val="none"/>
                <w:lang w:val="en-US" w:eastAsia="zh-CN"/>
              </w:rPr>
              <w:t>详见第五章中的“</w:t>
            </w:r>
            <w:r>
              <w:rPr>
                <w:rFonts w:ascii="宋体" w:hAnsi="宋体" w:eastAsia="宋体" w:cs="宋体"/>
                <w:color w:val="auto"/>
                <w:spacing w:val="0"/>
                <w:position w:val="0"/>
                <w:sz w:val="24"/>
                <w:szCs w:val="24"/>
                <w:lang w:eastAsia="zh-CN"/>
              </w:rPr>
              <w:t xml:space="preserve"> 商务</w:t>
            </w:r>
            <w:r>
              <w:rPr>
                <w:rFonts w:hint="eastAsia" w:ascii="宋体" w:hAnsi="宋体" w:eastAsia="宋体" w:cs="宋体"/>
                <w:color w:val="auto"/>
                <w:spacing w:val="0"/>
                <w:position w:val="0"/>
                <w:sz w:val="24"/>
                <w:szCs w:val="24"/>
                <w:lang w:val="en-US" w:eastAsia="zh-CN"/>
              </w:rPr>
              <w:t>条件</w:t>
            </w:r>
            <w:r>
              <w:rPr>
                <w:rFonts w:hint="eastAsia" w:ascii="宋体" w:hAnsi="宋体" w:eastAsia="宋体" w:cs="宋体"/>
                <w:color w:val="auto"/>
                <w:sz w:val="24"/>
                <w:highlight w:val="none"/>
                <w:lang w:val="en-US" w:eastAsia="zh-CN"/>
              </w:rPr>
              <w:t>”</w:t>
            </w:r>
          </w:p>
        </w:tc>
      </w:tr>
      <w:tr w14:paraId="089E3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865" w:type="dxa"/>
            <w:gridSpan w:val="2"/>
          </w:tcPr>
          <w:p w14:paraId="582850EF">
            <w:pPr>
              <w:pageBreakBefore w:val="0"/>
              <w:widowControl w:val="0"/>
              <w:wordWrap/>
              <w:overflowPunct/>
              <w:topLinePunct w:val="0"/>
              <w:bidi w:val="0"/>
              <w:spacing w:before="256" w:line="219" w:lineRule="auto"/>
              <w:ind w:left="951"/>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服务</w:t>
            </w:r>
            <w:r>
              <w:rPr>
                <w:rFonts w:ascii="宋体" w:hAnsi="宋体" w:eastAsia="宋体" w:cs="宋体"/>
                <w:color w:val="auto"/>
                <w:spacing w:val="-4"/>
                <w:sz w:val="24"/>
                <w:szCs w:val="24"/>
                <w:highlight w:val="none"/>
              </w:rPr>
              <w:t>地点</w:t>
            </w:r>
          </w:p>
        </w:tc>
        <w:tc>
          <w:tcPr>
            <w:tcW w:w="6150" w:type="dxa"/>
            <w:vAlign w:val="center"/>
          </w:tcPr>
          <w:p w14:paraId="1E88DDE1">
            <w:pPr>
              <w:spacing w:line="360" w:lineRule="auto"/>
              <w:jc w:val="center"/>
              <w:rPr>
                <w:color w:val="auto"/>
                <w:highlight w:val="none"/>
              </w:rPr>
            </w:pPr>
            <w:r>
              <w:rPr>
                <w:rFonts w:hint="eastAsia" w:ascii="宋体" w:hAnsi="宋体" w:eastAsia="宋体" w:cs="宋体"/>
                <w:color w:val="auto"/>
                <w:sz w:val="24"/>
                <w:highlight w:val="none"/>
                <w:lang w:val="en-US" w:eastAsia="zh-CN"/>
              </w:rPr>
              <w:t>详见第五章中的“</w:t>
            </w:r>
            <w:r>
              <w:rPr>
                <w:rFonts w:ascii="宋体" w:hAnsi="宋体" w:eastAsia="宋体" w:cs="宋体"/>
                <w:color w:val="auto"/>
                <w:spacing w:val="0"/>
                <w:position w:val="0"/>
                <w:sz w:val="24"/>
                <w:szCs w:val="24"/>
                <w:lang w:eastAsia="zh-CN"/>
              </w:rPr>
              <w:t xml:space="preserve"> 商务</w:t>
            </w:r>
            <w:r>
              <w:rPr>
                <w:rFonts w:hint="eastAsia" w:ascii="宋体" w:hAnsi="宋体" w:eastAsia="宋体" w:cs="宋体"/>
                <w:color w:val="auto"/>
                <w:spacing w:val="0"/>
                <w:position w:val="0"/>
                <w:sz w:val="24"/>
                <w:szCs w:val="24"/>
                <w:lang w:val="en-US" w:eastAsia="zh-CN"/>
              </w:rPr>
              <w:t>条件</w:t>
            </w:r>
            <w:r>
              <w:rPr>
                <w:rFonts w:hint="eastAsia" w:ascii="宋体" w:hAnsi="宋体" w:eastAsia="宋体" w:cs="宋体"/>
                <w:color w:val="auto"/>
                <w:sz w:val="24"/>
                <w:highlight w:val="none"/>
                <w:lang w:val="en-US" w:eastAsia="zh-CN"/>
              </w:rPr>
              <w:t>”</w:t>
            </w:r>
          </w:p>
        </w:tc>
      </w:tr>
      <w:tr w14:paraId="68F0D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2865" w:type="dxa"/>
            <w:gridSpan w:val="2"/>
          </w:tcPr>
          <w:p w14:paraId="2C442CAE">
            <w:pPr>
              <w:pageBreakBefore w:val="0"/>
              <w:widowControl w:val="0"/>
              <w:wordWrap/>
              <w:overflowPunct/>
              <w:topLinePunct w:val="0"/>
              <w:bidi w:val="0"/>
              <w:spacing w:before="256" w:line="221" w:lineRule="auto"/>
              <w:ind w:left="118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备注</w:t>
            </w:r>
          </w:p>
        </w:tc>
        <w:tc>
          <w:tcPr>
            <w:tcW w:w="6150" w:type="dxa"/>
            <w:vAlign w:val="center"/>
          </w:tcPr>
          <w:p w14:paraId="65E05ACF">
            <w:pPr>
              <w:spacing w:line="360" w:lineRule="auto"/>
              <w:jc w:val="left"/>
              <w:rPr>
                <w:color w:val="auto"/>
                <w:highlight w:val="none"/>
              </w:rPr>
            </w:pPr>
            <w:r>
              <w:rPr>
                <w:rFonts w:hint="eastAsia" w:ascii="宋体" w:hAnsi="宋体" w:eastAsia="宋体" w:cs="宋体"/>
                <w:color w:val="auto"/>
                <w:sz w:val="24"/>
                <w:highlight w:val="none"/>
                <w:lang w:val="en-US" w:eastAsia="zh-CN"/>
              </w:rPr>
              <w:t>本项目为交钥匙项目，报价内容完成本项目所需的一切相关费用。</w:t>
            </w:r>
          </w:p>
        </w:tc>
      </w:tr>
    </w:tbl>
    <w:p w14:paraId="3E42BFF3">
      <w:pPr>
        <w:pageBreakBefore w:val="0"/>
        <w:widowControl w:val="0"/>
        <w:wordWrap/>
        <w:overflowPunct/>
        <w:topLinePunct w:val="0"/>
        <w:bidi w:val="0"/>
        <w:rPr>
          <w:color w:val="auto"/>
          <w:highlight w:val="none"/>
        </w:rPr>
      </w:pPr>
    </w:p>
    <w:p w14:paraId="1D66D683">
      <w:pPr>
        <w:pageBreakBefore w:val="0"/>
        <w:widowControl w:val="0"/>
        <w:wordWrap/>
        <w:overflowPunct/>
        <w:topLinePunct w:val="0"/>
        <w:bidi w:val="0"/>
        <w:rPr>
          <w:color w:val="auto"/>
          <w:highlight w:val="none"/>
        </w:rPr>
        <w:sectPr>
          <w:footerReference r:id="rId3" w:type="default"/>
          <w:pgSz w:w="11906" w:h="16839"/>
          <w:pgMar w:top="1232" w:right="1786" w:bottom="1156" w:left="1786" w:header="0" w:footer="994" w:gutter="0"/>
          <w:pgNumType w:fmt="decimal"/>
          <w:cols w:space="720" w:num="1"/>
        </w:sectPr>
      </w:pPr>
    </w:p>
    <w:p w14:paraId="46888AB5">
      <w:pPr>
        <w:pageBreakBefore w:val="0"/>
        <w:widowControl w:val="0"/>
        <w:wordWrap/>
        <w:overflowPunct/>
        <w:topLinePunct w:val="0"/>
        <w:bidi w:val="0"/>
        <w:spacing w:before="47" w:line="219" w:lineRule="auto"/>
        <w:ind w:left="3805"/>
        <w:outlineLvl w:val="1"/>
        <w:rPr>
          <w:rFonts w:ascii="宋体" w:hAnsi="宋体" w:eastAsia="宋体" w:cs="宋体"/>
          <w:color w:val="auto"/>
          <w:sz w:val="24"/>
          <w:szCs w:val="24"/>
          <w:highlight w:val="none"/>
        </w:rPr>
      </w:pPr>
      <w:bookmarkStart w:id="2" w:name="bookmark81"/>
      <w:bookmarkEnd w:id="2"/>
      <w:bookmarkStart w:id="3" w:name="_Toc28900"/>
      <w:r>
        <w:rPr>
          <w:rFonts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二、采购</w:t>
      </w:r>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要</w:t>
      </w:r>
      <w:r>
        <w:rPr>
          <w:rFonts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求</w:t>
      </w:r>
      <w:bookmarkEnd w:id="3"/>
    </w:p>
    <w:p w14:paraId="2D672D7A">
      <w:pPr>
        <w:pageBreakBefore w:val="0"/>
        <w:widowControl w:val="0"/>
        <w:wordWrap/>
        <w:overflowPunct/>
        <w:topLinePunct w:val="0"/>
        <w:bidi w:val="0"/>
        <w:spacing w:line="257" w:lineRule="auto"/>
        <w:rPr>
          <w:color w:val="auto"/>
          <w:highlight w:val="none"/>
        </w:rPr>
      </w:pPr>
    </w:p>
    <w:p w14:paraId="53D6FDF2">
      <w:pPr>
        <w:pageBreakBefore w:val="0"/>
        <w:widowControl w:val="0"/>
        <w:wordWrap/>
        <w:overflowPunct/>
        <w:topLinePunct w:val="0"/>
        <w:bidi w:val="0"/>
        <w:spacing w:line="258" w:lineRule="auto"/>
        <w:rPr>
          <w:color w:val="auto"/>
          <w:highlight w:val="none"/>
        </w:rPr>
      </w:pPr>
    </w:p>
    <w:p w14:paraId="6BCDC479">
      <w:pPr>
        <w:pageBreakBefore w:val="0"/>
        <w:widowControl w:val="0"/>
        <w:wordWrap/>
        <w:overflowPunct/>
        <w:topLinePunct w:val="0"/>
        <w:bidi w:val="0"/>
        <w:spacing w:line="258" w:lineRule="auto"/>
        <w:rPr>
          <w:color w:val="auto"/>
          <w:highlight w:val="none"/>
        </w:rPr>
      </w:pPr>
    </w:p>
    <w:p w14:paraId="20AE9C0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2"/>
        <w:rPr>
          <w:rFonts w:hint="default"/>
          <w:color w:val="auto"/>
          <w:highlight w:val="none"/>
          <w:lang w:val="en-US"/>
        </w:rPr>
      </w:pPr>
      <w:bookmarkStart w:id="4" w:name="_Toc29123"/>
      <w:r>
        <w:rPr>
          <w:rFonts w:hint="eastAsia" w:ascii="仿宋_GB2312" w:hAnsi="仿宋_GB2312" w:eastAsia="仿宋_GB2312" w:cs="仿宋_GB2312"/>
          <w:sz w:val="32"/>
          <w:szCs w:val="32"/>
        </w:rPr>
        <w:t xml:space="preserve">（一） </w:t>
      </w:r>
      <w:r>
        <w:rPr>
          <w:rFonts w:hint="eastAsia" w:ascii="仿宋_GB2312" w:hAnsi="仿宋_GB2312" w:eastAsia="仿宋_GB2312" w:cs="仿宋_GB2312"/>
          <w:sz w:val="32"/>
          <w:szCs w:val="32"/>
          <w:lang w:val="en-US" w:eastAsia="zh-CN"/>
        </w:rPr>
        <w:t>技术要求</w:t>
      </w:r>
      <w:bookmarkEnd w:id="4"/>
    </w:p>
    <w:p w14:paraId="71DD833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项目内容：复合型团队服务。</w:t>
      </w:r>
    </w:p>
    <w:p w14:paraId="5A9F656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项目需求：</w:t>
      </w:r>
    </w:p>
    <w:p w14:paraId="21B6F1F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2.1需安排具备运动训练与体育教学经验的专业人员常驻江西省</w:t>
      </w:r>
      <w:r>
        <w:rPr>
          <w:rFonts w:hint="eastAsia" w:ascii="仿宋_GB2312" w:hAnsi="仿宋_GB2312" w:eastAsia="仿宋_GB2312" w:cs="仿宋_GB2312"/>
          <w:sz w:val="32"/>
          <w:szCs w:val="32"/>
          <w:lang w:val="en-US" w:eastAsia="zh-CN"/>
        </w:rPr>
        <w:t>体育</w:t>
      </w:r>
      <w:r>
        <w:rPr>
          <w:rFonts w:hint="eastAsia" w:ascii="仿宋_GB2312" w:hAnsi="仿宋_GB2312" w:eastAsia="仿宋_GB2312" w:cs="仿宋_GB2312"/>
          <w:sz w:val="32"/>
          <w:szCs w:val="32"/>
        </w:rPr>
        <w:t>运动学校，为在校学生运动员提供系统性的训练指导与日常支持。团队需深入训练一线，关注运动员个体发展，负责监督训练计划执行、提供技术分析，并协助学校开展运动员作风纪律管理，引导其养成良好的职业素养与行为习惯。</w:t>
      </w:r>
    </w:p>
    <w:p w14:paraId="3F6A7F0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为学校各项目运动员提供包括训练后恢复、常见运动损伤康复、身体机能监测、营养建议、心理辅导等在内的综合性保障服务，强化伤病的预防与早期干预，配合学校做好运动员身心健康的日常管理，构建科学规范的复合型服务体系。</w:t>
      </w:r>
    </w:p>
    <w:p w14:paraId="33BCA74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服务团队人员：本项目拟派团队人员应不少于</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其中须</w:t>
      </w:r>
      <w:r>
        <w:rPr>
          <w:rFonts w:hint="eastAsia" w:ascii="仿宋_GB2312" w:hAnsi="仿宋_GB2312" w:eastAsia="仿宋_GB2312" w:cs="仿宋_GB2312"/>
          <w:sz w:val="32"/>
          <w:szCs w:val="32"/>
          <w:lang w:eastAsia="zh-CN"/>
        </w:rPr>
        <w:t>含</w:t>
      </w: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eastAsia="zh-CN"/>
        </w:rPr>
        <w:t>：</w:t>
      </w:r>
    </w:p>
    <w:p w14:paraId="2150274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队医</w:t>
      </w:r>
      <w:r>
        <w:rPr>
          <w:rFonts w:hint="eastAsia" w:ascii="仿宋_GB2312" w:hAnsi="仿宋_GB2312" w:eastAsia="仿宋_GB2312" w:cs="仿宋_GB2312"/>
          <w:sz w:val="32"/>
          <w:szCs w:val="32"/>
          <w:highlight w:val="none"/>
          <w:lang w:val="en-US" w:eastAsia="zh-CN"/>
        </w:rPr>
        <w:t>1人：（护理学专业，本科及以上学历，具有护士执业证书，具有中级及以上卫生专业技术资格，40岁以下）</w:t>
      </w:r>
    </w:p>
    <w:p w14:paraId="44AD5F3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教练员4人（跆拳道、足球、羽毛球、中长跑各1人）：（本科及以上学历，本运动项目国家二级运动员及以上资质，30岁以下）</w:t>
      </w:r>
    </w:p>
    <w:p w14:paraId="5AD42FF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综合管理人员3人：（中专及以上学历，需具备中国人民解放军（含武警部队）服役经历，35岁以下）</w:t>
      </w:r>
    </w:p>
    <w:p w14:paraId="11D11A1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其他为运动员提供服务岗位若干；</w:t>
      </w:r>
    </w:p>
    <w:p w14:paraId="0B3B8D0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4.岗位职责</w:t>
      </w:r>
    </w:p>
    <w:p w14:paraId="4F28755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4.1 </w:t>
      </w:r>
      <w:r>
        <w:rPr>
          <w:rFonts w:hint="default" w:ascii="仿宋_GB2312" w:hAnsi="仿宋_GB2312" w:eastAsia="仿宋_GB2312" w:cs="仿宋_GB2312"/>
          <w:sz w:val="32"/>
          <w:szCs w:val="32"/>
          <w:lang w:val="en-US" w:eastAsia="zh-CN"/>
        </w:rPr>
        <w:t>队医岗职责</w:t>
      </w:r>
    </w:p>
    <w:p w14:paraId="32FA966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全面负责运动队日常医疗保健，定期为运动员进行身体检查，建立健康档案。</w:t>
      </w:r>
    </w:p>
    <w:p w14:paraId="2FE1E39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2 </w:t>
      </w:r>
      <w:r>
        <w:rPr>
          <w:rFonts w:hint="default" w:ascii="仿宋_GB2312" w:hAnsi="仿宋_GB2312" w:eastAsia="仿宋_GB2312" w:cs="仿宋_GB2312"/>
          <w:sz w:val="32"/>
          <w:szCs w:val="32"/>
          <w:lang w:val="en-US" w:eastAsia="zh-CN"/>
        </w:rPr>
        <w:t>对运动员的伤病进行及时初步诊断，制定个性化的康复方案，并跟踪康复进展。</w:t>
      </w:r>
    </w:p>
    <w:p w14:paraId="75739A0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根据运动员的身体状况和训练计划，提供专业的医疗建议，预防运动损伤的发生。</w:t>
      </w:r>
    </w:p>
    <w:p w14:paraId="5A25A0B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 xml:space="preserve">1.4 </w:t>
      </w:r>
      <w:r>
        <w:rPr>
          <w:rFonts w:hint="default" w:ascii="仿宋_GB2312" w:hAnsi="仿宋_GB2312" w:eastAsia="仿宋_GB2312" w:cs="仿宋_GB2312"/>
          <w:sz w:val="32"/>
          <w:szCs w:val="32"/>
          <w:lang w:val="en-US" w:eastAsia="zh-CN"/>
        </w:rPr>
        <w:t>在比赛期间，全程提供现场医疗保障，处理突发伤病情况。</w:t>
      </w:r>
    </w:p>
    <w:p w14:paraId="452B668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 综合</w:t>
      </w:r>
      <w:r>
        <w:rPr>
          <w:rFonts w:hint="default" w:ascii="仿宋_GB2312" w:hAnsi="仿宋_GB2312" w:eastAsia="仿宋_GB2312" w:cs="仿宋_GB2312"/>
          <w:sz w:val="32"/>
          <w:szCs w:val="32"/>
          <w:lang w:val="en-US" w:eastAsia="zh-CN"/>
        </w:rPr>
        <w:t>管理岗职责</w:t>
      </w:r>
    </w:p>
    <w:p w14:paraId="5CF3391A">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制定并执行运动队军事化管理制度和计划，组织运动员进行军事训练，培养纪律意识和团队精神。</w:t>
      </w:r>
    </w:p>
    <w:p w14:paraId="7FD59AD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 xml:space="preserve">2 </w:t>
      </w:r>
      <w:r>
        <w:rPr>
          <w:rFonts w:hint="default" w:ascii="仿宋_GB2312" w:hAnsi="仿宋_GB2312" w:eastAsia="仿宋_GB2312" w:cs="仿宋_GB2312"/>
          <w:sz w:val="32"/>
          <w:szCs w:val="32"/>
          <w:lang w:val="en-US" w:eastAsia="zh-CN"/>
        </w:rPr>
        <w:t>监督运动员的日常行为规范，确保遵守单位的各项规章制度，营造良好的训练和生活秩序。</w:t>
      </w:r>
    </w:p>
    <w:p w14:paraId="20F4AC7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4.2.3 </w:t>
      </w:r>
      <w:r>
        <w:rPr>
          <w:rFonts w:hint="default" w:ascii="仿宋_GB2312" w:hAnsi="仿宋_GB2312" w:eastAsia="仿宋_GB2312" w:cs="仿宋_GB2312"/>
          <w:sz w:val="32"/>
          <w:szCs w:val="32"/>
          <w:lang w:val="en-US" w:eastAsia="zh-CN"/>
        </w:rPr>
        <w:t>协助教练员做好运动员的思想教育工作，及时了解运动员的思想动态，解决思想问题。</w:t>
      </w:r>
    </w:p>
    <w:p w14:paraId="1021E3F4">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 xml:space="preserve">2.4 </w:t>
      </w:r>
      <w:r>
        <w:rPr>
          <w:rFonts w:hint="default" w:ascii="仿宋_GB2312" w:hAnsi="仿宋_GB2312" w:eastAsia="仿宋_GB2312" w:cs="仿宋_GB2312"/>
          <w:sz w:val="32"/>
          <w:szCs w:val="32"/>
          <w:lang w:val="en-US" w:eastAsia="zh-CN"/>
        </w:rPr>
        <w:t>参与运动队的日常管理和活动组织，提高团队的执行力和凝聚力。</w:t>
      </w:r>
    </w:p>
    <w:p w14:paraId="494B10B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w:t>
      </w:r>
      <w:r>
        <w:rPr>
          <w:rFonts w:hint="default" w:ascii="仿宋_GB2312" w:hAnsi="仿宋_GB2312" w:eastAsia="仿宋_GB2312" w:cs="仿宋_GB2312"/>
          <w:sz w:val="32"/>
          <w:szCs w:val="32"/>
          <w:lang w:val="en-US" w:eastAsia="zh-CN"/>
        </w:rPr>
        <w:t>教练</w:t>
      </w:r>
      <w:r>
        <w:rPr>
          <w:rFonts w:hint="eastAsia" w:ascii="仿宋_GB2312" w:hAnsi="仿宋_GB2312" w:eastAsia="仿宋_GB2312" w:cs="仿宋_GB2312"/>
          <w:sz w:val="32"/>
          <w:szCs w:val="32"/>
          <w:lang w:val="en-US" w:eastAsia="zh-CN"/>
        </w:rPr>
        <w:t>员</w:t>
      </w:r>
      <w:r>
        <w:rPr>
          <w:rFonts w:hint="default" w:ascii="仿宋_GB2312" w:hAnsi="仿宋_GB2312" w:eastAsia="仿宋_GB2312" w:cs="仿宋_GB2312"/>
          <w:sz w:val="32"/>
          <w:szCs w:val="32"/>
          <w:lang w:val="en-US" w:eastAsia="zh-CN"/>
        </w:rPr>
        <w:t>岗职责</w:t>
      </w:r>
    </w:p>
    <w:p w14:paraId="3A1EF48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制定</w:t>
      </w:r>
      <w:r>
        <w:rPr>
          <w:rFonts w:hint="eastAsia" w:ascii="仿宋_GB2312" w:hAnsi="仿宋_GB2312" w:eastAsia="仿宋_GB2312" w:cs="仿宋_GB2312"/>
          <w:sz w:val="32"/>
          <w:szCs w:val="32"/>
          <w:lang w:val="en-US" w:eastAsia="zh-CN"/>
        </w:rPr>
        <w:t>本</w:t>
      </w:r>
      <w:r>
        <w:rPr>
          <w:rFonts w:hint="default" w:ascii="仿宋_GB2312" w:hAnsi="仿宋_GB2312" w:eastAsia="仿宋_GB2312" w:cs="仿宋_GB2312"/>
          <w:sz w:val="32"/>
          <w:szCs w:val="32"/>
          <w:lang w:val="en-US" w:eastAsia="zh-CN"/>
        </w:rPr>
        <w:t>项目的年度、季度和月度训练计划，并组织实施，确保训练目标的实现。</w:t>
      </w:r>
    </w:p>
    <w:p w14:paraId="40341E7D">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指导运动员进行</w:t>
      </w:r>
      <w:r>
        <w:rPr>
          <w:rFonts w:hint="eastAsia" w:ascii="仿宋_GB2312" w:hAnsi="仿宋_GB2312" w:eastAsia="仿宋_GB2312" w:cs="仿宋_GB2312"/>
          <w:sz w:val="32"/>
          <w:szCs w:val="32"/>
          <w:lang w:val="en-US" w:eastAsia="zh-CN"/>
        </w:rPr>
        <w:t>本项目</w:t>
      </w:r>
      <w:r>
        <w:rPr>
          <w:rFonts w:hint="default" w:ascii="仿宋_GB2312" w:hAnsi="仿宋_GB2312" w:eastAsia="仿宋_GB2312" w:cs="仿宋_GB2312"/>
          <w:sz w:val="32"/>
          <w:szCs w:val="32"/>
          <w:lang w:val="en-US" w:eastAsia="zh-CN"/>
        </w:rPr>
        <w:t>技术训练、体能训练和战术训练，提高运动员的竞技水平。</w:t>
      </w:r>
    </w:p>
    <w:p w14:paraId="039D3E9D">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 xml:space="preserve">3 </w:t>
      </w:r>
      <w:r>
        <w:rPr>
          <w:rFonts w:hint="default" w:ascii="仿宋_GB2312" w:hAnsi="仿宋_GB2312" w:eastAsia="仿宋_GB2312" w:cs="仿宋_GB2312"/>
          <w:sz w:val="32"/>
          <w:szCs w:val="32"/>
          <w:lang w:val="en-US" w:eastAsia="zh-CN"/>
        </w:rPr>
        <w:t>关注</w:t>
      </w:r>
      <w:r>
        <w:rPr>
          <w:rFonts w:hint="eastAsia" w:ascii="仿宋_GB2312" w:hAnsi="仿宋_GB2312" w:eastAsia="仿宋_GB2312" w:cs="仿宋_GB2312"/>
          <w:sz w:val="32"/>
          <w:szCs w:val="32"/>
          <w:lang w:val="en-US" w:eastAsia="zh-CN"/>
        </w:rPr>
        <w:t>本项目</w:t>
      </w:r>
      <w:r>
        <w:rPr>
          <w:rFonts w:hint="default" w:ascii="仿宋_GB2312" w:hAnsi="仿宋_GB2312" w:eastAsia="仿宋_GB2312" w:cs="仿宋_GB2312"/>
          <w:sz w:val="32"/>
          <w:szCs w:val="32"/>
          <w:lang w:val="en-US" w:eastAsia="zh-CN"/>
        </w:rPr>
        <w:t>运动的发展动态和最新技术，不断更新训练理念和方法。</w:t>
      </w:r>
    </w:p>
    <w:p w14:paraId="20EE6EE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w:t>
      </w: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带领运动员参加各类</w:t>
      </w:r>
      <w:r>
        <w:rPr>
          <w:rFonts w:hint="eastAsia" w:ascii="仿宋_GB2312" w:hAnsi="仿宋_GB2312" w:eastAsia="仿宋_GB2312" w:cs="仿宋_GB2312"/>
          <w:sz w:val="32"/>
          <w:szCs w:val="32"/>
          <w:lang w:val="en-US" w:eastAsia="zh-CN"/>
        </w:rPr>
        <w:t>本项目</w:t>
      </w:r>
      <w:r>
        <w:rPr>
          <w:rFonts w:hint="default" w:ascii="仿宋_GB2312" w:hAnsi="仿宋_GB2312" w:eastAsia="仿宋_GB2312" w:cs="仿宋_GB2312"/>
          <w:sz w:val="32"/>
          <w:szCs w:val="32"/>
          <w:lang w:val="en-US" w:eastAsia="zh-CN"/>
        </w:rPr>
        <w:t>比赛，争取优异成绩，为运动队赢得荣誉。</w:t>
      </w:r>
    </w:p>
    <w:p w14:paraId="33A0075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工作时间：需</w:t>
      </w:r>
      <w:r>
        <w:rPr>
          <w:rFonts w:hint="eastAsia" w:ascii="仿宋_GB2312" w:hAnsi="仿宋_GB2312" w:eastAsia="仿宋_GB2312" w:cs="仿宋_GB2312"/>
          <w:sz w:val="32"/>
          <w:szCs w:val="32"/>
          <w:lang w:eastAsia="zh-CN"/>
        </w:rPr>
        <w:t>住校</w:t>
      </w:r>
      <w:r>
        <w:rPr>
          <w:rFonts w:hint="eastAsia" w:ascii="仿宋_GB2312" w:hAnsi="仿宋_GB2312" w:eastAsia="仿宋_GB2312" w:cs="仿宋_GB2312"/>
          <w:sz w:val="32"/>
          <w:szCs w:val="32"/>
        </w:rPr>
        <w:t>进行服务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正常工作日周一至周六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特殊情况下工作时间将可能是全天候，包括节假日、休息日、外出集训比赛随队服务。</w:t>
      </w:r>
    </w:p>
    <w:p w14:paraId="5009D45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服务对象：江西省体育运动学校运动员。</w:t>
      </w:r>
    </w:p>
    <w:p w14:paraId="4B8D08E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考核内容：</w:t>
      </w:r>
    </w:p>
    <w:p w14:paraId="66401DA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.1 保证服务质量：投标人</w:t>
      </w:r>
      <w:r>
        <w:rPr>
          <w:rFonts w:hint="eastAsia" w:ascii="仿宋_GB2312" w:hAnsi="仿宋_GB2312" w:eastAsia="仿宋_GB2312" w:cs="仿宋_GB2312"/>
          <w:sz w:val="32"/>
          <w:szCs w:val="32"/>
          <w:lang w:eastAsia="zh-CN"/>
        </w:rPr>
        <w:t>须</w:t>
      </w:r>
      <w:r>
        <w:rPr>
          <w:rFonts w:hint="eastAsia" w:ascii="仿宋_GB2312" w:hAnsi="仿宋_GB2312" w:eastAsia="仿宋_GB2312" w:cs="仿宋_GB2312"/>
          <w:sz w:val="32"/>
          <w:szCs w:val="32"/>
        </w:rPr>
        <w:t>配备专业的项目团队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严格执行双方约定的制度、流程，以保证劳务派驻的服务质量</w:t>
      </w:r>
      <w:r>
        <w:rPr>
          <w:rFonts w:hint="eastAsia" w:ascii="仿宋_GB2312" w:hAnsi="仿宋_GB2312" w:eastAsia="仿宋_GB2312" w:cs="仿宋_GB2312"/>
          <w:sz w:val="32"/>
          <w:szCs w:val="32"/>
          <w:lang w:eastAsia="zh-CN"/>
        </w:rPr>
        <w:t>。</w:t>
      </w:r>
    </w:p>
    <w:p w14:paraId="090E569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.2 保证服务规范：投标人将严格按照运动队保障服务要求，以规范化的管理流程，及时处理、解决有关事务；</w:t>
      </w:r>
    </w:p>
    <w:p w14:paraId="455BDF8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.3 保证员工利益：及时、准确地发放工资以及申报有关社会保险；</w:t>
      </w:r>
    </w:p>
    <w:p w14:paraId="4DA24AF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.4 负责纠纷处理：因派驻员工劳动权益产生纠纷的，投标人会及时进行协调处理，并在纠纷未决期间保证岗位工作的正常开展；</w:t>
      </w:r>
    </w:p>
    <w:p w14:paraId="4647820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.5 工作业绩：能够很好完成制定的工作任务，完成工作质量和效率高；</w:t>
      </w:r>
    </w:p>
    <w:p w14:paraId="1637BC9E">
      <w:pPr>
        <w:pageBreakBefore w:val="0"/>
        <w:kinsoku/>
        <w:wordWrap/>
        <w:overflowPunct/>
        <w:topLinePunct w:val="0"/>
        <w:autoSpaceDE/>
        <w:autoSpaceDN/>
        <w:bidi w:val="0"/>
        <w:spacing w:line="560" w:lineRule="exact"/>
        <w:ind w:left="0" w:right="0" w:firstLine="624"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注：以上所有技术部分</w:t>
      </w:r>
      <w:r>
        <w:rPr>
          <w:rFonts w:hint="eastAsia" w:ascii="仿宋_GB2312" w:hAnsi="仿宋_GB2312" w:eastAsia="仿宋_GB2312" w:cs="仿宋_GB2312"/>
          <w:spacing w:val="-2"/>
          <w:sz w:val="32"/>
          <w:szCs w:val="32"/>
        </w:rPr>
        <w:t>投标人必须全部满足，否则视为无效投标。投标人可以提供满足</w:t>
      </w:r>
      <w:r>
        <w:rPr>
          <w:rFonts w:hint="eastAsia" w:ascii="仿宋_GB2312" w:hAnsi="仿宋_GB2312" w:eastAsia="仿宋_GB2312" w:cs="仿宋_GB2312"/>
          <w:spacing w:val="1"/>
          <w:sz w:val="32"/>
          <w:szCs w:val="32"/>
        </w:rPr>
        <w:t>或优</w:t>
      </w:r>
      <w:r>
        <w:rPr>
          <w:rFonts w:hint="eastAsia" w:ascii="仿宋_GB2312" w:hAnsi="仿宋_GB2312" w:eastAsia="仿宋_GB2312" w:cs="仿宋_GB2312"/>
          <w:sz w:val="32"/>
          <w:szCs w:val="32"/>
        </w:rPr>
        <w:t>于以上基本需求的</w:t>
      </w:r>
      <w:r>
        <w:rPr>
          <w:rFonts w:hint="eastAsia" w:ascii="仿宋_GB2312" w:hAnsi="仿宋_GB2312" w:eastAsia="仿宋_GB2312" w:cs="仿宋_GB2312"/>
          <w:sz w:val="32"/>
          <w:szCs w:val="32"/>
          <w:lang w:val="en-US" w:eastAsia="zh-CN"/>
        </w:rPr>
        <w:t>技术</w:t>
      </w:r>
      <w:r>
        <w:rPr>
          <w:rFonts w:hint="eastAsia" w:ascii="仿宋_GB2312" w:hAnsi="仿宋_GB2312" w:eastAsia="仿宋_GB2312" w:cs="仿宋_GB2312"/>
          <w:sz w:val="32"/>
          <w:szCs w:val="32"/>
        </w:rPr>
        <w:t>要求参加投标。</w:t>
      </w:r>
    </w:p>
    <w:p w14:paraId="1A930E45">
      <w:pPr>
        <w:pageBreakBefore w:val="0"/>
        <w:kinsoku/>
        <w:wordWrap/>
        <w:overflowPunct/>
        <w:topLinePunct w:val="0"/>
        <w:autoSpaceDE/>
        <w:autoSpaceDN/>
        <w:bidi w:val="0"/>
        <w:spacing w:line="560" w:lineRule="exact"/>
        <w:ind w:left="0" w:right="0" w:firstLine="640" w:firstLineChars="200"/>
        <w:jc w:val="left"/>
        <w:textAlignment w:val="auto"/>
        <w:outlineLvl w:val="9"/>
        <w:rPr>
          <w:rFonts w:hint="eastAsia" w:ascii="仿宋_GB2312" w:hAnsi="仿宋_GB2312" w:eastAsia="仿宋_GB2312" w:cs="仿宋_GB2312"/>
          <w:sz w:val="32"/>
          <w:szCs w:val="32"/>
        </w:rPr>
      </w:pPr>
    </w:p>
    <w:p w14:paraId="0E095257">
      <w:pPr>
        <w:pageBreakBefore w:val="0"/>
        <w:widowControl w:val="0"/>
        <w:wordWrap/>
        <w:overflowPunct/>
        <w:topLinePunct w:val="0"/>
        <w:bidi w:val="0"/>
        <w:spacing w:line="242" w:lineRule="auto"/>
        <w:rPr>
          <w:color w:val="auto"/>
          <w:highlight w:val="none"/>
        </w:rPr>
      </w:pPr>
    </w:p>
    <w:p w14:paraId="65EC5C52">
      <w:pPr>
        <w:pageBreakBefore w:val="0"/>
        <w:widowControl w:val="0"/>
        <w:wordWrap/>
        <w:overflowPunct/>
        <w:topLinePunct w:val="0"/>
        <w:bidi w:val="0"/>
        <w:spacing w:line="242" w:lineRule="auto"/>
        <w:rPr>
          <w:color w:val="auto"/>
          <w:highlight w:val="none"/>
        </w:rPr>
      </w:pPr>
    </w:p>
    <w:p w14:paraId="713D8602">
      <w:pPr>
        <w:pageBreakBefore w:val="0"/>
        <w:widowControl w:val="0"/>
        <w:wordWrap/>
        <w:overflowPunct/>
        <w:topLinePunct w:val="0"/>
        <w:bidi w:val="0"/>
        <w:spacing w:line="242" w:lineRule="auto"/>
        <w:rPr>
          <w:color w:val="auto"/>
          <w:highlight w:val="none"/>
        </w:rPr>
      </w:pPr>
    </w:p>
    <w:p w14:paraId="1F19AA83">
      <w:pPr>
        <w:pageBreakBefore w:val="0"/>
        <w:widowControl w:val="0"/>
        <w:wordWrap/>
        <w:overflowPunct/>
        <w:topLinePunct w:val="0"/>
        <w:bidi w:val="0"/>
        <w:spacing w:line="242" w:lineRule="auto"/>
        <w:rPr>
          <w:color w:val="auto"/>
          <w:highlight w:val="none"/>
        </w:rPr>
      </w:pPr>
    </w:p>
    <w:p w14:paraId="724A520C">
      <w:pPr>
        <w:pageBreakBefore w:val="0"/>
        <w:widowControl w:val="0"/>
        <w:wordWrap/>
        <w:overflowPunct/>
        <w:topLinePunct w:val="0"/>
        <w:bidi w:val="0"/>
        <w:spacing w:before="78" w:line="219" w:lineRule="auto"/>
        <w:rPr>
          <w:rFonts w:ascii="宋体" w:hAnsi="宋体" w:eastAsia="宋体" w:cs="宋体"/>
          <w:color w:val="auto"/>
          <w:spacing w:val="-6"/>
          <w:sz w:val="24"/>
          <w:szCs w:val="24"/>
          <w:highlight w:val="none"/>
          <w:lang w:eastAsia="zh-CN"/>
        </w:rPr>
      </w:pPr>
    </w:p>
    <w:p w14:paraId="3A9AA2FF">
      <w:pPr>
        <w:pageBreakBefore w:val="0"/>
        <w:widowControl w:val="0"/>
        <w:wordWrap/>
        <w:overflowPunct/>
        <w:topLinePunct w:val="0"/>
        <w:bidi w:val="0"/>
        <w:spacing w:before="78" w:line="219" w:lineRule="auto"/>
        <w:rPr>
          <w:rFonts w:ascii="宋体" w:hAnsi="宋体" w:eastAsia="宋体" w:cs="宋体"/>
          <w:color w:val="auto"/>
          <w:spacing w:val="-6"/>
          <w:sz w:val="24"/>
          <w:szCs w:val="24"/>
          <w:highlight w:val="none"/>
          <w:lang w:eastAsia="zh-CN"/>
        </w:rPr>
      </w:pPr>
    </w:p>
    <w:p w14:paraId="5358060F">
      <w:pPr>
        <w:pageBreakBefore w:val="0"/>
        <w:widowControl w:val="0"/>
        <w:wordWrap/>
        <w:overflowPunct/>
        <w:topLinePunct w:val="0"/>
        <w:bidi w:val="0"/>
        <w:spacing w:before="78" w:line="219" w:lineRule="auto"/>
        <w:outlineLvl w:val="2"/>
        <w:rPr>
          <w:rFonts w:ascii="宋体" w:hAnsi="宋体" w:eastAsia="宋体" w:cs="宋体"/>
          <w:color w:val="auto"/>
          <w:spacing w:val="-6"/>
          <w:sz w:val="24"/>
          <w:szCs w:val="24"/>
          <w:highlight w:val="none"/>
          <w:lang w:eastAsia="zh-CN"/>
        </w:rPr>
        <w:sectPr>
          <w:footerReference r:id="rId4" w:type="default"/>
          <w:pgSz w:w="11906" w:h="16839"/>
          <w:pgMar w:top="1066" w:right="1304" w:bottom="986" w:left="1307" w:header="0" w:footer="994" w:gutter="0"/>
          <w:pgNumType w:fmt="decimal"/>
          <w:cols w:space="720" w:num="1"/>
        </w:sectPr>
      </w:pPr>
      <w:bookmarkStart w:id="5" w:name="_Toc14716"/>
    </w:p>
    <w:p w14:paraId="67959F7E">
      <w:pPr>
        <w:pageBreakBefore w:val="0"/>
        <w:widowControl w:val="0"/>
        <w:wordWrap/>
        <w:overflowPunct/>
        <w:topLinePunct w:val="0"/>
        <w:bidi w:val="0"/>
        <w:spacing w:before="78" w:line="219" w:lineRule="auto"/>
        <w:outlineLvl w:val="2"/>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（二）</w:t>
      </w:r>
      <w:r>
        <w:rPr>
          <w:rFonts w:ascii="宋体" w:hAnsi="宋体" w:eastAsia="宋体" w:cs="宋体"/>
          <w:color w:val="auto"/>
          <w:spacing w:val="32"/>
          <w:sz w:val="24"/>
          <w:szCs w:val="24"/>
          <w:highlight w:val="none"/>
          <w:lang w:eastAsia="zh-CN"/>
        </w:rPr>
        <w:t xml:space="preserve"> </w:t>
      </w:r>
      <w:r>
        <w:rPr>
          <w:rFonts w:ascii="宋体" w:hAnsi="宋体" w:eastAsia="宋体" w:cs="宋体"/>
          <w:color w:val="auto"/>
          <w:spacing w:val="-6"/>
          <w:sz w:val="24"/>
          <w:szCs w:val="24"/>
          <w:highlight w:val="none"/>
          <w:lang w:eastAsia="zh-CN"/>
        </w:rPr>
        <w:t>商务条件</w:t>
      </w:r>
      <w:bookmarkEnd w:id="5"/>
    </w:p>
    <w:p w14:paraId="621CFB01">
      <w:pPr>
        <w:pageBreakBefore w:val="0"/>
        <w:widowControl w:val="0"/>
        <w:wordWrap/>
        <w:overflowPunct/>
        <w:topLinePunct w:val="0"/>
        <w:bidi w:val="0"/>
        <w:spacing w:line="249" w:lineRule="auto"/>
        <w:rPr>
          <w:color w:val="auto"/>
          <w:highlight w:val="none"/>
          <w:lang w:eastAsia="zh-CN"/>
        </w:rPr>
      </w:pPr>
    </w:p>
    <w:tbl>
      <w:tblPr>
        <w:tblStyle w:val="4"/>
        <w:tblW w:w="9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183"/>
        <w:gridCol w:w="6400"/>
      </w:tblGrid>
      <w:tr w14:paraId="6ADA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A832555">
            <w:pPr>
              <w:pageBreakBefore w:val="0"/>
              <w:widowControl w:val="0"/>
              <w:wordWrap/>
              <w:overflowPunct/>
              <w:topLinePunct w:val="0"/>
              <w:bidi w:val="0"/>
              <w:spacing w:line="360" w:lineRule="auto"/>
              <w:jc w:val="center"/>
              <w:rPr>
                <w:rFonts w:hint="eastAsia" w:ascii="宋体" w:hAnsi="宋体" w:eastAsia="宋体" w:cs="宋体"/>
                <w:b/>
                <w:bCs/>
                <w:color w:val="auto"/>
                <w:sz w:val="28"/>
                <w:szCs w:val="28"/>
                <w:highlight w:val="none"/>
                <w:vertAlign w:val="baseline"/>
                <w:lang w:val="en-US" w:eastAsia="zh-CN"/>
              </w:rPr>
            </w:pPr>
            <w:r>
              <w:rPr>
                <w:rFonts w:hint="eastAsia" w:ascii="宋体" w:hAnsi="宋体" w:eastAsia="宋体" w:cs="宋体"/>
                <w:b/>
                <w:bCs/>
                <w:color w:val="auto"/>
                <w:sz w:val="28"/>
                <w:szCs w:val="28"/>
                <w:highlight w:val="none"/>
                <w:vertAlign w:val="baseline"/>
                <w:lang w:val="en-US" w:eastAsia="zh-CN"/>
              </w:rPr>
              <w:t>序号</w:t>
            </w:r>
          </w:p>
        </w:tc>
        <w:tc>
          <w:tcPr>
            <w:tcW w:w="2183" w:type="dxa"/>
          </w:tcPr>
          <w:p w14:paraId="7CB842BD">
            <w:pPr>
              <w:pageBreakBefore w:val="0"/>
              <w:widowControl w:val="0"/>
              <w:wordWrap/>
              <w:overflowPunct/>
              <w:topLinePunct w:val="0"/>
              <w:bidi w:val="0"/>
              <w:spacing w:line="360" w:lineRule="auto"/>
              <w:jc w:val="center"/>
              <w:rPr>
                <w:rFonts w:hint="default" w:ascii="宋体" w:hAnsi="宋体" w:eastAsia="宋体" w:cs="宋体"/>
                <w:b/>
                <w:bCs/>
                <w:color w:val="auto"/>
                <w:sz w:val="28"/>
                <w:szCs w:val="28"/>
                <w:highlight w:val="none"/>
                <w:vertAlign w:val="baseline"/>
                <w:lang w:val="en-US" w:eastAsia="zh-CN"/>
              </w:rPr>
            </w:pPr>
            <w:r>
              <w:rPr>
                <w:rFonts w:hint="eastAsia" w:ascii="宋体" w:hAnsi="宋体" w:eastAsia="宋体" w:cs="宋体"/>
                <w:b/>
                <w:bCs/>
                <w:color w:val="auto"/>
                <w:sz w:val="28"/>
                <w:szCs w:val="28"/>
                <w:highlight w:val="none"/>
                <w:vertAlign w:val="baseline"/>
                <w:lang w:val="en-US" w:eastAsia="zh-CN"/>
              </w:rPr>
              <w:t>条款名称</w:t>
            </w:r>
          </w:p>
        </w:tc>
        <w:tc>
          <w:tcPr>
            <w:tcW w:w="6400" w:type="dxa"/>
          </w:tcPr>
          <w:p w14:paraId="6AD9D372">
            <w:pPr>
              <w:pageBreakBefore w:val="0"/>
              <w:widowControl w:val="0"/>
              <w:wordWrap/>
              <w:overflowPunct/>
              <w:topLinePunct w:val="0"/>
              <w:bidi w:val="0"/>
              <w:spacing w:line="360" w:lineRule="auto"/>
              <w:jc w:val="center"/>
              <w:rPr>
                <w:rFonts w:hint="default" w:ascii="宋体" w:hAnsi="宋体" w:eastAsia="宋体" w:cs="宋体"/>
                <w:b/>
                <w:bCs/>
                <w:color w:val="auto"/>
                <w:sz w:val="28"/>
                <w:szCs w:val="28"/>
                <w:highlight w:val="none"/>
                <w:vertAlign w:val="baseline"/>
                <w:lang w:val="en-US" w:eastAsia="zh-CN"/>
              </w:rPr>
            </w:pPr>
            <w:r>
              <w:rPr>
                <w:rFonts w:hint="eastAsia" w:ascii="宋体" w:hAnsi="宋体" w:eastAsia="宋体" w:cs="宋体"/>
                <w:b/>
                <w:bCs/>
                <w:color w:val="auto"/>
                <w:sz w:val="28"/>
                <w:szCs w:val="28"/>
                <w:highlight w:val="none"/>
                <w:vertAlign w:val="baseline"/>
                <w:lang w:val="en-US" w:eastAsia="zh-CN"/>
              </w:rPr>
              <w:t>条款内容</w:t>
            </w:r>
          </w:p>
        </w:tc>
      </w:tr>
      <w:tr w14:paraId="5E70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5AD2B009">
            <w:pPr>
              <w:pageBreakBefore w:val="0"/>
              <w:widowControl w:val="0"/>
              <w:wordWrap/>
              <w:overflowPunct/>
              <w:topLinePunct w:val="0"/>
              <w:bidi w:val="0"/>
              <w:spacing w:line="360" w:lineRule="auto"/>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1</w:t>
            </w:r>
          </w:p>
        </w:tc>
        <w:tc>
          <w:tcPr>
            <w:tcW w:w="2183" w:type="dxa"/>
          </w:tcPr>
          <w:p w14:paraId="18D2A370">
            <w:pPr>
              <w:pageBreakBefore w:val="0"/>
              <w:widowControl w:val="0"/>
              <w:wordWrap/>
              <w:overflowPunct/>
              <w:topLinePunct w:val="0"/>
              <w:bidi w:val="0"/>
              <w:spacing w:line="360" w:lineRule="auto"/>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服务期限</w:t>
            </w:r>
          </w:p>
        </w:tc>
        <w:tc>
          <w:tcPr>
            <w:tcW w:w="6400" w:type="dxa"/>
          </w:tcPr>
          <w:p w14:paraId="28B21BB6">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自合同签订之日起10个月,2026年3月1日起至2026年12月31日止（以实际提供的服务时间为准）。</w:t>
            </w:r>
          </w:p>
        </w:tc>
      </w:tr>
      <w:tr w14:paraId="6CE8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1ACB8BB0">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2</w:t>
            </w:r>
          </w:p>
        </w:tc>
        <w:tc>
          <w:tcPr>
            <w:tcW w:w="2183" w:type="dxa"/>
          </w:tcPr>
          <w:p w14:paraId="4F12B84F">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服务地点</w:t>
            </w:r>
          </w:p>
        </w:tc>
        <w:tc>
          <w:tcPr>
            <w:tcW w:w="6400" w:type="dxa"/>
          </w:tcPr>
          <w:p w14:paraId="1CFFF65A">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采购人指定地点</w:t>
            </w:r>
          </w:p>
        </w:tc>
      </w:tr>
      <w:tr w14:paraId="3841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18428301">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3</w:t>
            </w:r>
          </w:p>
        </w:tc>
        <w:tc>
          <w:tcPr>
            <w:tcW w:w="2183" w:type="dxa"/>
          </w:tcPr>
          <w:p w14:paraId="269760F5">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履约保证金</w:t>
            </w:r>
          </w:p>
        </w:tc>
        <w:tc>
          <w:tcPr>
            <w:tcW w:w="6400" w:type="dxa"/>
          </w:tcPr>
          <w:p w14:paraId="26801BE7">
            <w:pPr>
              <w:pageBreakBefore w:val="0"/>
              <w:widowControl w:val="0"/>
              <w:wordWrap/>
              <w:overflowPunct/>
              <w:topLinePunct w:val="0"/>
              <w:bidi w:val="0"/>
              <w:spacing w:before="40" w:line="360" w:lineRule="auto"/>
              <w:jc w:val="left"/>
              <w:rPr>
                <w:rFonts w:hint="eastAsia" w:ascii="宋体" w:hAnsi="宋体" w:eastAsia="宋体" w:cs="宋体"/>
                <w:color w:val="auto"/>
                <w:spacing w:val="-6"/>
                <w:sz w:val="28"/>
                <w:szCs w:val="28"/>
                <w:highlight w:val="none"/>
                <w:lang w:val="en-US" w:eastAsia="zh-CN"/>
                <w14:textOutline w14:w="4356" w14:cap="sq" w14:cmpd="sng" w14:algn="ctr">
                  <w14:solidFill>
                    <w14:srgbClr w14:val="000000"/>
                  </w14:solidFill>
                  <w14:prstDash w14:val="solid"/>
                  <w14:bevel/>
                </w14:textOutline>
              </w:rPr>
            </w:pPr>
            <w:r>
              <w:rPr>
                <w:rFonts w:ascii="宋体" w:hAnsi="宋体" w:eastAsia="宋体" w:cs="宋体"/>
                <w:color w:val="auto"/>
                <w:spacing w:val="0"/>
                <w:sz w:val="28"/>
                <w:szCs w:val="28"/>
                <w:highlight w:val="none"/>
                <w:lang w:eastAsia="zh-CN"/>
              </w:rPr>
              <w:t>履约保证金金额：合同总价的</w:t>
            </w:r>
            <w:r>
              <w:rPr>
                <w:rFonts w:hint="eastAsia" w:ascii="宋体" w:hAnsi="宋体" w:eastAsia="宋体" w:cs="宋体"/>
                <w:color w:val="auto"/>
                <w:spacing w:val="0"/>
                <w:sz w:val="28"/>
                <w:szCs w:val="28"/>
                <w:highlight w:val="none"/>
                <w:u w:val="single"/>
                <w:lang w:val="en-US" w:eastAsia="zh-CN"/>
              </w:rPr>
              <w:t xml:space="preserve"> 5 </w:t>
            </w:r>
            <w:r>
              <w:rPr>
                <w:rFonts w:ascii="宋体" w:hAnsi="宋体" w:eastAsia="宋体" w:cs="宋体"/>
                <w:color w:val="auto"/>
                <w:spacing w:val="0"/>
                <w:sz w:val="28"/>
                <w:szCs w:val="28"/>
                <w:highlight w:val="none"/>
                <w:lang w:eastAsia="zh-CN"/>
              </w:rPr>
              <w:t>%</w:t>
            </w:r>
          </w:p>
          <w:p w14:paraId="58D4E349">
            <w:pPr>
              <w:pageBreakBefore w:val="0"/>
              <w:widowControl w:val="0"/>
              <w:wordWrap/>
              <w:overflowPunct/>
              <w:topLinePunct w:val="0"/>
              <w:bidi w:val="0"/>
              <w:spacing w:before="40" w:line="360" w:lineRule="auto"/>
              <w:ind w:firstLine="562" w:firstLineChars="200"/>
              <w:jc w:val="left"/>
              <w:rPr>
                <w:rFonts w:hint="eastAsia" w:ascii="宋体" w:hAnsi="宋体" w:eastAsia="宋体" w:cs="宋体"/>
                <w:b/>
                <w:bCs/>
                <w:color w:val="auto"/>
                <w:spacing w:val="0"/>
                <w:sz w:val="28"/>
                <w:szCs w:val="28"/>
                <w:highlight w:val="none"/>
                <w:lang w:val="en-US" w:eastAsia="zh-CN"/>
              </w:rPr>
            </w:pPr>
            <w:r>
              <w:rPr>
                <w:rFonts w:hint="eastAsia" w:ascii="宋体" w:hAnsi="宋体" w:eastAsia="宋体" w:cs="宋体"/>
                <w:b/>
                <w:bCs/>
                <w:color w:val="auto"/>
                <w:spacing w:val="0"/>
                <w:sz w:val="28"/>
                <w:szCs w:val="28"/>
                <w:highlight w:val="none"/>
                <w:lang w:eastAsia="zh-CN"/>
              </w:rPr>
              <w:t>合同签订后5日内，</w:t>
            </w:r>
            <w:r>
              <w:rPr>
                <w:rFonts w:hint="eastAsia" w:ascii="宋体" w:hAnsi="宋体" w:eastAsia="宋体" w:cs="宋体"/>
                <w:b/>
                <w:bCs/>
                <w:color w:val="auto"/>
                <w:spacing w:val="0"/>
                <w:sz w:val="28"/>
                <w:szCs w:val="28"/>
                <w:highlight w:val="none"/>
                <w:lang w:val="en-US" w:eastAsia="zh-CN"/>
              </w:rPr>
              <w:t>本项目履约保证金应当以支票、汇票、本票或者金融机构、担保机构出具的保函等非现金形式提交。</w:t>
            </w:r>
          </w:p>
          <w:p w14:paraId="4B00A19C">
            <w:pPr>
              <w:keepNext w:val="0"/>
              <w:keepLines w:val="0"/>
              <w:pageBreakBefore w:val="0"/>
              <w:widowControl w:val="0"/>
              <w:wordWrap/>
              <w:overflowPunct/>
              <w:topLinePunct w:val="0"/>
              <w:autoSpaceDE w:val="0"/>
              <w:autoSpaceDN w:val="0"/>
              <w:bidi w:val="0"/>
              <w:adjustRightInd w:val="0"/>
              <w:snapToGrid w:val="0"/>
              <w:spacing w:line="360" w:lineRule="auto"/>
              <w:ind w:firstLine="560" w:firstLineChars="200"/>
              <w:jc w:val="left"/>
              <w:textAlignment w:val="baseline"/>
              <w:rPr>
                <w:rFonts w:hint="eastAsia" w:ascii="宋体" w:hAnsi="宋体" w:cs="宋体"/>
                <w:b/>
                <w:bCs/>
                <w:i w:val="0"/>
                <w:iCs w:val="0"/>
                <w:color w:val="auto"/>
                <w:sz w:val="28"/>
                <w:szCs w:val="28"/>
                <w:highlight w:val="none"/>
                <w:u w:val="none"/>
                <w:lang w:val="en-US" w:eastAsia="zh-CN"/>
              </w:rPr>
            </w:pPr>
            <w:r>
              <w:rPr>
                <w:rFonts w:hint="eastAsia" w:ascii="宋体" w:hAnsi="宋体" w:eastAsia="宋体" w:cs="宋体"/>
                <w:i w:val="0"/>
                <w:iCs w:val="0"/>
                <w:color w:val="auto"/>
                <w:spacing w:val="0"/>
                <w:w w:val="100"/>
                <w:position w:val="0"/>
                <w:sz w:val="28"/>
                <w:szCs w:val="28"/>
                <w:highlight w:val="none"/>
                <w:lang w:eastAsia="zh-CN"/>
              </w:rPr>
              <w:t>履约保证金的退还：</w:t>
            </w:r>
            <w:r>
              <w:rPr>
                <w:rFonts w:hint="eastAsia" w:ascii="宋体" w:hAnsi="宋体" w:cs="宋体"/>
                <w:b/>
                <w:bCs/>
                <w:i w:val="0"/>
                <w:iCs w:val="0"/>
                <w:color w:val="auto"/>
                <w:sz w:val="28"/>
                <w:szCs w:val="28"/>
                <w:highlight w:val="none"/>
                <w:u w:val="none"/>
                <w:lang w:val="en-US" w:eastAsia="zh-CN"/>
              </w:rPr>
              <w:t>政府采购合同履约结束，经验收合格后，依据合同相关条款退还履约保证金。</w:t>
            </w:r>
          </w:p>
          <w:p w14:paraId="0759A3B0">
            <w:pPr>
              <w:keepNext w:val="0"/>
              <w:keepLines w:val="0"/>
              <w:pageBreakBefore w:val="0"/>
              <w:widowControl w:val="0"/>
              <w:wordWrap/>
              <w:overflowPunct/>
              <w:topLinePunct w:val="0"/>
              <w:autoSpaceDE w:val="0"/>
              <w:autoSpaceDN w:val="0"/>
              <w:bidi w:val="0"/>
              <w:adjustRightInd w:val="0"/>
              <w:snapToGrid w:val="0"/>
              <w:spacing w:line="360" w:lineRule="auto"/>
              <w:ind w:firstLine="560" w:firstLineChars="200"/>
              <w:jc w:val="left"/>
              <w:textAlignment w:val="baseline"/>
              <w:rPr>
                <w:rFonts w:hint="eastAsia" w:ascii="宋体" w:hAnsi="宋体" w:eastAsia="宋体" w:cs="宋体"/>
                <w:b/>
                <w:bCs/>
                <w:i w:val="0"/>
                <w:iCs w:val="0"/>
                <w:color w:val="auto"/>
                <w:spacing w:val="0"/>
                <w:w w:val="100"/>
                <w:position w:val="0"/>
                <w:sz w:val="28"/>
                <w:szCs w:val="28"/>
                <w:highlight w:val="none"/>
                <w:u w:val="single"/>
                <w:lang w:val="en-US" w:eastAsia="zh-CN"/>
              </w:rPr>
            </w:pPr>
            <w:r>
              <w:rPr>
                <w:rFonts w:hint="eastAsia" w:ascii="宋体" w:hAnsi="宋体" w:eastAsia="宋体" w:cs="宋体"/>
                <w:i w:val="0"/>
                <w:iCs w:val="0"/>
                <w:color w:val="auto"/>
                <w:spacing w:val="0"/>
                <w:w w:val="100"/>
                <w:position w:val="0"/>
                <w:sz w:val="28"/>
                <w:szCs w:val="28"/>
                <w:highlight w:val="none"/>
                <w:lang w:val="en-US" w:eastAsia="zh-CN"/>
              </w:rPr>
              <w:t>履约保证金不予退还情形：</w:t>
            </w:r>
            <w:r>
              <w:rPr>
                <w:rFonts w:hint="eastAsia" w:ascii="宋体" w:hAnsi="宋体" w:cs="宋体"/>
                <w:b/>
                <w:bCs/>
                <w:i w:val="0"/>
                <w:iCs w:val="0"/>
                <w:color w:val="auto"/>
                <w:sz w:val="28"/>
                <w:szCs w:val="28"/>
                <w:highlight w:val="none"/>
                <w:u w:val="none"/>
                <w:lang w:val="en-US" w:eastAsia="zh-CN"/>
              </w:rPr>
              <w:t>签订合同后，如中标人不按双方签订的合同规定履约，则没收其全部履约保证金，履约保证金不足以赔偿损失的，按实际损失赔偿。</w:t>
            </w:r>
          </w:p>
          <w:p w14:paraId="781AAF87">
            <w:pPr>
              <w:pageBreakBefore w:val="0"/>
              <w:widowControl w:val="0"/>
              <w:wordWrap/>
              <w:overflowPunct/>
              <w:topLinePunct w:val="0"/>
              <w:bidi w:val="0"/>
              <w:spacing w:line="360" w:lineRule="auto"/>
              <w:jc w:val="left"/>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宋体" w:hAnsi="宋体" w:eastAsia="宋体" w:cs="宋体"/>
                <w:i w:val="0"/>
                <w:iCs w:val="0"/>
                <w:color w:val="auto"/>
                <w:spacing w:val="0"/>
                <w:w w:val="100"/>
                <w:position w:val="0"/>
                <w:sz w:val="28"/>
                <w:szCs w:val="28"/>
                <w:highlight w:val="none"/>
                <w:lang w:val="en-US" w:eastAsia="zh-CN"/>
              </w:rPr>
              <w:t>逾期退还履约保证金违约责任：</w:t>
            </w:r>
            <w:r>
              <w:rPr>
                <w:rFonts w:hint="eastAsia" w:ascii="宋体" w:hAnsi="宋体" w:cs="宋体"/>
                <w:i w:val="0"/>
                <w:iCs w:val="0"/>
                <w:color w:val="auto"/>
                <w:sz w:val="28"/>
                <w:szCs w:val="28"/>
                <w:highlight w:val="none"/>
                <w:u w:val="none"/>
                <w:lang w:val="en-US" w:eastAsia="zh-CN"/>
              </w:rPr>
              <w:t>采购人逾期退还履约保证金的，应按银行同期存款利率支付逾期利息，但因中标人原因造成除外。</w:t>
            </w:r>
          </w:p>
        </w:tc>
      </w:tr>
      <w:tr w14:paraId="0950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2688BACC">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4</w:t>
            </w:r>
          </w:p>
        </w:tc>
        <w:tc>
          <w:tcPr>
            <w:tcW w:w="2183" w:type="dxa"/>
          </w:tcPr>
          <w:p w14:paraId="7DCCD717">
            <w:pPr>
              <w:pageBreakBefore w:val="0"/>
              <w:widowControl w:val="0"/>
              <w:wordWrap/>
              <w:overflowPunct/>
              <w:topLinePunct w:val="0"/>
              <w:bidi w:val="0"/>
              <w:spacing w:line="36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报价要求</w:t>
            </w:r>
          </w:p>
        </w:tc>
        <w:tc>
          <w:tcPr>
            <w:tcW w:w="6400" w:type="dxa"/>
          </w:tcPr>
          <w:p w14:paraId="14772B3E">
            <w:pPr>
              <w:pageBreakBefore w:val="0"/>
              <w:widowControl w:val="0"/>
              <w:wordWrap/>
              <w:overflowPunct/>
              <w:topLinePunct w:val="0"/>
              <w:bidi w:val="0"/>
              <w:spacing w:line="360" w:lineRule="auto"/>
              <w:jc w:val="left"/>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1、采购人仅负责服务团队人员参加比赛、外训、国家队选调期间的相关费用</w:t>
            </w:r>
            <w:bookmarkStart w:id="6" w:name="_GoBack"/>
            <w:bookmarkEnd w:id="6"/>
            <w:r>
              <w:rPr>
                <w:rFonts w:hint="eastAsia" w:ascii="宋体" w:hAnsi="宋体" w:eastAsia="宋体" w:cs="宋体"/>
                <w:i w:val="0"/>
                <w:iCs w:val="0"/>
                <w:color w:val="auto"/>
                <w:sz w:val="28"/>
                <w:szCs w:val="28"/>
                <w:highlight w:val="none"/>
                <w:u w:val="none"/>
                <w:lang w:val="en-US" w:eastAsia="zh-CN"/>
              </w:rPr>
              <w:t>（火车票、飞机票、食宿费、包干经费、交通费等相关费用），根据采购人单位的财务规定给予报销。</w:t>
            </w:r>
          </w:p>
          <w:p w14:paraId="238B8924">
            <w:pPr>
              <w:pageBreakBefore w:val="0"/>
              <w:widowControl w:val="0"/>
              <w:wordWrap/>
              <w:overflowPunct/>
              <w:topLinePunct w:val="0"/>
              <w:bidi w:val="0"/>
              <w:spacing w:line="360" w:lineRule="auto"/>
              <w:jc w:val="left"/>
              <w:rPr>
                <w:rFonts w:hint="eastAsia" w:ascii="宋体" w:hAnsi="宋体" w:eastAsia="宋体" w:cs="宋体"/>
                <w:i w:val="0"/>
                <w:iCs w:val="0"/>
                <w:color w:val="auto"/>
                <w:spacing w:val="0"/>
                <w:w w:val="100"/>
                <w:position w:val="0"/>
                <w:sz w:val="28"/>
                <w:szCs w:val="28"/>
                <w:highlight w:val="none"/>
                <w:lang w:val="en-US" w:eastAsia="zh-CN"/>
              </w:rPr>
            </w:pPr>
            <w:r>
              <w:rPr>
                <w:rFonts w:hint="eastAsia" w:ascii="宋体" w:hAnsi="宋体" w:eastAsia="宋体" w:cs="宋体"/>
                <w:i w:val="0"/>
                <w:iCs w:val="0"/>
                <w:color w:val="auto"/>
                <w:sz w:val="28"/>
                <w:szCs w:val="28"/>
                <w:highlight w:val="none"/>
                <w:u w:val="none"/>
                <w:lang w:val="en-US" w:eastAsia="zh-CN"/>
              </w:rPr>
              <w:t>2、其他所有费用由成交供应商负责（其他所有费用是指：服务团队人员工资，签证费、伙食费、服装费、保险、技术服务、培训、管理费、利润、税金等费用及项目实施过程中不可预见的所有费用）。</w:t>
            </w:r>
          </w:p>
        </w:tc>
      </w:tr>
      <w:tr w14:paraId="24EC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4E171C0">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5</w:t>
            </w:r>
          </w:p>
        </w:tc>
        <w:tc>
          <w:tcPr>
            <w:tcW w:w="2183" w:type="dxa"/>
          </w:tcPr>
          <w:p w14:paraId="0E386E16">
            <w:pPr>
              <w:pageBreakBefore w:val="0"/>
              <w:widowControl w:val="0"/>
              <w:wordWrap/>
              <w:overflowPunct/>
              <w:topLinePunct w:val="0"/>
              <w:bidi w:val="0"/>
              <w:spacing w:line="360" w:lineRule="auto"/>
              <w:jc w:val="left"/>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付款方式</w:t>
            </w:r>
          </w:p>
        </w:tc>
        <w:tc>
          <w:tcPr>
            <w:tcW w:w="6400" w:type="dxa"/>
          </w:tcPr>
          <w:p w14:paraId="34C0E22E">
            <w:pPr>
              <w:keepNext w:val="0"/>
              <w:keepLines w:val="0"/>
              <w:pageBreakBefore w:val="0"/>
              <w:widowControl w:val="0"/>
              <w:numPr>
                <w:ilvl w:val="0"/>
                <w:numId w:val="0"/>
              </w:numPr>
              <w:wordWrap/>
              <w:overflowPunct/>
              <w:topLinePunct w:val="0"/>
              <w:bidi w:val="0"/>
              <w:spacing w:before="161" w:line="480" w:lineRule="exact"/>
              <w:ind w:right="25" w:rightChars="0"/>
              <w:jc w:val="both"/>
              <w:rPr>
                <w:rFonts w:hint="eastAsia" w:ascii="宋体" w:hAnsi="宋体" w:eastAsia="宋体" w:cs="宋体"/>
                <w:i w:val="0"/>
                <w:iCs w:val="0"/>
                <w:snapToGrid w:val="0"/>
                <w:color w:val="auto"/>
                <w:sz w:val="28"/>
                <w:szCs w:val="28"/>
                <w:highlight w:val="none"/>
                <w:u w:val="none"/>
                <w:lang w:val="en-US" w:eastAsia="zh-CN" w:bidi="ar-SA"/>
              </w:rPr>
            </w:pPr>
            <w:r>
              <w:rPr>
                <w:rFonts w:hint="eastAsia" w:ascii="宋体" w:hAnsi="宋体" w:eastAsia="宋体" w:cs="宋体"/>
                <w:i w:val="0"/>
                <w:iCs w:val="0"/>
                <w:snapToGrid w:val="0"/>
                <w:color w:val="auto"/>
                <w:sz w:val="28"/>
                <w:szCs w:val="28"/>
                <w:highlight w:val="none"/>
                <w:u w:val="none"/>
                <w:lang w:val="en-US" w:eastAsia="zh-CN" w:bidi="ar-SA"/>
              </w:rPr>
              <w:t>1.甲方有权对服务团队的服务情况每两月进行考核，乙方依据甲方考核情况发放派遣人员工资。考核内容详见“附件1：考核评分表”，若考核结果评定为不合格，则扣除该派遣人员工资的20%。若考核结果评定为合格，则扣除该派遣人员工资的10%；若考核结果评定为优秀，则发放全额工资。</w:t>
            </w:r>
          </w:p>
          <w:p w14:paraId="3A8819B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both"/>
              <w:textAlignment w:val="baseline"/>
              <w:rPr>
                <w:rFonts w:hint="eastAsia" w:ascii="宋体" w:hAnsi="宋体" w:eastAsia="宋体" w:cs="宋体"/>
                <w:i w:val="0"/>
                <w:iCs w:val="0"/>
                <w:snapToGrid w:val="0"/>
                <w:color w:val="auto"/>
                <w:sz w:val="28"/>
                <w:szCs w:val="28"/>
                <w:highlight w:val="none"/>
                <w:u w:val="none"/>
                <w:lang w:val="en-US" w:eastAsia="zh-CN" w:bidi="ar-SA"/>
              </w:rPr>
            </w:pPr>
            <w:r>
              <w:rPr>
                <w:rFonts w:hint="eastAsia" w:ascii="宋体" w:hAnsi="宋体" w:eastAsia="宋体" w:cs="宋体"/>
                <w:i w:val="0"/>
                <w:iCs w:val="0"/>
                <w:snapToGrid w:val="0"/>
                <w:color w:val="auto"/>
                <w:sz w:val="28"/>
                <w:szCs w:val="28"/>
                <w:highlight w:val="none"/>
                <w:u w:val="none"/>
                <w:lang w:val="en-US" w:eastAsia="zh-CN" w:bidi="ar-SA"/>
              </w:rPr>
              <w:t>2.本合同签订后，乙方应先累计提供两个月的服务，甲方根据前述提供服务考核结果后的次月15日前向乙方支付前两个月的服务费，服务费金额以考核结果确定为准；以后每两个月付款一次，以此类推，直至合同结束。前述每次支付的服务费最终以当次考核确定的金额为准。</w:t>
            </w:r>
          </w:p>
          <w:p w14:paraId="61987D6E">
            <w:pPr>
              <w:pStyle w:val="7"/>
              <w:widowControl w:val="0"/>
              <w:spacing w:before="166" w:line="360" w:lineRule="auto"/>
              <w:ind w:left="15" w:right="5"/>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3.如遇财政资金拨付延迟，支付期限相应延长。</w:t>
            </w:r>
          </w:p>
          <w:p w14:paraId="4E95DC15">
            <w:pPr>
              <w:pStyle w:val="7"/>
              <w:widowControl w:val="0"/>
              <w:spacing w:before="166" w:line="360" w:lineRule="auto"/>
              <w:ind w:left="15" w:right="5"/>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4.乙方应向甲方出具增值税普通发票，甲方在收到发票后7日内向乙方支付当批次服务费。</w:t>
            </w:r>
          </w:p>
        </w:tc>
      </w:tr>
      <w:tr w14:paraId="558E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5644AD58">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6</w:t>
            </w:r>
          </w:p>
        </w:tc>
        <w:tc>
          <w:tcPr>
            <w:tcW w:w="2183" w:type="dxa"/>
          </w:tcPr>
          <w:p w14:paraId="4917AE6D">
            <w:pPr>
              <w:pageBreakBefore w:val="0"/>
              <w:widowControl w:val="0"/>
              <w:wordWrap/>
              <w:overflowPunct/>
              <w:topLinePunct w:val="0"/>
              <w:bidi w:val="0"/>
              <w:spacing w:line="360" w:lineRule="auto"/>
              <w:jc w:val="center"/>
              <w:rPr>
                <w:rFonts w:hint="default"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其他要求(一)</w:t>
            </w:r>
          </w:p>
        </w:tc>
        <w:tc>
          <w:tcPr>
            <w:tcW w:w="6400" w:type="dxa"/>
          </w:tcPr>
          <w:p w14:paraId="570A53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560" w:firstLineChars="200"/>
              <w:jc w:val="both"/>
              <w:textAlignment w:val="auto"/>
              <w:outlineLvl w:val="9"/>
              <w:rPr>
                <w:rFonts w:hint="eastAsia" w:ascii="仿宋_GB2312" w:hAnsi="仿宋_GB2312" w:eastAsia="仿宋_GB2312" w:cs="仿宋_GB2312"/>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服务期限内，成交供应商须为服务团队成员购买医疗保险（包括但不限于意外伤害保险、疾病医疗保险等）并承担相关保险费用。无论服务团队成员因任何原因受伤或生病，</w:t>
            </w:r>
            <w:r>
              <w:rPr>
                <w:rFonts w:hint="eastAsia" w:ascii="仿宋_GB2312" w:hAnsi="仿宋_GB2312" w:eastAsia="仿宋_GB2312" w:cs="仿宋_GB2312"/>
                <w:i w:val="0"/>
                <w:iCs w:val="0"/>
                <w:color w:val="auto"/>
                <w:sz w:val="28"/>
                <w:szCs w:val="28"/>
                <w:highlight w:val="none"/>
                <w:u w:val="none"/>
                <w:lang w:val="en-US" w:eastAsia="zh-CN"/>
              </w:rPr>
              <w:t>治疗费用以及与受伤引起的一切费用由乙方自行承担。</w:t>
            </w:r>
          </w:p>
          <w:p w14:paraId="0D5B37B4">
            <w:pPr>
              <w:pStyle w:val="7"/>
              <w:widowControl w:val="0"/>
              <w:numPr>
                <w:ilvl w:val="0"/>
                <w:numId w:val="1"/>
              </w:numPr>
              <w:spacing w:before="166" w:line="360" w:lineRule="auto"/>
              <w:ind w:left="0" w:leftChars="0" w:right="5" w:firstLine="0" w:firstLine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成交供应商要做好管理工作，如服务团队成员出现打架、寻衅滋事等违法事件与采购人无关，采购人有权要求更换同等水平人员，如无法更换，采购人有权单方解除或终止本合同，违约或赔偿责任均由成交供应商承担。</w:t>
            </w:r>
          </w:p>
          <w:p w14:paraId="4B8A944C">
            <w:pPr>
              <w:pStyle w:val="7"/>
              <w:widowControl w:val="0"/>
              <w:numPr>
                <w:ilvl w:val="0"/>
                <w:numId w:val="1"/>
              </w:numPr>
              <w:spacing w:before="166" w:line="360" w:lineRule="auto"/>
              <w:ind w:left="0" w:leftChars="0" w:right="5" w:firstLine="0" w:firstLine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团队成员应具备出色的团队协作精神和沟通能力，能够积极、主动地配合采购人的工作安排，共同为运动员的成长和项目发展贡献力量。</w:t>
            </w:r>
          </w:p>
          <w:p w14:paraId="3366D098">
            <w:pPr>
              <w:pStyle w:val="7"/>
              <w:widowControl w:val="0"/>
              <w:numPr>
                <w:ilvl w:val="0"/>
                <w:numId w:val="1"/>
              </w:numPr>
              <w:spacing w:before="166" w:line="360" w:lineRule="auto"/>
              <w:ind w:left="0" w:leftChars="0" w:right="5" w:firstLine="0" w:firstLine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保密义务：</w:t>
            </w:r>
          </w:p>
          <w:p w14:paraId="52942E7C">
            <w:pPr>
              <w:pStyle w:val="7"/>
              <w:widowControl w:val="0"/>
              <w:numPr>
                <w:ilvl w:val="0"/>
                <w:numId w:val="0"/>
              </w:numPr>
              <w:spacing w:before="166" w:line="360" w:lineRule="auto"/>
              <w:ind w:left="15" w:leftChars="0" w:right="5" w:right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（1）团队成员必须严格遵守保密协议，对运动员的训练计划、技术秘密等敏感信息保密到底，确保运动员的隐私和权益不受侵犯。</w:t>
            </w:r>
          </w:p>
          <w:p w14:paraId="70F048C3">
            <w:pPr>
              <w:pStyle w:val="7"/>
              <w:widowControl w:val="0"/>
              <w:numPr>
                <w:ilvl w:val="0"/>
                <w:numId w:val="0"/>
              </w:numPr>
              <w:spacing w:before="166" w:line="360" w:lineRule="auto"/>
              <w:ind w:left="15" w:leftChars="0" w:right="5" w:right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2）在本项目服务有效期间，成交供应商及团队成员不得向第三方透露采购人的任何非公开信息，包括但不限于训练及比赛情况、训练方式、训练计划、在训练时产生的任何训练数据、运动员的优势、缺点、受伤情况、运动员的工资信息等，如有违反，视为成交供应商严重违约，成交供应商应当返还采购人向其支付的全部服务费并向采购人支付违约金，违约金金额为成交供应商月平均服务费（税、费前）的三倍。如由此给采购人造成损失的，成交供应商还应承担全部赔偿责任。</w:t>
            </w:r>
          </w:p>
          <w:p w14:paraId="7DDB882B">
            <w:pPr>
              <w:pStyle w:val="7"/>
              <w:widowControl w:val="0"/>
              <w:numPr>
                <w:ilvl w:val="0"/>
                <w:numId w:val="0"/>
              </w:numPr>
              <w:spacing w:before="166" w:line="360" w:lineRule="auto"/>
              <w:ind w:left="15" w:leftChars="0" w:right="5" w:right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（3）成交供应商及团队成员不得发表或做出任何损害或可能损害采购人声誉和利益的言行。</w:t>
            </w:r>
          </w:p>
        </w:tc>
      </w:tr>
      <w:tr w14:paraId="58DD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1E94E63A">
            <w:pPr>
              <w:pageBreakBefore w:val="0"/>
              <w:widowControl w:val="0"/>
              <w:wordWrap/>
              <w:overflowPunct/>
              <w:topLinePunct w:val="0"/>
              <w:bidi w:val="0"/>
              <w:spacing w:line="360" w:lineRule="auto"/>
              <w:jc w:val="center"/>
              <w:rPr>
                <w:rFonts w:hint="default"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7</w:t>
            </w:r>
          </w:p>
        </w:tc>
        <w:tc>
          <w:tcPr>
            <w:tcW w:w="2183" w:type="dxa"/>
          </w:tcPr>
          <w:p w14:paraId="1726ADFC">
            <w:pPr>
              <w:pageBreakBefore w:val="0"/>
              <w:widowControl w:val="0"/>
              <w:wordWrap/>
              <w:overflowPunct/>
              <w:topLinePunct w:val="0"/>
              <w:bidi w:val="0"/>
              <w:spacing w:line="360" w:lineRule="auto"/>
              <w:jc w:val="left"/>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其他要求(二)</w:t>
            </w:r>
          </w:p>
        </w:tc>
        <w:tc>
          <w:tcPr>
            <w:tcW w:w="6400" w:type="dxa"/>
          </w:tcPr>
          <w:p w14:paraId="10CAADA6">
            <w:pPr>
              <w:pStyle w:val="7"/>
              <w:widowControl w:val="0"/>
              <w:numPr>
                <w:ilvl w:val="0"/>
                <w:numId w:val="0"/>
              </w:numPr>
              <w:spacing w:before="166" w:line="360" w:lineRule="auto"/>
              <w:ind w:left="15" w:leftChars="0" w:right="5" w:right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1、人员更换：</w:t>
            </w:r>
          </w:p>
          <w:p w14:paraId="5F79CE82">
            <w:pPr>
              <w:pStyle w:val="7"/>
              <w:widowControl w:val="0"/>
              <w:numPr>
                <w:ilvl w:val="0"/>
                <w:numId w:val="0"/>
              </w:numPr>
              <w:spacing w:before="166" w:line="360" w:lineRule="auto"/>
              <w:ind w:left="15" w:leftChars="0" w:right="5" w:right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若团队成员因特殊情况无法继续履行职责，成交供应商必须至少提前十五个工作日通知采购人，及时安排并更换具备相应资质的合格人员，确保服务的连续性与整体稳定性不受影响。采购人如计划更换团队成员，亦须至少提前十五个工作日通知供应商。成交供应商应积极回应，并在十五个工作日内完成人员的更替工作。更换的人员必须经过采购人的审核并同意，且必须保证服务质量与进度不受任何负面影响。</w:t>
            </w:r>
          </w:p>
          <w:p w14:paraId="1E5DB98E">
            <w:pPr>
              <w:pStyle w:val="7"/>
              <w:widowControl w:val="0"/>
              <w:numPr>
                <w:ilvl w:val="0"/>
                <w:numId w:val="0"/>
              </w:numPr>
              <w:spacing w:before="166" w:line="360" w:lineRule="auto"/>
              <w:ind w:left="15" w:leftChars="0" w:right="5" w:right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2、定期评估：</w:t>
            </w:r>
          </w:p>
          <w:p w14:paraId="039143E1">
            <w:pPr>
              <w:pStyle w:val="7"/>
              <w:widowControl w:val="0"/>
              <w:numPr>
                <w:ilvl w:val="0"/>
                <w:numId w:val="0"/>
              </w:numPr>
              <w:spacing w:before="166" w:line="360" w:lineRule="auto"/>
              <w:ind w:left="15" w:leftChars="0" w:right="5" w:rightChars="0"/>
              <w:jc w:val="both"/>
              <w:rPr>
                <w:rFonts w:hint="eastAsia" w:ascii="宋体" w:hAnsi="宋体" w:eastAsia="宋体" w:cs="宋体"/>
                <w:i w:val="0"/>
                <w:iCs w:val="0"/>
                <w:color w:val="auto"/>
                <w:sz w:val="28"/>
                <w:szCs w:val="28"/>
                <w:highlight w:val="none"/>
                <w:u w:val="none"/>
                <w:lang w:val="en-US" w:eastAsia="zh-CN"/>
              </w:rPr>
            </w:pPr>
            <w:r>
              <w:rPr>
                <w:rFonts w:hint="eastAsia" w:ascii="宋体" w:hAnsi="宋体" w:eastAsia="宋体" w:cs="宋体"/>
                <w:i w:val="0"/>
                <w:iCs w:val="0"/>
                <w:color w:val="auto"/>
                <w:sz w:val="28"/>
                <w:szCs w:val="28"/>
                <w:highlight w:val="none"/>
                <w:u w:val="none"/>
                <w:lang w:val="en-US" w:eastAsia="zh-CN"/>
              </w:rPr>
              <w:t>成交供应商须定期与采购人进行沟通评估，深入了解运动员的训练进展和需求变化，根据评估结果及时调整服务方案，以满足运动员的个性化需求。</w:t>
            </w:r>
          </w:p>
        </w:tc>
      </w:tr>
    </w:tbl>
    <w:p w14:paraId="480930CE">
      <w:pPr>
        <w:pageBreakBefore w:val="0"/>
        <w:widowControl w:val="0"/>
        <w:wordWrap/>
        <w:overflowPunct/>
        <w:topLinePunct w:val="0"/>
        <w:bidi w:val="0"/>
        <w:spacing w:line="249" w:lineRule="auto"/>
        <w:rPr>
          <w:color w:val="auto"/>
          <w:highlight w:val="none"/>
          <w:lang w:eastAsia="zh-CN"/>
        </w:rPr>
      </w:pPr>
    </w:p>
    <w:p w14:paraId="2615CDF4">
      <w:pPr>
        <w:pageBreakBefore w:val="0"/>
        <w:widowControl w:val="0"/>
        <w:wordWrap/>
        <w:overflowPunct/>
        <w:topLinePunct w:val="0"/>
        <w:bidi w:val="0"/>
        <w:spacing w:line="249" w:lineRule="auto"/>
        <w:rPr>
          <w:color w:val="auto"/>
          <w:highlight w:val="none"/>
          <w:lang w:eastAsia="zh-CN"/>
        </w:rPr>
      </w:pPr>
    </w:p>
    <w:p w14:paraId="2D2E5C16">
      <w:pPr>
        <w:pageBreakBefore w:val="0"/>
        <w:widowControl w:val="0"/>
        <w:wordWrap/>
        <w:overflowPunct/>
        <w:topLinePunct w:val="0"/>
        <w:bidi w:val="0"/>
        <w:spacing w:line="249" w:lineRule="auto"/>
        <w:rPr>
          <w:color w:val="auto"/>
          <w:highlight w:val="none"/>
          <w:lang w:eastAsia="zh-CN"/>
        </w:rPr>
      </w:pPr>
    </w:p>
    <w:p w14:paraId="3A2425BF">
      <w:pPr>
        <w:pageBreakBefore w:val="0"/>
        <w:widowControl w:val="0"/>
        <w:wordWrap/>
        <w:overflowPunct/>
        <w:topLinePunct w:val="0"/>
        <w:bidi w:val="0"/>
        <w:spacing w:line="249" w:lineRule="auto"/>
        <w:rPr>
          <w:color w:val="auto"/>
          <w:highlight w:val="none"/>
          <w:lang w:eastAsia="zh-CN"/>
        </w:rPr>
      </w:pPr>
    </w:p>
    <w:p w14:paraId="461EC5D5">
      <w:pPr>
        <w:pageBreakBefore w:val="0"/>
        <w:kinsoku/>
        <w:wordWrap/>
        <w:overflowPunct/>
        <w:topLinePunct w:val="0"/>
        <w:autoSpaceDE/>
        <w:autoSpaceDN/>
        <w:bidi w:val="0"/>
        <w:spacing w:line="560" w:lineRule="exact"/>
        <w:ind w:left="0" w:right="0" w:firstLine="624"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注：以上所有商务</w:t>
      </w:r>
      <w:r>
        <w:rPr>
          <w:rFonts w:hint="eastAsia" w:ascii="仿宋_GB2312" w:hAnsi="仿宋_GB2312" w:eastAsia="仿宋_GB2312" w:cs="仿宋_GB2312"/>
          <w:spacing w:val="-3"/>
          <w:sz w:val="32"/>
          <w:szCs w:val="32"/>
        </w:rPr>
        <w:t>要</w:t>
      </w:r>
      <w:r>
        <w:rPr>
          <w:rFonts w:hint="eastAsia" w:ascii="仿宋_GB2312" w:hAnsi="仿宋_GB2312" w:eastAsia="仿宋_GB2312" w:cs="仿宋_GB2312"/>
          <w:spacing w:val="-2"/>
          <w:sz w:val="32"/>
          <w:szCs w:val="32"/>
        </w:rPr>
        <w:t>求投标人必须全部满足，否则视为无效投标。投标人可以提供满足</w:t>
      </w:r>
      <w:r>
        <w:rPr>
          <w:rFonts w:hint="eastAsia" w:ascii="仿宋_GB2312" w:hAnsi="仿宋_GB2312" w:eastAsia="仿宋_GB2312" w:cs="仿宋_GB2312"/>
          <w:spacing w:val="1"/>
          <w:sz w:val="32"/>
          <w:szCs w:val="32"/>
        </w:rPr>
        <w:t>或优</w:t>
      </w:r>
      <w:r>
        <w:rPr>
          <w:rFonts w:hint="eastAsia" w:ascii="仿宋_GB2312" w:hAnsi="仿宋_GB2312" w:eastAsia="仿宋_GB2312" w:cs="仿宋_GB2312"/>
          <w:sz w:val="32"/>
          <w:szCs w:val="32"/>
        </w:rPr>
        <w:t>于以上基本需求的商务要求参加投标</w:t>
      </w:r>
    </w:p>
    <w:p w14:paraId="794C23C5">
      <w:pPr>
        <w:rPr>
          <w:rFonts w:ascii="宋体" w:hAnsi="宋体" w:eastAsia="宋体" w:cs="宋体"/>
          <w:color w:val="auto"/>
          <w:spacing w:val="-2"/>
          <w:sz w:val="24"/>
          <w:szCs w:val="24"/>
          <w:highlight w:val="none"/>
          <w:lang w:eastAsia="zh-CN"/>
        </w:rPr>
        <w:sectPr>
          <w:pgSz w:w="11906" w:h="16839"/>
          <w:pgMar w:top="1066" w:right="1304" w:bottom="986" w:left="1307" w:header="0" w:footer="994" w:gutter="0"/>
          <w:pgNumType w:fmt="decimal"/>
          <w:cols w:space="720" w:num="1"/>
        </w:sectPr>
      </w:pPr>
      <w:r>
        <w:rPr>
          <w:rFonts w:ascii="宋体" w:hAnsi="宋体" w:eastAsia="宋体" w:cs="宋体"/>
          <w:color w:val="auto"/>
          <w:spacing w:val="-2"/>
          <w:sz w:val="24"/>
          <w:szCs w:val="24"/>
          <w:highlight w:val="none"/>
          <w:lang w:eastAsia="zh-CN"/>
        </w:rPr>
        <w:br w:type="page"/>
      </w:r>
    </w:p>
    <w:p w14:paraId="529A0D31">
      <w:pPr>
        <w:spacing w:before="173" w:line="292" w:lineRule="auto"/>
        <w:ind w:right="2353"/>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val="en-US" w:eastAsia="zh-CN"/>
        </w:rPr>
        <w:t>附件</w:t>
      </w:r>
    </w:p>
    <w:tbl>
      <w:tblPr>
        <w:tblStyle w:val="6"/>
        <w:tblW w:w="503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59"/>
        <w:gridCol w:w="3388"/>
        <w:gridCol w:w="1049"/>
        <w:gridCol w:w="958"/>
        <w:gridCol w:w="1308"/>
      </w:tblGrid>
      <w:tr w14:paraId="531F1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5000" w:type="pct"/>
            <w:gridSpan w:val="5"/>
            <w:vAlign w:val="top"/>
          </w:tcPr>
          <w:p w14:paraId="2AF66D57">
            <w:pPr>
              <w:pStyle w:val="7"/>
              <w:spacing w:before="167" w:line="219" w:lineRule="auto"/>
              <w:ind w:left="115"/>
              <w:rPr>
                <w:highlight w:val="none"/>
              </w:rPr>
            </w:pPr>
            <w:r>
              <w:rPr>
                <w:spacing w:val="-1"/>
                <w:highlight w:val="none"/>
              </w:rPr>
              <w:t>评分标准：优秀（100-90分</w:t>
            </w:r>
            <w:r>
              <w:rPr>
                <w:spacing w:val="5"/>
                <w:highlight w:val="none"/>
              </w:rPr>
              <w:t>）；</w:t>
            </w:r>
            <w:r>
              <w:rPr>
                <w:spacing w:val="-1"/>
                <w:highlight w:val="none"/>
              </w:rPr>
              <w:t>合格（</w:t>
            </w:r>
            <w:r>
              <w:rPr>
                <w:rFonts w:hint="eastAsia" w:eastAsia="宋体"/>
                <w:spacing w:val="-1"/>
                <w:highlight w:val="none"/>
                <w:lang w:val="en-US" w:eastAsia="zh-CN"/>
              </w:rPr>
              <w:t>89</w:t>
            </w:r>
            <w:r>
              <w:rPr>
                <w:spacing w:val="-1"/>
                <w:highlight w:val="none"/>
              </w:rPr>
              <w:t>-75分</w:t>
            </w:r>
            <w:r>
              <w:rPr>
                <w:spacing w:val="5"/>
                <w:highlight w:val="none"/>
              </w:rPr>
              <w:t>）；</w:t>
            </w:r>
            <w:r>
              <w:rPr>
                <w:spacing w:val="-1"/>
                <w:highlight w:val="none"/>
              </w:rPr>
              <w:t>不合格（75</w:t>
            </w:r>
            <w:r>
              <w:rPr>
                <w:rFonts w:hint="eastAsia" w:eastAsia="宋体"/>
                <w:spacing w:val="-1"/>
                <w:highlight w:val="none"/>
                <w:lang w:val="en-US" w:eastAsia="zh-CN"/>
              </w:rPr>
              <w:t xml:space="preserve"> </w:t>
            </w:r>
            <w:r>
              <w:rPr>
                <w:spacing w:val="-1"/>
                <w:highlight w:val="none"/>
              </w:rPr>
              <w:t>以下）</w:t>
            </w:r>
          </w:p>
        </w:tc>
      </w:tr>
      <w:tr w14:paraId="5F432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jc w:val="center"/>
        </w:trPr>
        <w:tc>
          <w:tcPr>
            <w:tcW w:w="992" w:type="pct"/>
            <w:vMerge w:val="restart"/>
            <w:tcBorders>
              <w:bottom w:val="nil"/>
            </w:tcBorders>
            <w:vAlign w:val="center"/>
          </w:tcPr>
          <w:p w14:paraId="594DA4D3">
            <w:pPr>
              <w:pStyle w:val="7"/>
              <w:spacing w:before="78" w:line="219" w:lineRule="auto"/>
              <w:jc w:val="center"/>
              <w:rPr>
                <w:highlight w:val="none"/>
              </w:rPr>
            </w:pPr>
            <w:r>
              <w:rPr>
                <w:spacing w:val="-4"/>
                <w:highlight w:val="none"/>
              </w:rPr>
              <w:t>工作纪律</w:t>
            </w:r>
          </w:p>
        </w:tc>
        <w:tc>
          <w:tcPr>
            <w:tcW w:w="2026" w:type="pct"/>
            <w:vAlign w:val="top"/>
          </w:tcPr>
          <w:p w14:paraId="5C55DF29">
            <w:pPr>
              <w:pStyle w:val="7"/>
              <w:spacing w:before="164" w:line="219" w:lineRule="auto"/>
              <w:ind w:left="1208"/>
              <w:rPr>
                <w:highlight w:val="none"/>
              </w:rPr>
            </w:pPr>
            <w:r>
              <w:rPr>
                <w:spacing w:val="-3"/>
                <w:highlight w:val="none"/>
              </w:rPr>
              <w:t>考核内容</w:t>
            </w:r>
          </w:p>
        </w:tc>
        <w:tc>
          <w:tcPr>
            <w:tcW w:w="627" w:type="pct"/>
            <w:vAlign w:val="top"/>
          </w:tcPr>
          <w:p w14:paraId="1D1329AC">
            <w:pPr>
              <w:pStyle w:val="7"/>
              <w:spacing w:before="164" w:line="219" w:lineRule="auto"/>
              <w:ind w:left="291"/>
              <w:rPr>
                <w:highlight w:val="none"/>
              </w:rPr>
            </w:pPr>
            <w:r>
              <w:rPr>
                <w:spacing w:val="-5"/>
                <w:highlight w:val="none"/>
              </w:rPr>
              <w:t>满分</w:t>
            </w:r>
          </w:p>
        </w:tc>
        <w:tc>
          <w:tcPr>
            <w:tcW w:w="573" w:type="pct"/>
            <w:vAlign w:val="top"/>
          </w:tcPr>
          <w:p w14:paraId="7C89787C">
            <w:pPr>
              <w:pStyle w:val="7"/>
              <w:spacing w:before="163" w:line="220" w:lineRule="auto"/>
              <w:ind w:left="233"/>
              <w:rPr>
                <w:highlight w:val="none"/>
              </w:rPr>
            </w:pPr>
            <w:r>
              <w:rPr>
                <w:spacing w:val="-5"/>
                <w:highlight w:val="none"/>
              </w:rPr>
              <w:t>评分</w:t>
            </w:r>
          </w:p>
        </w:tc>
        <w:tc>
          <w:tcPr>
            <w:tcW w:w="781" w:type="pct"/>
            <w:vAlign w:val="top"/>
          </w:tcPr>
          <w:p w14:paraId="7C929F1F">
            <w:pPr>
              <w:pStyle w:val="7"/>
              <w:spacing w:before="163" w:line="221" w:lineRule="auto"/>
              <w:ind w:left="407"/>
              <w:rPr>
                <w:highlight w:val="none"/>
              </w:rPr>
            </w:pPr>
            <w:r>
              <w:rPr>
                <w:spacing w:val="-6"/>
                <w:highlight w:val="none"/>
              </w:rPr>
              <w:t>合计</w:t>
            </w:r>
          </w:p>
        </w:tc>
      </w:tr>
      <w:tr w14:paraId="43184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jc w:val="center"/>
        </w:trPr>
        <w:tc>
          <w:tcPr>
            <w:tcW w:w="992" w:type="pct"/>
            <w:vMerge w:val="continue"/>
            <w:tcBorders>
              <w:top w:val="nil"/>
              <w:bottom w:val="nil"/>
            </w:tcBorders>
            <w:vAlign w:val="center"/>
          </w:tcPr>
          <w:p w14:paraId="3964B42D">
            <w:pPr>
              <w:rPr>
                <w:rFonts w:ascii="Arial"/>
                <w:sz w:val="21"/>
                <w:highlight w:val="none"/>
              </w:rPr>
            </w:pPr>
          </w:p>
        </w:tc>
        <w:tc>
          <w:tcPr>
            <w:tcW w:w="2026" w:type="pct"/>
            <w:vAlign w:val="center"/>
          </w:tcPr>
          <w:p w14:paraId="5D422058">
            <w:pPr>
              <w:pStyle w:val="7"/>
              <w:spacing w:before="161" w:line="221" w:lineRule="auto"/>
              <w:ind w:left="116"/>
              <w:rPr>
                <w:highlight w:val="none"/>
              </w:rPr>
            </w:pPr>
            <w:r>
              <w:rPr>
                <w:spacing w:val="-3"/>
                <w:highlight w:val="none"/>
              </w:rPr>
              <w:t>准时上下班</w:t>
            </w:r>
          </w:p>
        </w:tc>
        <w:tc>
          <w:tcPr>
            <w:tcW w:w="627" w:type="pct"/>
            <w:vAlign w:val="top"/>
          </w:tcPr>
          <w:p w14:paraId="4F6F9656">
            <w:pPr>
              <w:pStyle w:val="7"/>
              <w:spacing w:before="199" w:line="183" w:lineRule="auto"/>
              <w:ind w:left="476"/>
              <w:jc w:val="both"/>
              <w:rPr>
                <w:rFonts w:hint="default" w:eastAsia="宋体"/>
                <w:highlight w:val="none"/>
                <w:lang w:val="en-US" w:eastAsia="zh-CN"/>
              </w:rPr>
            </w:pPr>
            <w:r>
              <w:rPr>
                <w:rFonts w:hint="eastAsia" w:eastAsia="宋体"/>
                <w:highlight w:val="none"/>
                <w:lang w:val="en-US" w:eastAsia="zh-CN"/>
              </w:rPr>
              <w:t>10</w:t>
            </w:r>
          </w:p>
        </w:tc>
        <w:tc>
          <w:tcPr>
            <w:tcW w:w="573" w:type="pct"/>
            <w:vAlign w:val="top"/>
          </w:tcPr>
          <w:p w14:paraId="4A70941F">
            <w:pPr>
              <w:rPr>
                <w:rFonts w:ascii="Arial"/>
                <w:sz w:val="21"/>
                <w:highlight w:val="none"/>
              </w:rPr>
            </w:pPr>
          </w:p>
        </w:tc>
        <w:tc>
          <w:tcPr>
            <w:tcW w:w="781" w:type="pct"/>
            <w:vMerge w:val="restart"/>
            <w:tcBorders>
              <w:bottom w:val="nil"/>
            </w:tcBorders>
            <w:vAlign w:val="top"/>
          </w:tcPr>
          <w:p w14:paraId="6008F9B6">
            <w:pPr>
              <w:rPr>
                <w:rFonts w:ascii="Arial"/>
                <w:sz w:val="21"/>
                <w:highlight w:val="none"/>
              </w:rPr>
            </w:pPr>
          </w:p>
        </w:tc>
      </w:tr>
      <w:tr w14:paraId="042D9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jc w:val="center"/>
        </w:trPr>
        <w:tc>
          <w:tcPr>
            <w:tcW w:w="992" w:type="pct"/>
            <w:vMerge w:val="continue"/>
            <w:tcBorders>
              <w:top w:val="nil"/>
              <w:bottom w:val="nil"/>
            </w:tcBorders>
            <w:vAlign w:val="center"/>
          </w:tcPr>
          <w:p w14:paraId="349CA384">
            <w:pPr>
              <w:rPr>
                <w:rFonts w:ascii="Arial"/>
                <w:sz w:val="21"/>
                <w:highlight w:val="none"/>
              </w:rPr>
            </w:pPr>
          </w:p>
        </w:tc>
        <w:tc>
          <w:tcPr>
            <w:tcW w:w="2026" w:type="pct"/>
            <w:vAlign w:val="center"/>
          </w:tcPr>
          <w:p w14:paraId="7D034A20">
            <w:pPr>
              <w:pStyle w:val="7"/>
              <w:spacing w:before="162" w:line="219" w:lineRule="auto"/>
              <w:ind w:left="113"/>
              <w:rPr>
                <w:highlight w:val="none"/>
              </w:rPr>
            </w:pPr>
            <w:r>
              <w:rPr>
                <w:spacing w:val="-3"/>
                <w:highlight w:val="none"/>
              </w:rPr>
              <w:t>服务态度</w:t>
            </w:r>
          </w:p>
        </w:tc>
        <w:tc>
          <w:tcPr>
            <w:tcW w:w="627" w:type="pct"/>
            <w:vAlign w:val="top"/>
          </w:tcPr>
          <w:p w14:paraId="32914298">
            <w:pPr>
              <w:spacing w:before="199" w:line="183" w:lineRule="auto"/>
              <w:ind w:left="476"/>
              <w:jc w:val="both"/>
              <w:rPr>
                <w:rFonts w:hint="default" w:eastAsia="宋体"/>
                <w:highlight w:val="none"/>
                <w:lang w:val="en-US" w:eastAsia="zh-CN"/>
              </w:rPr>
            </w:pPr>
            <w:r>
              <w:rPr>
                <w:rFonts w:hint="eastAsia" w:eastAsia="宋体"/>
                <w:highlight w:val="none"/>
                <w:lang w:val="en-US" w:eastAsia="zh-CN"/>
              </w:rPr>
              <w:t>10</w:t>
            </w:r>
          </w:p>
        </w:tc>
        <w:tc>
          <w:tcPr>
            <w:tcW w:w="573" w:type="pct"/>
            <w:vAlign w:val="top"/>
          </w:tcPr>
          <w:p w14:paraId="56888701">
            <w:pPr>
              <w:rPr>
                <w:rFonts w:ascii="Arial"/>
                <w:sz w:val="21"/>
                <w:highlight w:val="none"/>
              </w:rPr>
            </w:pPr>
          </w:p>
        </w:tc>
        <w:tc>
          <w:tcPr>
            <w:tcW w:w="781" w:type="pct"/>
            <w:vMerge w:val="continue"/>
            <w:tcBorders>
              <w:top w:val="nil"/>
              <w:bottom w:val="nil"/>
            </w:tcBorders>
            <w:vAlign w:val="top"/>
          </w:tcPr>
          <w:p w14:paraId="46CE1843">
            <w:pPr>
              <w:rPr>
                <w:rFonts w:ascii="Arial"/>
                <w:sz w:val="21"/>
                <w:highlight w:val="none"/>
              </w:rPr>
            </w:pPr>
          </w:p>
        </w:tc>
      </w:tr>
      <w:tr w14:paraId="038B8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992" w:type="pct"/>
            <w:vMerge w:val="continue"/>
            <w:tcBorders>
              <w:top w:val="nil"/>
            </w:tcBorders>
            <w:vAlign w:val="center"/>
          </w:tcPr>
          <w:p w14:paraId="1A30ABF5">
            <w:pPr>
              <w:rPr>
                <w:rFonts w:ascii="Arial"/>
                <w:sz w:val="21"/>
                <w:highlight w:val="none"/>
              </w:rPr>
            </w:pPr>
          </w:p>
        </w:tc>
        <w:tc>
          <w:tcPr>
            <w:tcW w:w="2026" w:type="pct"/>
            <w:vAlign w:val="center"/>
          </w:tcPr>
          <w:p w14:paraId="0232FC2A">
            <w:pPr>
              <w:pStyle w:val="7"/>
              <w:spacing w:before="162" w:line="219" w:lineRule="auto"/>
              <w:ind w:left="114"/>
              <w:rPr>
                <w:highlight w:val="none"/>
              </w:rPr>
            </w:pPr>
            <w:r>
              <w:rPr>
                <w:spacing w:val="-2"/>
                <w:highlight w:val="none"/>
              </w:rPr>
              <w:t>遵守</w:t>
            </w:r>
            <w:r>
              <w:rPr>
                <w:rFonts w:hint="eastAsia" w:eastAsia="宋体"/>
                <w:spacing w:val="-2"/>
                <w:highlight w:val="none"/>
                <w:lang w:val="en-US" w:eastAsia="zh-CN"/>
              </w:rPr>
              <w:t>学校</w:t>
            </w:r>
            <w:r>
              <w:rPr>
                <w:spacing w:val="-2"/>
                <w:highlight w:val="none"/>
              </w:rPr>
              <w:t>纪律</w:t>
            </w:r>
          </w:p>
        </w:tc>
        <w:tc>
          <w:tcPr>
            <w:tcW w:w="627" w:type="pct"/>
            <w:vAlign w:val="top"/>
          </w:tcPr>
          <w:p w14:paraId="37FB0558">
            <w:pPr>
              <w:spacing w:before="200" w:line="183" w:lineRule="auto"/>
              <w:ind w:left="471"/>
              <w:jc w:val="both"/>
              <w:rPr>
                <w:rFonts w:hint="default" w:eastAsia="宋体"/>
                <w:highlight w:val="none"/>
                <w:lang w:val="en-US" w:eastAsia="zh-CN"/>
              </w:rPr>
            </w:pPr>
            <w:r>
              <w:rPr>
                <w:rFonts w:hint="eastAsia" w:eastAsia="宋体"/>
                <w:highlight w:val="none"/>
                <w:lang w:val="en-US" w:eastAsia="zh-CN"/>
              </w:rPr>
              <w:t>10</w:t>
            </w:r>
          </w:p>
        </w:tc>
        <w:tc>
          <w:tcPr>
            <w:tcW w:w="573" w:type="pct"/>
            <w:vAlign w:val="top"/>
          </w:tcPr>
          <w:p w14:paraId="6C5F85BD">
            <w:pPr>
              <w:rPr>
                <w:rFonts w:ascii="Arial"/>
                <w:sz w:val="21"/>
                <w:highlight w:val="none"/>
              </w:rPr>
            </w:pPr>
          </w:p>
        </w:tc>
        <w:tc>
          <w:tcPr>
            <w:tcW w:w="781" w:type="pct"/>
            <w:vMerge w:val="continue"/>
            <w:tcBorders>
              <w:top w:val="nil"/>
            </w:tcBorders>
            <w:vAlign w:val="top"/>
          </w:tcPr>
          <w:p w14:paraId="6370AF2B">
            <w:pPr>
              <w:rPr>
                <w:rFonts w:ascii="Arial"/>
                <w:sz w:val="21"/>
                <w:highlight w:val="none"/>
              </w:rPr>
            </w:pPr>
          </w:p>
        </w:tc>
      </w:tr>
      <w:tr w14:paraId="6D964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992" w:type="pct"/>
            <w:vMerge w:val="restart"/>
            <w:tcBorders>
              <w:bottom w:val="nil"/>
            </w:tcBorders>
            <w:vAlign w:val="center"/>
          </w:tcPr>
          <w:p w14:paraId="36FEE496">
            <w:pPr>
              <w:pStyle w:val="7"/>
              <w:spacing w:before="78" w:line="219" w:lineRule="auto"/>
              <w:jc w:val="center"/>
              <w:rPr>
                <w:highlight w:val="none"/>
              </w:rPr>
            </w:pPr>
            <w:r>
              <w:rPr>
                <w:spacing w:val="-6"/>
                <w:highlight w:val="none"/>
              </w:rPr>
              <w:t>责任心</w:t>
            </w:r>
          </w:p>
        </w:tc>
        <w:tc>
          <w:tcPr>
            <w:tcW w:w="2026" w:type="pct"/>
            <w:vAlign w:val="center"/>
          </w:tcPr>
          <w:p w14:paraId="2C03ECF4">
            <w:pPr>
              <w:pStyle w:val="7"/>
              <w:spacing w:before="163" w:line="219" w:lineRule="auto"/>
              <w:ind w:left="117"/>
              <w:rPr>
                <w:highlight w:val="none"/>
              </w:rPr>
            </w:pPr>
            <w:r>
              <w:rPr>
                <w:spacing w:val="-3"/>
                <w:highlight w:val="none"/>
              </w:rPr>
              <w:t>工作认真负责</w:t>
            </w:r>
          </w:p>
        </w:tc>
        <w:tc>
          <w:tcPr>
            <w:tcW w:w="627" w:type="pct"/>
            <w:vAlign w:val="top"/>
          </w:tcPr>
          <w:p w14:paraId="1A32C262">
            <w:pPr>
              <w:spacing w:before="200" w:line="183" w:lineRule="auto"/>
              <w:jc w:val="center"/>
              <w:rPr>
                <w:rFonts w:hint="default" w:eastAsia="宋体"/>
                <w:highlight w:val="none"/>
                <w:lang w:val="en-US" w:eastAsia="zh-CN"/>
              </w:rPr>
            </w:pPr>
            <w:r>
              <w:rPr>
                <w:rFonts w:hint="eastAsia" w:eastAsia="宋体"/>
                <w:highlight w:val="none"/>
                <w:lang w:val="en-US" w:eastAsia="zh-CN"/>
              </w:rPr>
              <w:t>10</w:t>
            </w:r>
          </w:p>
        </w:tc>
        <w:tc>
          <w:tcPr>
            <w:tcW w:w="573" w:type="pct"/>
            <w:vAlign w:val="top"/>
          </w:tcPr>
          <w:p w14:paraId="479B3778">
            <w:pPr>
              <w:rPr>
                <w:rFonts w:ascii="Arial"/>
                <w:sz w:val="21"/>
                <w:highlight w:val="none"/>
              </w:rPr>
            </w:pPr>
          </w:p>
        </w:tc>
        <w:tc>
          <w:tcPr>
            <w:tcW w:w="781" w:type="pct"/>
            <w:vMerge w:val="restart"/>
            <w:tcBorders>
              <w:bottom w:val="nil"/>
            </w:tcBorders>
            <w:vAlign w:val="top"/>
          </w:tcPr>
          <w:p w14:paraId="72C36B62">
            <w:pPr>
              <w:rPr>
                <w:rFonts w:ascii="Arial"/>
                <w:sz w:val="21"/>
                <w:highlight w:val="none"/>
              </w:rPr>
            </w:pPr>
          </w:p>
        </w:tc>
      </w:tr>
      <w:tr w14:paraId="1350F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992" w:type="pct"/>
            <w:vMerge w:val="continue"/>
            <w:tcBorders>
              <w:top w:val="nil"/>
              <w:bottom w:val="nil"/>
            </w:tcBorders>
            <w:vAlign w:val="center"/>
          </w:tcPr>
          <w:p w14:paraId="5C4CB6BA">
            <w:pPr>
              <w:rPr>
                <w:rFonts w:ascii="Arial"/>
                <w:sz w:val="21"/>
                <w:highlight w:val="none"/>
              </w:rPr>
            </w:pPr>
          </w:p>
        </w:tc>
        <w:tc>
          <w:tcPr>
            <w:tcW w:w="2026" w:type="pct"/>
            <w:vAlign w:val="center"/>
          </w:tcPr>
          <w:p w14:paraId="3EEBB3CE">
            <w:pPr>
              <w:pStyle w:val="7"/>
              <w:spacing w:before="162" w:line="289" w:lineRule="auto"/>
              <w:ind w:left="114" w:right="137" w:firstLine="5"/>
              <w:rPr>
                <w:highlight w:val="none"/>
              </w:rPr>
            </w:pPr>
            <w:r>
              <w:rPr>
                <w:spacing w:val="-2"/>
                <w:highlight w:val="none"/>
              </w:rPr>
              <w:t>融入运动队，配合主教练完成</w:t>
            </w:r>
            <w:r>
              <w:rPr>
                <w:spacing w:val="-3"/>
                <w:highlight w:val="none"/>
              </w:rPr>
              <w:t>服务工作</w:t>
            </w:r>
          </w:p>
        </w:tc>
        <w:tc>
          <w:tcPr>
            <w:tcW w:w="627" w:type="pct"/>
            <w:vAlign w:val="top"/>
          </w:tcPr>
          <w:p w14:paraId="06D95A8F">
            <w:pPr>
              <w:spacing w:before="199" w:line="184" w:lineRule="auto"/>
              <w:jc w:val="center"/>
              <w:rPr>
                <w:highlight w:val="none"/>
              </w:rPr>
            </w:pPr>
            <w:r>
              <w:rPr>
                <w:rFonts w:hint="eastAsia" w:eastAsia="宋体"/>
                <w:highlight w:val="none"/>
                <w:lang w:val="en-US" w:eastAsia="zh-CN"/>
              </w:rPr>
              <w:t>10</w:t>
            </w:r>
          </w:p>
        </w:tc>
        <w:tc>
          <w:tcPr>
            <w:tcW w:w="573" w:type="pct"/>
            <w:vAlign w:val="top"/>
          </w:tcPr>
          <w:p w14:paraId="6FCE7C8D">
            <w:pPr>
              <w:rPr>
                <w:rFonts w:ascii="Arial"/>
                <w:sz w:val="21"/>
                <w:highlight w:val="none"/>
              </w:rPr>
            </w:pPr>
          </w:p>
        </w:tc>
        <w:tc>
          <w:tcPr>
            <w:tcW w:w="781" w:type="pct"/>
            <w:vMerge w:val="continue"/>
            <w:tcBorders>
              <w:top w:val="nil"/>
              <w:bottom w:val="nil"/>
            </w:tcBorders>
            <w:vAlign w:val="top"/>
          </w:tcPr>
          <w:p w14:paraId="11518237">
            <w:pPr>
              <w:rPr>
                <w:rFonts w:ascii="Arial"/>
                <w:sz w:val="21"/>
                <w:highlight w:val="none"/>
              </w:rPr>
            </w:pPr>
          </w:p>
        </w:tc>
      </w:tr>
      <w:tr w14:paraId="5352E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jc w:val="center"/>
        </w:trPr>
        <w:tc>
          <w:tcPr>
            <w:tcW w:w="992" w:type="pct"/>
            <w:vMerge w:val="continue"/>
            <w:tcBorders>
              <w:top w:val="nil"/>
            </w:tcBorders>
            <w:vAlign w:val="center"/>
          </w:tcPr>
          <w:p w14:paraId="5A4FA0AA">
            <w:pPr>
              <w:rPr>
                <w:rFonts w:ascii="Arial"/>
                <w:sz w:val="21"/>
                <w:highlight w:val="none"/>
              </w:rPr>
            </w:pPr>
          </w:p>
        </w:tc>
        <w:tc>
          <w:tcPr>
            <w:tcW w:w="2026" w:type="pct"/>
            <w:vAlign w:val="center"/>
          </w:tcPr>
          <w:p w14:paraId="6C251E39">
            <w:pPr>
              <w:pStyle w:val="7"/>
              <w:spacing w:before="162" w:line="220" w:lineRule="auto"/>
              <w:ind w:left="135"/>
              <w:rPr>
                <w:highlight w:val="none"/>
              </w:rPr>
            </w:pPr>
            <w:r>
              <w:rPr>
                <w:spacing w:val="-3"/>
                <w:highlight w:val="none"/>
              </w:rPr>
              <w:t>团队协作流畅，工作推进顺利</w:t>
            </w:r>
          </w:p>
        </w:tc>
        <w:tc>
          <w:tcPr>
            <w:tcW w:w="627" w:type="pct"/>
            <w:vAlign w:val="top"/>
          </w:tcPr>
          <w:p w14:paraId="2EC30E85">
            <w:pPr>
              <w:spacing w:before="199" w:line="184" w:lineRule="auto"/>
              <w:ind w:left="429"/>
              <w:jc w:val="both"/>
              <w:rPr>
                <w:highlight w:val="none"/>
              </w:rPr>
            </w:pPr>
            <w:r>
              <w:rPr>
                <w:rFonts w:hint="eastAsia" w:eastAsia="宋体"/>
                <w:highlight w:val="none"/>
                <w:lang w:val="en-US" w:eastAsia="zh-CN"/>
              </w:rPr>
              <w:t>10</w:t>
            </w:r>
          </w:p>
        </w:tc>
        <w:tc>
          <w:tcPr>
            <w:tcW w:w="573" w:type="pct"/>
            <w:vAlign w:val="top"/>
          </w:tcPr>
          <w:p w14:paraId="26EB081D">
            <w:pPr>
              <w:rPr>
                <w:rFonts w:ascii="Arial"/>
                <w:sz w:val="21"/>
                <w:highlight w:val="none"/>
              </w:rPr>
            </w:pPr>
          </w:p>
        </w:tc>
        <w:tc>
          <w:tcPr>
            <w:tcW w:w="781" w:type="pct"/>
            <w:vMerge w:val="continue"/>
            <w:tcBorders>
              <w:top w:val="nil"/>
            </w:tcBorders>
            <w:vAlign w:val="top"/>
          </w:tcPr>
          <w:p w14:paraId="4CC3E500">
            <w:pPr>
              <w:rPr>
                <w:rFonts w:ascii="Arial"/>
                <w:sz w:val="21"/>
                <w:highlight w:val="none"/>
              </w:rPr>
            </w:pPr>
          </w:p>
        </w:tc>
      </w:tr>
      <w:tr w14:paraId="6AB32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jc w:val="center"/>
        </w:trPr>
        <w:tc>
          <w:tcPr>
            <w:tcW w:w="992" w:type="pct"/>
            <w:vMerge w:val="restart"/>
            <w:tcBorders>
              <w:bottom w:val="nil"/>
            </w:tcBorders>
            <w:vAlign w:val="center"/>
          </w:tcPr>
          <w:p w14:paraId="20D01BFC">
            <w:pPr>
              <w:pStyle w:val="7"/>
              <w:spacing w:before="78" w:line="220" w:lineRule="auto"/>
              <w:jc w:val="center"/>
              <w:rPr>
                <w:highlight w:val="none"/>
              </w:rPr>
            </w:pPr>
            <w:r>
              <w:rPr>
                <w:spacing w:val="-4"/>
                <w:highlight w:val="none"/>
              </w:rPr>
              <w:t>专业性</w:t>
            </w:r>
          </w:p>
        </w:tc>
        <w:tc>
          <w:tcPr>
            <w:tcW w:w="2026" w:type="pct"/>
            <w:vAlign w:val="center"/>
          </w:tcPr>
          <w:p w14:paraId="376BCD29">
            <w:pPr>
              <w:pStyle w:val="7"/>
              <w:spacing w:before="166" w:line="219" w:lineRule="auto"/>
              <w:ind w:left="118"/>
              <w:rPr>
                <w:highlight w:val="none"/>
              </w:rPr>
            </w:pPr>
            <w:r>
              <w:rPr>
                <w:spacing w:val="-2"/>
                <w:highlight w:val="none"/>
              </w:rPr>
              <w:t>是否有</w:t>
            </w:r>
            <w:r>
              <w:rPr>
                <w:rFonts w:hint="eastAsia" w:eastAsia="宋体"/>
                <w:spacing w:val="-2"/>
                <w:highlight w:val="none"/>
                <w:lang w:val="en-US" w:eastAsia="zh-CN"/>
              </w:rPr>
              <w:t>工作</w:t>
            </w:r>
            <w:r>
              <w:rPr>
                <w:spacing w:val="-2"/>
                <w:highlight w:val="none"/>
              </w:rPr>
              <w:t>计划</w:t>
            </w:r>
          </w:p>
        </w:tc>
        <w:tc>
          <w:tcPr>
            <w:tcW w:w="627" w:type="pct"/>
            <w:vAlign w:val="top"/>
          </w:tcPr>
          <w:p w14:paraId="27455996">
            <w:pPr>
              <w:spacing w:before="203" w:line="183" w:lineRule="auto"/>
              <w:ind w:left="472"/>
              <w:jc w:val="both"/>
              <w:rPr>
                <w:rFonts w:hint="default" w:eastAsia="宋体"/>
                <w:highlight w:val="none"/>
                <w:lang w:val="en-US" w:eastAsia="zh-CN"/>
              </w:rPr>
            </w:pPr>
            <w:r>
              <w:rPr>
                <w:rFonts w:hint="eastAsia" w:eastAsia="宋体"/>
                <w:highlight w:val="none"/>
                <w:lang w:val="en-US" w:eastAsia="zh-CN"/>
              </w:rPr>
              <w:t>10</w:t>
            </w:r>
          </w:p>
        </w:tc>
        <w:tc>
          <w:tcPr>
            <w:tcW w:w="573" w:type="pct"/>
            <w:vAlign w:val="top"/>
          </w:tcPr>
          <w:p w14:paraId="1B72D594">
            <w:pPr>
              <w:rPr>
                <w:rFonts w:ascii="Arial"/>
                <w:sz w:val="21"/>
                <w:highlight w:val="none"/>
              </w:rPr>
            </w:pPr>
          </w:p>
        </w:tc>
        <w:tc>
          <w:tcPr>
            <w:tcW w:w="781" w:type="pct"/>
            <w:vMerge w:val="restart"/>
            <w:tcBorders>
              <w:bottom w:val="nil"/>
            </w:tcBorders>
            <w:vAlign w:val="top"/>
          </w:tcPr>
          <w:p w14:paraId="7667BDA3">
            <w:pPr>
              <w:rPr>
                <w:rFonts w:ascii="Arial"/>
                <w:sz w:val="21"/>
                <w:highlight w:val="none"/>
              </w:rPr>
            </w:pPr>
          </w:p>
        </w:tc>
      </w:tr>
      <w:tr w14:paraId="00E1B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jc w:val="center"/>
        </w:trPr>
        <w:tc>
          <w:tcPr>
            <w:tcW w:w="992" w:type="pct"/>
            <w:vMerge w:val="continue"/>
            <w:tcBorders>
              <w:top w:val="nil"/>
              <w:bottom w:val="nil"/>
            </w:tcBorders>
            <w:vAlign w:val="top"/>
          </w:tcPr>
          <w:p w14:paraId="6C88DAF3">
            <w:pPr>
              <w:rPr>
                <w:rFonts w:ascii="Arial"/>
                <w:sz w:val="21"/>
                <w:highlight w:val="none"/>
              </w:rPr>
            </w:pPr>
          </w:p>
        </w:tc>
        <w:tc>
          <w:tcPr>
            <w:tcW w:w="2026" w:type="pct"/>
            <w:vAlign w:val="center"/>
          </w:tcPr>
          <w:p w14:paraId="13942EAB">
            <w:pPr>
              <w:pStyle w:val="7"/>
              <w:spacing w:before="164" w:line="219" w:lineRule="auto"/>
              <w:ind w:left="114"/>
              <w:rPr>
                <w:highlight w:val="none"/>
              </w:rPr>
            </w:pPr>
            <w:r>
              <w:rPr>
                <w:rFonts w:hint="eastAsia" w:eastAsia="宋体"/>
                <w:spacing w:val="-1"/>
                <w:highlight w:val="none"/>
                <w:lang w:val="en-US" w:eastAsia="zh-CN"/>
              </w:rPr>
              <w:t>工作</w:t>
            </w:r>
            <w:r>
              <w:rPr>
                <w:spacing w:val="-1"/>
                <w:highlight w:val="none"/>
              </w:rPr>
              <w:t>计划内容是否清晰且突出重点</w:t>
            </w:r>
          </w:p>
        </w:tc>
        <w:tc>
          <w:tcPr>
            <w:tcW w:w="627" w:type="pct"/>
            <w:vAlign w:val="top"/>
          </w:tcPr>
          <w:p w14:paraId="0CF2290A">
            <w:pPr>
              <w:spacing w:before="201" w:line="183" w:lineRule="auto"/>
              <w:ind w:left="472"/>
              <w:jc w:val="both"/>
              <w:rPr>
                <w:rFonts w:hint="default" w:eastAsia="宋体"/>
                <w:highlight w:val="none"/>
                <w:lang w:val="en-US" w:eastAsia="zh-CN"/>
              </w:rPr>
            </w:pPr>
            <w:r>
              <w:rPr>
                <w:rFonts w:hint="eastAsia" w:eastAsia="宋体"/>
                <w:highlight w:val="none"/>
                <w:lang w:val="en-US" w:eastAsia="zh-CN"/>
              </w:rPr>
              <w:t>10</w:t>
            </w:r>
          </w:p>
        </w:tc>
        <w:tc>
          <w:tcPr>
            <w:tcW w:w="573" w:type="pct"/>
            <w:vAlign w:val="top"/>
          </w:tcPr>
          <w:p w14:paraId="1E3EF68D">
            <w:pPr>
              <w:rPr>
                <w:rFonts w:ascii="Arial"/>
                <w:sz w:val="21"/>
                <w:highlight w:val="none"/>
              </w:rPr>
            </w:pPr>
          </w:p>
        </w:tc>
        <w:tc>
          <w:tcPr>
            <w:tcW w:w="781" w:type="pct"/>
            <w:vMerge w:val="continue"/>
            <w:tcBorders>
              <w:top w:val="nil"/>
              <w:bottom w:val="nil"/>
            </w:tcBorders>
            <w:vAlign w:val="top"/>
          </w:tcPr>
          <w:p w14:paraId="48DCBA52">
            <w:pPr>
              <w:rPr>
                <w:rFonts w:ascii="Arial"/>
                <w:sz w:val="21"/>
                <w:highlight w:val="none"/>
              </w:rPr>
            </w:pPr>
          </w:p>
        </w:tc>
      </w:tr>
      <w:tr w14:paraId="469E5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jc w:val="center"/>
        </w:trPr>
        <w:tc>
          <w:tcPr>
            <w:tcW w:w="992" w:type="pct"/>
            <w:vMerge w:val="continue"/>
            <w:tcBorders>
              <w:top w:val="nil"/>
              <w:bottom w:val="nil"/>
            </w:tcBorders>
            <w:vAlign w:val="top"/>
          </w:tcPr>
          <w:p w14:paraId="48AE607A">
            <w:pPr>
              <w:rPr>
                <w:rFonts w:ascii="Arial"/>
                <w:sz w:val="21"/>
                <w:highlight w:val="none"/>
              </w:rPr>
            </w:pPr>
          </w:p>
        </w:tc>
        <w:tc>
          <w:tcPr>
            <w:tcW w:w="2026" w:type="pct"/>
            <w:vAlign w:val="center"/>
          </w:tcPr>
          <w:p w14:paraId="406B86EB">
            <w:pPr>
              <w:pStyle w:val="7"/>
              <w:spacing w:before="166" w:line="219" w:lineRule="auto"/>
              <w:ind w:left="118"/>
              <w:rPr>
                <w:highlight w:val="none"/>
              </w:rPr>
            </w:pPr>
            <w:r>
              <w:rPr>
                <w:spacing w:val="-2"/>
                <w:highlight w:val="none"/>
              </w:rPr>
              <w:t>是否具备良好应变能力</w:t>
            </w:r>
          </w:p>
        </w:tc>
        <w:tc>
          <w:tcPr>
            <w:tcW w:w="627" w:type="pct"/>
            <w:vAlign w:val="top"/>
          </w:tcPr>
          <w:p w14:paraId="2A52134C">
            <w:pPr>
              <w:spacing w:before="203" w:line="183" w:lineRule="auto"/>
              <w:ind w:left="472"/>
              <w:jc w:val="both"/>
              <w:rPr>
                <w:rFonts w:hint="default" w:eastAsia="宋体"/>
                <w:highlight w:val="none"/>
                <w:lang w:val="en-US" w:eastAsia="zh-CN"/>
              </w:rPr>
            </w:pPr>
            <w:r>
              <w:rPr>
                <w:rFonts w:hint="eastAsia" w:eastAsia="宋体"/>
                <w:highlight w:val="none"/>
                <w:lang w:val="en-US" w:eastAsia="zh-CN"/>
              </w:rPr>
              <w:t>10</w:t>
            </w:r>
          </w:p>
        </w:tc>
        <w:tc>
          <w:tcPr>
            <w:tcW w:w="573" w:type="pct"/>
            <w:vAlign w:val="top"/>
          </w:tcPr>
          <w:p w14:paraId="53984B42">
            <w:pPr>
              <w:rPr>
                <w:rFonts w:ascii="Arial"/>
                <w:sz w:val="21"/>
                <w:highlight w:val="none"/>
              </w:rPr>
            </w:pPr>
          </w:p>
        </w:tc>
        <w:tc>
          <w:tcPr>
            <w:tcW w:w="781" w:type="pct"/>
            <w:vMerge w:val="continue"/>
            <w:tcBorders>
              <w:top w:val="nil"/>
              <w:bottom w:val="nil"/>
            </w:tcBorders>
            <w:vAlign w:val="top"/>
          </w:tcPr>
          <w:p w14:paraId="6E5E4EB8">
            <w:pPr>
              <w:rPr>
                <w:rFonts w:ascii="Arial"/>
                <w:sz w:val="21"/>
                <w:highlight w:val="none"/>
              </w:rPr>
            </w:pPr>
          </w:p>
        </w:tc>
      </w:tr>
      <w:tr w14:paraId="6FC13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jc w:val="center"/>
        </w:trPr>
        <w:tc>
          <w:tcPr>
            <w:tcW w:w="992" w:type="pct"/>
            <w:vMerge w:val="continue"/>
            <w:tcBorders>
              <w:top w:val="nil"/>
              <w:bottom w:val="single" w:color="auto" w:sz="4" w:space="0"/>
            </w:tcBorders>
            <w:vAlign w:val="top"/>
          </w:tcPr>
          <w:p w14:paraId="29D34B22">
            <w:pPr>
              <w:rPr>
                <w:rFonts w:ascii="Arial"/>
                <w:sz w:val="21"/>
                <w:highlight w:val="none"/>
              </w:rPr>
            </w:pPr>
          </w:p>
        </w:tc>
        <w:tc>
          <w:tcPr>
            <w:tcW w:w="2026" w:type="pct"/>
            <w:tcBorders>
              <w:bottom w:val="single" w:color="auto" w:sz="4" w:space="0"/>
            </w:tcBorders>
            <w:vAlign w:val="center"/>
          </w:tcPr>
          <w:p w14:paraId="384D10B8">
            <w:pPr>
              <w:pStyle w:val="7"/>
              <w:spacing w:before="165" w:line="220" w:lineRule="auto"/>
              <w:ind w:left="118"/>
              <w:rPr>
                <w:highlight w:val="none"/>
              </w:rPr>
            </w:pPr>
            <w:r>
              <w:rPr>
                <w:spacing w:val="-2"/>
                <w:highlight w:val="none"/>
              </w:rPr>
              <w:t>是否有助于专项成绩提升</w:t>
            </w:r>
          </w:p>
        </w:tc>
        <w:tc>
          <w:tcPr>
            <w:tcW w:w="627" w:type="pct"/>
            <w:tcBorders>
              <w:bottom w:val="single" w:color="auto" w:sz="4" w:space="0"/>
            </w:tcBorders>
            <w:vAlign w:val="top"/>
          </w:tcPr>
          <w:p w14:paraId="7BD632A9">
            <w:pPr>
              <w:spacing w:before="201" w:line="184" w:lineRule="auto"/>
              <w:ind w:left="429"/>
              <w:jc w:val="both"/>
              <w:rPr>
                <w:rFonts w:hint="default" w:eastAsia="宋体"/>
                <w:highlight w:val="none"/>
                <w:lang w:val="en-US" w:eastAsia="zh-CN"/>
              </w:rPr>
            </w:pPr>
            <w:r>
              <w:rPr>
                <w:rFonts w:hint="eastAsia" w:eastAsia="宋体"/>
                <w:highlight w:val="none"/>
                <w:lang w:val="en-US" w:eastAsia="zh-CN"/>
              </w:rPr>
              <w:t>10</w:t>
            </w:r>
          </w:p>
        </w:tc>
        <w:tc>
          <w:tcPr>
            <w:tcW w:w="573" w:type="pct"/>
            <w:tcBorders>
              <w:bottom w:val="single" w:color="auto" w:sz="4" w:space="0"/>
            </w:tcBorders>
            <w:vAlign w:val="top"/>
          </w:tcPr>
          <w:p w14:paraId="426B4992">
            <w:pPr>
              <w:rPr>
                <w:rFonts w:ascii="Arial"/>
                <w:sz w:val="21"/>
                <w:highlight w:val="none"/>
              </w:rPr>
            </w:pPr>
          </w:p>
        </w:tc>
        <w:tc>
          <w:tcPr>
            <w:tcW w:w="781" w:type="pct"/>
            <w:vMerge w:val="continue"/>
            <w:tcBorders>
              <w:top w:val="nil"/>
              <w:bottom w:val="nil"/>
            </w:tcBorders>
            <w:vAlign w:val="top"/>
          </w:tcPr>
          <w:p w14:paraId="76CDD8C8">
            <w:pPr>
              <w:rPr>
                <w:rFonts w:ascii="Arial"/>
                <w:sz w:val="21"/>
                <w:highlight w:val="none"/>
              </w:rPr>
            </w:pPr>
          </w:p>
        </w:tc>
      </w:tr>
      <w:tr w14:paraId="7C33E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4218" w:type="pct"/>
            <w:gridSpan w:val="4"/>
            <w:tcBorders>
              <w:top w:val="single" w:color="auto" w:sz="4" w:space="0"/>
            </w:tcBorders>
            <w:vAlign w:val="top"/>
          </w:tcPr>
          <w:p w14:paraId="65F5E4D6">
            <w:pPr>
              <w:pStyle w:val="7"/>
              <w:spacing w:before="166" w:line="220" w:lineRule="auto"/>
              <w:ind w:left="3158"/>
              <w:rPr>
                <w:highlight w:val="none"/>
              </w:rPr>
            </w:pPr>
            <w:r>
              <w:rPr>
                <w:spacing w:val="-6"/>
                <w:highlight w:val="none"/>
              </w:rPr>
              <w:t>总分：</w:t>
            </w:r>
          </w:p>
        </w:tc>
        <w:tc>
          <w:tcPr>
            <w:tcW w:w="781" w:type="pct"/>
            <w:vAlign w:val="top"/>
          </w:tcPr>
          <w:p w14:paraId="5BE88231">
            <w:pPr>
              <w:rPr>
                <w:rFonts w:ascii="Arial"/>
                <w:sz w:val="21"/>
                <w:highlight w:val="none"/>
              </w:rPr>
            </w:pPr>
          </w:p>
        </w:tc>
      </w:tr>
    </w:tbl>
    <w:p w14:paraId="4773D76B">
      <w:pPr>
        <w:spacing w:before="161" w:line="354" w:lineRule="auto"/>
        <w:ind w:left="10" w:right="25" w:firstLine="1"/>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val="en-US" w:eastAsia="zh-CN"/>
        </w:rPr>
        <w:t>备注：1.甲方有权对服务团队的服务情况每两月进行考核，乙方依据甲方考核情况发放派遣人员工资。考核内容详见“附件1：考核评分表”，若考核结果评定为不合格，则扣除该派遣人员工资的20%。若考核结果评定为合格，则扣除该派遣人员工资的10%；若考核结果评定为优秀，则发放全额工资。</w:t>
      </w:r>
    </w:p>
    <w:p w14:paraId="3482885F">
      <w:r>
        <w:rPr>
          <w:rFonts w:hint="eastAsia" w:ascii="宋体" w:hAnsi="宋体" w:eastAsia="宋体" w:cs="宋体"/>
          <w:spacing w:val="-1"/>
          <w:sz w:val="24"/>
          <w:szCs w:val="24"/>
          <w:highlight w:val="none"/>
          <w:lang w:val="en-US" w:eastAsia="zh-CN"/>
        </w:rPr>
        <w:t xml:space="preserve">2.本合同签订后，乙方应先累计提供两个月的服务，甲方根据前述提供服务考核结果后的次月15日前向乙方支付前两个月的服务费，服务费金额以考核结果确定为准；以后每两个月付款一次，以此类推，直至合同结束。前述每次支付的服务费最终以当次考核确定的金额为准。 </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11267">
    <w:pPr>
      <w:pStyle w:val="2"/>
      <w:rPr>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B3A16">
                          <w:pPr>
                            <w:pStyle w:val="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Ey20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g8IZplPz04/vp&#10;58Pp1zeSDiFR48IMkfcOsbF9Z1uED+cBh4l5W3mdvuBE4IfAx4vAoo2Ep0vTyXSaw8XhGzbAzx6v&#10;Ox/ie2E1SUZBPSrYCcsOmxD70CEkZTN2LZXqqqgMaQp69fpt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iEy20zAgAAZQQAAA4AAAAAAAAAAQAgAAAAHwEAAGRycy9lMm9Eb2MueG1sUEsF&#10;BgAAAAAGAAYAWQEAAMQFAAAAAA==&#10;">
              <v:fill on="f" focussize="0,0"/>
              <v:stroke on="f" weight="0.5pt"/>
              <v:imagedata o:title=""/>
              <o:lock v:ext="edit" aspectratio="f"/>
              <v:textbox inset="0mm,0mm,0mm,0mm" style="mso-fit-shape-to-text:t;">
                <w:txbxContent>
                  <w:p w14:paraId="077B3A16">
                    <w:pPr>
                      <w:pStyle w:val="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BBE1">
    <w:pPr>
      <w:pStyle w:val="2"/>
      <w:rPr>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240ED">
                          <w:pPr>
                            <w:pStyle w:val="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240ED">
                    <w:pPr>
                      <w:pStyle w:val="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F0FED">
    <w:pPr>
      <w:pStyle w:val="2"/>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7E775">
                          <w:pPr>
                            <w:pStyle w:val="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0C07E775">
                    <w:pPr>
                      <w:pStyle w:val="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B70D71"/>
    <w:multiLevelType w:val="singleLevel"/>
    <w:tmpl w:val="56B70D71"/>
    <w:lvl w:ilvl="0" w:tentative="0">
      <w:start w:val="1"/>
      <w:numFmt w:val="decimal"/>
      <w:suff w:val="nothing"/>
      <w:lvlText w:val="%1、"/>
      <w:lvlJc w:val="left"/>
      <w:pPr>
        <w:ind w:left="-1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D5EE1"/>
    <w:rsid w:val="52695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2025-12-10T06:15:00Z</dcterms:created>
  <dc:creator>qk</dc:creator>
  <cp:lastModifiedBy>倔强</cp:lastModifiedBy>
  <dcterms:modified xsi:type="dcterms:W3CDTF">2026-02-02T03:37:32Z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B58FD07569044C539E389425A32BCA62_12</vt:lpwstr>
  </property>
</Properties>
</file>