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D78EB">
      <w:pPr>
        <w:pStyle w:val="3"/>
        <w:jc w:val="center"/>
        <w:rPr>
          <w:rFonts w:hint="eastAsia" w:ascii="方正小标宋简体" w:hAnsi="方正小标宋简体" w:eastAsia="方正小标宋简体" w:cs="Arial"/>
          <w:b w:val="0"/>
          <w:bCs w:val="0"/>
          <w:color w:val="auto"/>
          <w:spacing w:val="0"/>
          <w:sz w:val="40"/>
          <w:szCs w:val="40"/>
          <w:lang w:eastAsia="zh-CN"/>
        </w:rPr>
      </w:pPr>
      <w:bookmarkStart w:id="0" w:name="_Toc24956"/>
      <w:bookmarkStart w:id="1" w:name="_Toc22936"/>
      <w:r>
        <w:rPr>
          <w:rFonts w:hint="eastAsia" w:ascii="方正小标宋简体" w:hAnsi="方正小标宋简体" w:eastAsia="方正小标宋简体" w:cs="Arial"/>
          <w:b w:val="0"/>
          <w:bCs w:val="0"/>
          <w:color w:val="auto"/>
          <w:spacing w:val="0"/>
          <w:sz w:val="40"/>
          <w:szCs w:val="40"/>
          <w:lang w:eastAsia="zh-CN"/>
        </w:rPr>
        <w:t>南昌医学院（象湖校区）消防安全评估项目</w:t>
      </w:r>
    </w:p>
    <w:p w14:paraId="34E9B106">
      <w:pPr>
        <w:pStyle w:val="3"/>
        <w:jc w:val="center"/>
        <w:rPr>
          <w:rFonts w:hint="eastAsia" w:ascii="方正小标宋简体" w:hAnsi="方正小标宋简体" w:eastAsia="方正小标宋简体" w:cs="Arial"/>
          <w:b w:val="0"/>
          <w:bCs w:val="0"/>
          <w:color w:val="auto"/>
          <w:spacing w:val="0"/>
          <w:sz w:val="40"/>
          <w:szCs w:val="40"/>
          <w:lang w:eastAsia="zh-CN"/>
        </w:rPr>
      </w:pPr>
      <w:r>
        <w:rPr>
          <w:rFonts w:hint="eastAsia" w:ascii="方正小标宋简体" w:hAnsi="方正小标宋简体" w:eastAsia="方正小标宋简体" w:cs="Arial"/>
          <w:b w:val="0"/>
          <w:bCs w:val="0"/>
          <w:color w:val="auto"/>
          <w:spacing w:val="0"/>
          <w:sz w:val="40"/>
          <w:szCs w:val="40"/>
          <w:lang w:eastAsia="zh-CN"/>
        </w:rPr>
        <w:t>项目信息</w:t>
      </w:r>
    </w:p>
    <w:p w14:paraId="04CDC3FA">
      <w:pPr>
        <w:keepNext/>
        <w:keepLines/>
        <w:pageBreakBefore w:val="0"/>
        <w:widowControl/>
        <w:kinsoku/>
        <w:wordWrap/>
        <w:overflowPunct/>
        <w:topLinePunct w:val="0"/>
        <w:autoSpaceDE w:val="0"/>
        <w:autoSpaceDN w:val="0"/>
        <w:bidi w:val="0"/>
        <w:adjustRightInd w:val="0"/>
        <w:snapToGrid w:val="0"/>
        <w:textAlignment w:val="baseline"/>
        <w:outlineLvl w:val="9"/>
        <w:rPr>
          <w:rFonts w:hint="eastAsia"/>
          <w:b w:val="0"/>
          <w:bCs w:val="0"/>
          <w:color w:val="auto"/>
          <w:lang w:val="en-US" w:eastAsia="zh-CN"/>
        </w:rPr>
      </w:pPr>
    </w:p>
    <w:p w14:paraId="21402EBF">
      <w:pPr>
        <w:pStyle w:val="3"/>
        <w:rPr>
          <w:b/>
          <w:bCs/>
          <w:color w:val="auto"/>
          <w:lang w:eastAsia="zh-CN"/>
        </w:rPr>
      </w:pPr>
      <w:r>
        <w:rPr>
          <w:rFonts w:hint="eastAsia"/>
          <w:b/>
          <w:bCs/>
          <w:color w:val="auto"/>
          <w:lang w:val="en-US" w:eastAsia="zh-CN"/>
        </w:rPr>
        <w:t>一、</w:t>
      </w:r>
      <w:r>
        <w:rPr>
          <w:rFonts w:hint="eastAsia"/>
          <w:b/>
          <w:bCs/>
          <w:color w:val="auto"/>
          <w:lang w:eastAsia="zh-CN"/>
        </w:rPr>
        <w:t>项目基本情况</w:t>
      </w:r>
      <w:bookmarkEnd w:id="0"/>
      <w:bookmarkEnd w:id="1"/>
    </w:p>
    <w:p w14:paraId="32F6C6DB">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项目名称：南昌医学院（象湖校区）消防安全评估项目</w:t>
      </w:r>
    </w:p>
    <w:p w14:paraId="123E7C30">
      <w:pPr>
        <w:widowControl w:val="0"/>
        <w:kinsoku/>
        <w:wordWrap w:val="0"/>
        <w:spacing w:line="460" w:lineRule="exact"/>
        <w:ind w:firstLine="452" w:firstLineChars="200"/>
        <w:rPr>
          <w:rFonts w:hint="default" w:ascii="宋体" w:hAnsi="宋体"/>
          <w:b w:val="0"/>
          <w:bCs w:val="0"/>
          <w:color w:val="auto"/>
          <w:spacing w:val="-7"/>
          <w:lang w:val="en-US" w:eastAsia="zh-CN"/>
        </w:rPr>
      </w:pPr>
      <w:r>
        <w:rPr>
          <w:rFonts w:hint="eastAsia" w:ascii="宋体" w:hAnsi="宋体"/>
          <w:b w:val="0"/>
          <w:bCs w:val="0"/>
          <w:color w:val="auto"/>
          <w:spacing w:val="-7"/>
          <w:lang w:eastAsia="zh-CN"/>
        </w:rPr>
        <w:t>采购方式：</w:t>
      </w:r>
      <w:r>
        <w:rPr>
          <w:rFonts w:hint="eastAsia" w:ascii="宋体" w:hAnsi="宋体"/>
          <w:b w:val="0"/>
          <w:bCs w:val="0"/>
          <w:color w:val="auto"/>
          <w:spacing w:val="-7"/>
          <w:lang w:val="en-US" w:eastAsia="zh-CN"/>
        </w:rPr>
        <w:t>竞争性磋商</w:t>
      </w:r>
    </w:p>
    <w:p w14:paraId="63C860E0">
      <w:pPr>
        <w:widowControl w:val="0"/>
        <w:kinsoku/>
        <w:wordWrap w:val="0"/>
        <w:spacing w:line="460" w:lineRule="exact"/>
        <w:ind w:firstLine="460" w:firstLineChars="200"/>
        <w:rPr>
          <w:rFonts w:hint="eastAsia" w:ascii="宋体" w:hAnsi="宋体"/>
          <w:b w:val="0"/>
          <w:bCs w:val="0"/>
          <w:color w:val="auto"/>
          <w:spacing w:val="-5"/>
        </w:rPr>
      </w:pPr>
      <w:r>
        <w:rPr>
          <w:rFonts w:hint="eastAsia" w:ascii="宋体" w:hAnsi="宋体"/>
          <w:b w:val="0"/>
          <w:bCs w:val="0"/>
          <w:color w:val="auto"/>
          <w:spacing w:val="-5"/>
        </w:rPr>
        <w:t>合同履行期限：自消防安全评估合同签订之日起至消防安全评估报告提交并通过监管部门备案认可之日。</w:t>
      </w:r>
    </w:p>
    <w:p w14:paraId="206BE769">
      <w:pPr>
        <w:widowControl w:val="0"/>
        <w:kinsoku/>
        <w:wordWrap w:val="0"/>
        <w:spacing w:line="460" w:lineRule="exact"/>
        <w:ind w:firstLine="460" w:firstLineChars="200"/>
        <w:rPr>
          <w:rFonts w:hint="eastAsia" w:ascii="宋体" w:hAnsi="宋体"/>
          <w:b w:val="0"/>
          <w:bCs w:val="0"/>
          <w:color w:val="auto"/>
          <w:spacing w:val="-5"/>
          <w:u w:val="single"/>
          <w:lang w:eastAsia="zh-CN"/>
        </w:rPr>
      </w:pPr>
      <w:r>
        <w:rPr>
          <w:rFonts w:hint="eastAsia" w:ascii="宋体" w:hAnsi="宋体"/>
          <w:b w:val="0"/>
          <w:bCs w:val="0"/>
          <w:color w:val="auto"/>
          <w:spacing w:val="-5"/>
        </w:rPr>
        <w:t>本项目不接受联合体</w:t>
      </w:r>
      <w:r>
        <w:rPr>
          <w:rFonts w:hint="eastAsia" w:ascii="宋体" w:hAnsi="宋体"/>
          <w:b w:val="0"/>
          <w:bCs w:val="0"/>
          <w:color w:val="auto"/>
          <w:spacing w:val="-5"/>
          <w:lang w:val="en-US" w:eastAsia="zh-CN"/>
        </w:rPr>
        <w:t>投标</w:t>
      </w:r>
      <w:r>
        <w:rPr>
          <w:rFonts w:hint="eastAsia" w:ascii="宋体" w:hAnsi="宋体"/>
          <w:b w:val="0"/>
          <w:bCs w:val="0"/>
          <w:color w:val="auto"/>
          <w:spacing w:val="-5"/>
        </w:rPr>
        <w:t>。</w:t>
      </w:r>
    </w:p>
    <w:p w14:paraId="31175C10">
      <w:pPr>
        <w:pStyle w:val="3"/>
        <w:rPr>
          <w:b/>
          <w:bCs/>
          <w:color w:val="auto"/>
          <w:lang w:eastAsia="zh-CN"/>
        </w:rPr>
      </w:pPr>
      <w:bookmarkStart w:id="2" w:name="_Toc5686"/>
      <w:bookmarkStart w:id="3" w:name="_Toc22458"/>
      <w:r>
        <w:rPr>
          <w:rFonts w:hint="eastAsia"/>
          <w:b/>
          <w:bCs/>
          <w:color w:val="auto"/>
          <w:lang w:val="en-US" w:eastAsia="zh-CN"/>
        </w:rPr>
        <w:t>二、</w:t>
      </w:r>
      <w:r>
        <w:rPr>
          <w:rFonts w:hint="eastAsia"/>
          <w:b/>
          <w:bCs/>
          <w:color w:val="auto"/>
          <w:lang w:eastAsia="zh-CN"/>
        </w:rPr>
        <w:t>投标人的资格要求</w:t>
      </w:r>
      <w:bookmarkEnd w:id="2"/>
      <w:bookmarkEnd w:id="3"/>
    </w:p>
    <w:p w14:paraId="10CA3EC3">
      <w:pPr>
        <w:widowControl w:val="0"/>
        <w:kinsoku/>
        <w:wordWrap w:val="0"/>
        <w:spacing w:line="460" w:lineRule="exact"/>
        <w:ind w:firstLine="452" w:firstLineChars="200"/>
        <w:rPr>
          <w:rFonts w:hint="eastAsia" w:ascii="宋体" w:hAnsi="宋体"/>
          <w:b w:val="0"/>
          <w:bCs w:val="0"/>
          <w:color w:val="auto"/>
          <w:spacing w:val="-7"/>
          <w:lang w:eastAsia="zh-CN"/>
        </w:rPr>
      </w:pPr>
      <w:bookmarkStart w:id="4" w:name="_Toc14693"/>
      <w:bookmarkStart w:id="5" w:name="_Toc25545"/>
      <w:bookmarkStart w:id="6" w:name="_Toc29296"/>
      <w:bookmarkStart w:id="7" w:name="_Toc24924"/>
      <w:bookmarkStart w:id="8" w:name="_Toc2349"/>
      <w:r>
        <w:rPr>
          <w:rFonts w:hint="eastAsia" w:ascii="宋体" w:hAnsi="宋体"/>
          <w:b w:val="0"/>
          <w:bCs w:val="0"/>
          <w:color w:val="auto"/>
          <w:spacing w:val="-7"/>
          <w:lang w:eastAsia="zh-CN"/>
        </w:rPr>
        <w:t>1.满足以下规定：</w:t>
      </w:r>
    </w:p>
    <w:p w14:paraId="3BBDDD9A">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（1）具有独立承担民事责任的能力；</w:t>
      </w:r>
    </w:p>
    <w:p w14:paraId="037BD900">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（2）具有良好的商业信誉和健全的财务会计制度；</w:t>
      </w:r>
    </w:p>
    <w:p w14:paraId="6FBA365C">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（3）具有履行合同所必需的设备和专业技术能力；</w:t>
      </w:r>
    </w:p>
    <w:p w14:paraId="6F5C2918">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（4）有依法缴纳税收和社会保障资金的良好记录；</w:t>
      </w:r>
    </w:p>
    <w:p w14:paraId="5D105D7F">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（5）参加采购活动前三年内,在经营活动中没有重大违法记录；</w:t>
      </w:r>
    </w:p>
    <w:p w14:paraId="6B75E3D4">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（6）法律、行政法规规定的其他条件。</w:t>
      </w:r>
    </w:p>
    <w:p w14:paraId="1D515FDA">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2.单位负责人为同一人或者存在直接控股、管理关系的不同供应商，不得参加同一合同项下的采购活动。</w:t>
      </w:r>
    </w:p>
    <w:p w14:paraId="0AF351FE">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3.通过“信用中国”网站</w:t>
      </w:r>
      <w:r>
        <w:rPr>
          <w:rFonts w:hint="eastAsia" w:ascii="宋体" w:hAnsi="宋体"/>
          <w:b w:val="0"/>
          <w:bCs w:val="0"/>
          <w:color w:val="auto"/>
          <w:spacing w:val="-7"/>
          <w:lang w:val="en-US" w:eastAsia="zh-CN"/>
        </w:rPr>
        <w:t>或</w:t>
      </w:r>
      <w:r>
        <w:rPr>
          <w:rFonts w:hint="eastAsia" w:ascii="宋体" w:hAnsi="宋体"/>
          <w:b w:val="0"/>
          <w:bCs w:val="0"/>
          <w:color w:val="auto"/>
          <w:spacing w:val="-7"/>
          <w:lang w:eastAsia="zh-CN"/>
        </w:rPr>
        <w:t>中国政府采购网查询相关主体信用记录，被列入失信被执行人、重大税收违法失信主体、政府采购严重违法失信行为记录名单的供应商（处罚期限尚未届满的），不得参与本项目的采购活动。（供应商将全部搜索结果截屏打印并加盖公章）</w:t>
      </w:r>
    </w:p>
    <w:p w14:paraId="365F21C3">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4.本项目的特定资格要求：</w:t>
      </w:r>
    </w:p>
    <w:p w14:paraId="2419F625">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val="en-US" w:eastAsia="zh-CN"/>
        </w:rPr>
        <w:t>供应商近三年（2023年1月日至递交响应文件截止时间止），承接过至少一个消防安全评估的业绩。</w:t>
      </w:r>
    </w:p>
    <w:p w14:paraId="4C64032E">
      <w:pPr>
        <w:pStyle w:val="3"/>
        <w:numPr>
          <w:ilvl w:val="0"/>
          <w:numId w:val="1"/>
        </w:numPr>
        <w:rPr>
          <w:rFonts w:hint="eastAsia"/>
          <w:b/>
          <w:bCs/>
          <w:lang w:val="en-US" w:eastAsia="zh-CN"/>
        </w:rPr>
      </w:pPr>
      <w:r>
        <w:rPr>
          <w:rFonts w:hint="eastAsia"/>
          <w:b/>
          <w:bCs/>
          <w:lang w:val="en-US" w:eastAsia="zh-CN"/>
        </w:rPr>
        <w:t>技术要求</w:t>
      </w:r>
      <w:bookmarkEnd w:id="4"/>
      <w:bookmarkEnd w:id="5"/>
      <w:bookmarkEnd w:id="6"/>
      <w:bookmarkEnd w:id="7"/>
      <w:bookmarkEnd w:id="8"/>
    </w:p>
    <w:p w14:paraId="14229292">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（一）服务清单</w:t>
      </w:r>
    </w:p>
    <w:p w14:paraId="2D75A34B">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按照“尊重历史、实事求是”的原则，根据主管部门要求的消防规范和技术标准，全面勘查既有建筑物的建筑防火及消防设施，排查火灾隐患，依据建筑物现状，提出针对性的整改措施与建议。</w:t>
      </w:r>
    </w:p>
    <w:p w14:paraId="2955A795">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1.评估前期准备与资料审查</w:t>
      </w:r>
    </w:p>
    <w:p w14:paraId="266CD9AE">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1.1项目启动与沟通：与采购人进行项目对接，明确评估范围、深度及具体要求。</w:t>
      </w:r>
    </w:p>
    <w:p w14:paraId="4789E3F7">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1.2法律法规与标准识别：按主管部门要求的消防规范和技术标准，明确本次消防安全评估服务依据原建筑当时适用的消防规范和技术标准。</w:t>
      </w:r>
    </w:p>
    <w:p w14:paraId="677BF9E3">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1.3基础资料审查：</w:t>
      </w:r>
    </w:p>
    <w:p w14:paraId="092B4079">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·审查工程规划许可证、建筑设计防火审核意见书、验收意见书、图审报告、竣工图等文件资料；</w:t>
      </w:r>
    </w:p>
    <w:p w14:paraId="183EDF8F">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·审查建筑总平面图、平面布置图、消防设施图、系统图等设计文件；</w:t>
      </w:r>
    </w:p>
    <w:p w14:paraId="4C1DFFCB">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·审查消防设施（如灭火系统、报警系统、防排烟系统等）的产品合格证明、型式检验报告；</w:t>
      </w:r>
    </w:p>
    <w:p w14:paraId="5C37EC62">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·审查消防安全管理制度、灭火和应急疏散预案、员工培训记录等文件；</w:t>
      </w:r>
    </w:p>
    <w:p w14:paraId="670A43E0">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·审查日常防火巡查、检查记录，消防设施维护保养检测记录；</w:t>
      </w:r>
    </w:p>
    <w:p w14:paraId="2F94E765">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2.评估现场检查</w:t>
      </w:r>
    </w:p>
    <w:p w14:paraId="74FF287F">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2.1建筑防火状况勘查：</w:t>
      </w:r>
    </w:p>
    <w:p w14:paraId="4688D85A">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·建筑类别与耐火等级核查；</w:t>
      </w:r>
    </w:p>
    <w:p w14:paraId="05401A29">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·总平面布局核查；</w:t>
      </w:r>
    </w:p>
    <w:p w14:paraId="25DA72FD">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·防火分区核查；</w:t>
      </w:r>
    </w:p>
    <w:p w14:paraId="5D6A8CE6">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·平面布置核查；</w:t>
      </w:r>
    </w:p>
    <w:p w14:paraId="561EB8D0">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·安全出口、疏散楼梯、疏散通道核查；</w:t>
      </w:r>
    </w:p>
    <w:p w14:paraId="1DFAB295">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·建筑保温和外墙装饰核查；</w:t>
      </w:r>
    </w:p>
    <w:p w14:paraId="00CA5176">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·建筑内部装修防火核查；</w:t>
      </w:r>
    </w:p>
    <w:p w14:paraId="72ABB8AF">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·消防车道、救援场地核查。</w:t>
      </w:r>
    </w:p>
    <w:p w14:paraId="39C11F73">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2.2消防设施系统性测试：</w:t>
      </w:r>
    </w:p>
    <w:p w14:paraId="54266260">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·火灾自动报警系统：测试探测器报警功能、手动报警按钮功能、控制器功能、联动逻辑关系等。</w:t>
      </w:r>
    </w:p>
    <w:p w14:paraId="30493226">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·自动喷水灭火系统：测试末端试水装置、报警阀组功能，核查水泵接合器、供水管网状况。</w:t>
      </w:r>
    </w:p>
    <w:p w14:paraId="6E5223E2">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·消火栓系统：测试静压、动压，检查组件完整性。</w:t>
      </w:r>
    </w:p>
    <w:p w14:paraId="25D6A362">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·防烟排烟系统：测试风机启停、送风口/排烟口功能，测量风压风量。</w:t>
      </w:r>
    </w:p>
    <w:p w14:paraId="50B9C478">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·应急广播与通讯系统：测试广播切换功能、消防电话通话质量。</w:t>
      </w:r>
    </w:p>
    <w:p w14:paraId="57E8A15F">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·应急照明和疏散指示标志：检查数量、位置、照度等；</w:t>
      </w:r>
    </w:p>
    <w:p w14:paraId="45562DBC">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·灭火器及其他消防器材： 检查配置类型、数量、位置及有效期。</w:t>
      </w:r>
    </w:p>
    <w:p w14:paraId="235864D4">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3.评估数据汇总以及分析</w:t>
      </w:r>
    </w:p>
    <w:p w14:paraId="5BD8C468">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·将现场检查记录、照片、测试数据等进行归类，确保每一项检查内容都有对应的现场记录支撑。</w:t>
      </w:r>
    </w:p>
    <w:p w14:paraId="677B174D">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·对发现的每一项问题，判断其可能导致火灾的危险程度及一旦发生火灾可能造成的后果，判定其风险等级。</w:t>
      </w:r>
    </w:p>
    <w:p w14:paraId="58AC7F60">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4.评估结果资料整编</w:t>
      </w:r>
    </w:p>
    <w:p w14:paraId="7BAA2B01">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·编制《消防安全评估发现问题清单》，清晰列出问题位置、问题描述、违反的法律法规或标准条款、风险等级判定结果。</w:t>
      </w:r>
    </w:p>
    <w:p w14:paraId="2E8AA586">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·将问题清单、测试数据记录等支撑材料进行关联整合。</w:t>
      </w:r>
    </w:p>
    <w:p w14:paraId="696E49A0">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·整理评估报告的附件材料，确保其完整、准确、可追溯。</w:t>
      </w:r>
    </w:p>
    <w:p w14:paraId="3EF986F1">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·按问题清单编制初步概算。</w:t>
      </w:r>
    </w:p>
    <w:p w14:paraId="20CC444C">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5.评估结果报告编写</w:t>
      </w:r>
    </w:p>
    <w:p w14:paraId="15BD6B4A">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5.1编制正式的《消防安全评估报告》，内容应包括：</w:t>
      </w:r>
    </w:p>
    <w:p w14:paraId="5798CBFC">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·项目概况：建筑基本信息、评估范围与目的。</w:t>
      </w:r>
    </w:p>
    <w:p w14:paraId="7621C5AF">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·评估依据：引用的法律法规和技术标准清单。</w:t>
      </w:r>
    </w:p>
    <w:p w14:paraId="0A2CE244">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·评估内容与方法：简述本次评估采用的方法和流程。</w:t>
      </w:r>
    </w:p>
    <w:p w14:paraId="2C204B88">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·评估结果与分析：详细陈述评估发现，附问题清单。</w:t>
      </w:r>
    </w:p>
    <w:p w14:paraId="12377DAE">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·结论与建议：给出明确的评估结论，并对发现的问题提出具体、可行的整改措施和建议。</w:t>
      </w:r>
    </w:p>
    <w:p w14:paraId="7379DC96">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5.2报告需逻辑清晰、数据准确、结论严谨，并加盖评估机构公章及相关技术人员签章。</w:t>
      </w:r>
    </w:p>
    <w:p w14:paraId="596B8F51">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6.对存在的问题进行复验</w:t>
      </w:r>
    </w:p>
    <w:p w14:paraId="528780C6">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对《问题清单》中已整改的项目进行现场复核验证，确认相关问题是否已整改合格。</w:t>
      </w:r>
    </w:p>
    <w:p w14:paraId="6D536A6F">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7.负责消防验收报备</w:t>
      </w:r>
      <w:bookmarkStart w:id="14" w:name="_GoBack"/>
      <w:bookmarkEnd w:id="14"/>
      <w:r>
        <w:rPr>
          <w:rFonts w:hint="eastAsia" w:ascii="宋体" w:hAnsi="宋体" w:eastAsia="宋体" w:cs="宋体"/>
          <w:b w:val="0"/>
          <w:bCs w:val="0"/>
          <w:color w:val="auto"/>
          <w:spacing w:val="-7"/>
          <w:lang w:val="en-US" w:eastAsia="zh-CN"/>
        </w:rPr>
        <w:t>工作</w:t>
      </w:r>
    </w:p>
    <w:p w14:paraId="355F61FC">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7.1负责代表学校与属地消防主管部门沟通。</w:t>
      </w:r>
    </w:p>
    <w:p w14:paraId="4A3D4A36">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7.2负责象湖校区消防验收报备工作的实施。</w:t>
      </w:r>
    </w:p>
    <w:p w14:paraId="1406E368">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（二）成果文件</w:t>
      </w:r>
    </w:p>
    <w:p w14:paraId="6BBF42C2">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服务完成后，评估单位需提交以下正式成果文件：《消防安全评估报告》（正式版）</w:t>
      </w:r>
    </w:p>
    <w:p w14:paraId="7AA33C71">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·内容：包含上述所有评估分析内容，结构完整，数据详实，结论明确。</w:t>
      </w:r>
    </w:p>
    <w:p w14:paraId="67BF74B2">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·形式：装订成册，加盖评估单位公章和注册消防工程师执业印章。</w:t>
      </w:r>
    </w:p>
    <w:p w14:paraId="5D05E614">
      <w:pPr>
        <w:widowControl w:val="0"/>
        <w:kinsoku/>
        <w:wordWrap w:val="0"/>
        <w:spacing w:line="460" w:lineRule="exact"/>
        <w:ind w:firstLine="452" w:firstLineChars="200"/>
        <w:rPr>
          <w:rFonts w:hint="eastAsia" w:ascii="宋体" w:hAnsi="宋体" w:eastAsia="宋体" w:cs="宋体"/>
          <w:b w:val="0"/>
          <w:bCs w:val="0"/>
          <w:color w:val="auto"/>
          <w:spacing w:val="-7"/>
          <w:lang w:val="en-US" w:eastAsia="zh-CN"/>
        </w:rPr>
      </w:pPr>
      <w:r>
        <w:rPr>
          <w:rFonts w:hint="eastAsia" w:ascii="宋体" w:hAnsi="宋体" w:eastAsia="宋体" w:cs="宋体"/>
          <w:b w:val="0"/>
          <w:bCs w:val="0"/>
          <w:color w:val="auto"/>
          <w:spacing w:val="-7"/>
          <w:lang w:val="en-US" w:eastAsia="zh-CN"/>
        </w:rPr>
        <w:t>·份数：一式叁份（采购人、监管部门及评估单位自存）。</w:t>
      </w:r>
    </w:p>
    <w:p w14:paraId="718B60D7">
      <w:pPr>
        <w:widowControl w:val="0"/>
        <w:kinsoku/>
        <w:wordWrap w:val="0"/>
        <w:spacing w:line="460" w:lineRule="exact"/>
        <w:ind w:firstLine="452" w:firstLineChars="200"/>
        <w:rPr>
          <w:rFonts w:hint="eastAsia"/>
          <w:lang w:val="en-US" w:eastAsia="zh-CN"/>
        </w:rPr>
      </w:pPr>
      <w:r>
        <w:rPr>
          <w:rFonts w:hint="eastAsia" w:ascii="宋体" w:hAnsi="宋体" w:eastAsia="宋体" w:cs="宋体"/>
          <w:b w:val="0"/>
          <w:bCs w:val="0"/>
          <w:color w:val="auto"/>
          <w:spacing w:val="-7"/>
          <w:lang w:val="en-US" w:eastAsia="zh-CN"/>
        </w:rPr>
        <w:t>（三）供应商针对本项目提供团队服务人员不少于3人，指定固定的项目负责人，且项目负责人需具备消防安全技术管理及防火安全技术审核的能力，并具有注册消防工程师执业资格。</w:t>
      </w:r>
    </w:p>
    <w:p w14:paraId="74802FF4">
      <w:pPr>
        <w:keepNext w:val="0"/>
        <w:keepLines w:val="0"/>
        <w:pageBreakBefore w:val="0"/>
        <w:wordWrap/>
        <w:overflowPunct/>
        <w:topLinePunct w:val="0"/>
        <w:bidi w:val="0"/>
        <w:spacing w:line="480" w:lineRule="exact"/>
        <w:jc w:val="both"/>
        <w:rPr>
          <w:rFonts w:hint="eastAsia"/>
          <w:b/>
          <w:bCs/>
        </w:rPr>
      </w:pPr>
      <w:bookmarkStart w:id="9" w:name="_Toc3907"/>
      <w:bookmarkStart w:id="10" w:name="_Toc1050"/>
      <w:bookmarkStart w:id="11" w:name="_Toc11777"/>
      <w:bookmarkStart w:id="12" w:name="_Toc26511"/>
      <w:bookmarkStart w:id="13" w:name="_Toc4621"/>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商务要求</w:t>
      </w:r>
      <w:bookmarkEnd w:id="9"/>
      <w:bookmarkEnd w:id="10"/>
      <w:bookmarkEnd w:id="11"/>
      <w:bookmarkEnd w:id="12"/>
      <w:bookmarkEnd w:id="13"/>
    </w:p>
    <w:p w14:paraId="0885B1F9">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宋体" w:hAnsi="宋体" w:cs="宋体"/>
          <w:b w:val="0"/>
          <w:bCs w:val="0"/>
          <w:kern w:val="0"/>
          <w:sz w:val="24"/>
          <w:shd w:val="clear" w:color="auto" w:fill="FFFFFF"/>
        </w:rPr>
      </w:pPr>
      <w:r>
        <w:rPr>
          <w:rFonts w:hint="eastAsia" w:ascii="宋体" w:hAnsi="宋体" w:cs="宋体"/>
          <w:b w:val="0"/>
          <w:bCs w:val="0"/>
          <w:kern w:val="0"/>
          <w:sz w:val="24"/>
          <w:shd w:val="clear" w:color="auto" w:fill="FFFFFF"/>
        </w:rPr>
        <w:t>1</w:t>
      </w:r>
      <w:r>
        <w:rPr>
          <w:rFonts w:hint="eastAsia" w:ascii="宋体" w:hAnsi="宋体" w:cs="宋体"/>
          <w:b w:val="0"/>
          <w:bCs w:val="0"/>
          <w:kern w:val="0"/>
          <w:sz w:val="24"/>
          <w:shd w:val="clear" w:color="auto" w:fill="FFFFFF"/>
          <w:lang w:val="en-US" w:eastAsia="zh-CN"/>
        </w:rPr>
        <w:t>.</w:t>
      </w:r>
      <w:r>
        <w:rPr>
          <w:rFonts w:hint="eastAsia" w:ascii="宋体" w:hAnsi="宋体" w:cs="宋体"/>
          <w:b w:val="0"/>
          <w:bCs w:val="0"/>
          <w:kern w:val="0"/>
          <w:sz w:val="24"/>
          <w:shd w:val="clear" w:color="auto" w:fill="FFFFFF"/>
        </w:rPr>
        <w:t>服务地点</w:t>
      </w:r>
      <w:r>
        <w:rPr>
          <w:rFonts w:hint="eastAsia" w:ascii="宋体" w:hAnsi="宋体" w:cs="宋体"/>
          <w:b w:val="0"/>
          <w:bCs w:val="0"/>
          <w:kern w:val="0"/>
          <w:sz w:val="24"/>
          <w:shd w:val="clear" w:color="auto" w:fill="FFFFFF"/>
          <w:lang w:eastAsia="zh-CN"/>
        </w:rPr>
        <w:t>：</w:t>
      </w:r>
      <w:r>
        <w:rPr>
          <w:rFonts w:hint="eastAsia" w:ascii="宋体" w:hAnsi="宋体" w:cs="宋体"/>
          <w:b w:val="0"/>
          <w:bCs w:val="0"/>
          <w:kern w:val="0"/>
          <w:sz w:val="24"/>
          <w:shd w:val="clear" w:color="auto" w:fill="FFFFFF"/>
        </w:rPr>
        <w:t>采购人指定地点。</w:t>
      </w:r>
    </w:p>
    <w:p w14:paraId="1F50E8F1">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宋体" w:hAnsi="宋体" w:cs="宋体"/>
          <w:b w:val="0"/>
          <w:bCs w:val="0"/>
          <w:kern w:val="0"/>
          <w:sz w:val="24"/>
          <w:shd w:val="clear" w:color="auto" w:fill="FFFFFF"/>
        </w:rPr>
      </w:pPr>
      <w:r>
        <w:rPr>
          <w:rFonts w:hint="eastAsia" w:ascii="宋体" w:hAnsi="宋体" w:cs="宋体"/>
          <w:b w:val="0"/>
          <w:bCs w:val="0"/>
          <w:kern w:val="0"/>
          <w:sz w:val="24"/>
          <w:shd w:val="clear" w:color="auto" w:fill="FFFFFF"/>
        </w:rPr>
        <w:t>2</w:t>
      </w:r>
      <w:r>
        <w:rPr>
          <w:rFonts w:hint="eastAsia" w:ascii="宋体" w:hAnsi="宋体" w:cs="宋体"/>
          <w:b w:val="0"/>
          <w:bCs w:val="0"/>
          <w:kern w:val="0"/>
          <w:sz w:val="24"/>
          <w:shd w:val="clear" w:color="auto" w:fill="FFFFFF"/>
          <w:lang w:val="en-US" w:eastAsia="zh-CN"/>
        </w:rPr>
        <w:t>.</w:t>
      </w:r>
      <w:r>
        <w:rPr>
          <w:rFonts w:hint="eastAsia" w:ascii="宋体" w:hAnsi="宋体" w:cs="宋体"/>
          <w:b w:val="0"/>
          <w:bCs w:val="0"/>
          <w:kern w:val="0"/>
          <w:sz w:val="24"/>
          <w:shd w:val="clear" w:color="auto" w:fill="FFFFFF"/>
        </w:rPr>
        <w:t>服务期限</w:t>
      </w:r>
      <w:r>
        <w:rPr>
          <w:rFonts w:hint="eastAsia" w:ascii="宋体" w:hAnsi="宋体" w:cs="宋体"/>
          <w:b w:val="0"/>
          <w:bCs w:val="0"/>
          <w:kern w:val="0"/>
          <w:sz w:val="24"/>
          <w:shd w:val="clear" w:color="auto" w:fill="FFFFFF"/>
          <w:lang w:eastAsia="zh-CN"/>
        </w:rPr>
        <w:t>：</w:t>
      </w:r>
      <w:r>
        <w:rPr>
          <w:rFonts w:hint="eastAsia" w:ascii="宋体" w:hAnsi="宋体" w:cs="宋体"/>
          <w:b w:val="0"/>
          <w:bCs w:val="0"/>
          <w:kern w:val="0"/>
          <w:sz w:val="24"/>
          <w:shd w:val="clear" w:color="auto" w:fill="FFFFFF"/>
        </w:rPr>
        <w:t>自消防安全评估合同签订之日起至消防安全评估报告提交并通过监管部门备案认可之日。</w:t>
      </w:r>
    </w:p>
    <w:p w14:paraId="69D3CD6F">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宋体" w:hAnsi="宋体" w:cs="宋体"/>
          <w:b w:val="0"/>
          <w:bCs w:val="0"/>
          <w:kern w:val="0"/>
          <w:sz w:val="24"/>
          <w:shd w:val="clear" w:color="auto" w:fill="FFFFFF"/>
          <w:lang w:eastAsia="zh-CN"/>
        </w:rPr>
      </w:pPr>
      <w:r>
        <w:rPr>
          <w:rFonts w:hint="eastAsia" w:ascii="宋体" w:hAnsi="宋体" w:cs="宋体"/>
          <w:b w:val="0"/>
          <w:bCs w:val="0"/>
          <w:kern w:val="0"/>
          <w:sz w:val="24"/>
          <w:shd w:val="clear" w:color="auto" w:fill="FFFFFF"/>
        </w:rPr>
        <w:t>3</w:t>
      </w:r>
      <w:r>
        <w:rPr>
          <w:rFonts w:hint="eastAsia" w:ascii="宋体" w:hAnsi="宋体" w:cs="宋体"/>
          <w:b w:val="0"/>
          <w:bCs w:val="0"/>
          <w:kern w:val="0"/>
          <w:sz w:val="24"/>
          <w:shd w:val="clear" w:color="auto" w:fill="FFFFFF"/>
          <w:lang w:val="en-US" w:eastAsia="zh-CN"/>
        </w:rPr>
        <w:t>.</w:t>
      </w:r>
      <w:r>
        <w:rPr>
          <w:rFonts w:hint="eastAsia" w:ascii="宋体" w:hAnsi="宋体" w:cs="宋体"/>
          <w:b w:val="0"/>
          <w:bCs w:val="0"/>
          <w:kern w:val="0"/>
          <w:sz w:val="24"/>
          <w:shd w:val="clear" w:color="auto" w:fill="FFFFFF"/>
        </w:rPr>
        <w:t>履约保证金</w:t>
      </w:r>
      <w:r>
        <w:rPr>
          <w:rFonts w:hint="eastAsia" w:ascii="宋体" w:hAnsi="宋体" w:cs="宋体"/>
          <w:b w:val="0"/>
          <w:bCs w:val="0"/>
          <w:kern w:val="0"/>
          <w:sz w:val="24"/>
          <w:shd w:val="clear" w:color="auto" w:fill="FFFFFF"/>
          <w:lang w:eastAsia="zh-CN"/>
        </w:rPr>
        <w:t>：</w:t>
      </w:r>
      <w:r>
        <w:rPr>
          <w:rFonts w:hint="eastAsia" w:ascii="宋体" w:hAnsi="宋体" w:cs="宋体"/>
          <w:b w:val="0"/>
          <w:bCs w:val="0"/>
          <w:kern w:val="0"/>
          <w:sz w:val="24"/>
          <w:shd w:val="clear" w:color="auto" w:fill="FFFFFF"/>
        </w:rPr>
        <w:t>本项目</w:t>
      </w:r>
      <w:r>
        <w:rPr>
          <w:rFonts w:hint="eastAsia" w:ascii="宋体" w:hAnsi="宋体" w:cs="宋体"/>
          <w:b w:val="0"/>
          <w:bCs w:val="0"/>
          <w:kern w:val="0"/>
          <w:sz w:val="24"/>
          <w:shd w:val="clear" w:color="auto" w:fill="FFFFFF"/>
          <w:lang w:eastAsia="zh-CN"/>
        </w:rPr>
        <w:t>不收取</w:t>
      </w:r>
      <w:r>
        <w:rPr>
          <w:rFonts w:hint="eastAsia" w:ascii="宋体" w:hAnsi="宋体" w:cs="宋体"/>
          <w:b w:val="0"/>
          <w:bCs w:val="0"/>
          <w:kern w:val="0"/>
          <w:sz w:val="24"/>
          <w:shd w:val="clear" w:color="auto" w:fill="FFFFFF"/>
        </w:rPr>
        <w:t>履约保证金</w:t>
      </w:r>
      <w:r>
        <w:rPr>
          <w:rFonts w:hint="eastAsia" w:ascii="宋体" w:hAnsi="宋体" w:cs="宋体"/>
          <w:b w:val="0"/>
          <w:bCs w:val="0"/>
          <w:kern w:val="0"/>
          <w:sz w:val="24"/>
          <w:shd w:val="clear" w:color="auto" w:fill="FFFFFF"/>
          <w:lang w:eastAsia="zh-CN"/>
        </w:rPr>
        <w:t>。</w:t>
      </w:r>
    </w:p>
    <w:p w14:paraId="3196A0BE">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宋体" w:hAnsi="宋体" w:cs="宋体"/>
          <w:b w:val="0"/>
          <w:bCs w:val="0"/>
          <w:kern w:val="0"/>
          <w:sz w:val="24"/>
          <w:shd w:val="clear" w:color="auto" w:fill="FFFFFF"/>
          <w:lang w:val="en-US" w:eastAsia="zh-CN"/>
        </w:rPr>
      </w:pPr>
      <w:r>
        <w:rPr>
          <w:rFonts w:hint="eastAsia" w:ascii="宋体" w:hAnsi="宋体" w:cs="宋体"/>
          <w:b w:val="0"/>
          <w:bCs w:val="0"/>
          <w:kern w:val="0"/>
          <w:sz w:val="24"/>
          <w:shd w:val="clear" w:color="auto" w:fill="FFFFFF"/>
        </w:rPr>
        <w:t>4</w:t>
      </w:r>
      <w:r>
        <w:rPr>
          <w:rFonts w:hint="eastAsia" w:ascii="宋体" w:hAnsi="宋体" w:cs="宋体"/>
          <w:b w:val="0"/>
          <w:bCs w:val="0"/>
          <w:kern w:val="0"/>
          <w:sz w:val="24"/>
          <w:shd w:val="clear" w:color="auto" w:fill="FFFFFF"/>
          <w:lang w:val="en-US" w:eastAsia="zh-CN"/>
        </w:rPr>
        <w:t>.</w:t>
      </w:r>
      <w:r>
        <w:rPr>
          <w:rFonts w:hint="eastAsia" w:ascii="宋体" w:hAnsi="宋体" w:cs="宋体"/>
          <w:b w:val="0"/>
          <w:bCs w:val="0"/>
          <w:kern w:val="0"/>
          <w:sz w:val="24"/>
          <w:shd w:val="clear" w:color="auto" w:fill="FFFFFF"/>
        </w:rPr>
        <w:t>付款方式</w:t>
      </w:r>
      <w:r>
        <w:rPr>
          <w:rFonts w:hint="eastAsia" w:ascii="宋体" w:hAnsi="宋体" w:cs="宋体"/>
          <w:b w:val="0"/>
          <w:bCs w:val="0"/>
          <w:kern w:val="0"/>
          <w:sz w:val="24"/>
          <w:shd w:val="clear" w:color="auto" w:fill="FFFFFF"/>
          <w:lang w:eastAsia="zh-CN"/>
        </w:rPr>
        <w:t>：</w:t>
      </w:r>
      <w:r>
        <w:rPr>
          <w:rFonts w:hint="eastAsia" w:ascii="宋体" w:hAnsi="宋体" w:cs="宋体"/>
          <w:b w:val="0"/>
          <w:bCs w:val="0"/>
          <w:kern w:val="0"/>
          <w:sz w:val="24"/>
          <w:shd w:val="clear" w:color="auto" w:fill="FFFFFF"/>
          <w:lang w:val="en-US" w:eastAsia="zh-CN"/>
        </w:rPr>
        <w:t>使用第三方共管账户形式支付，</w:t>
      </w:r>
      <w:r>
        <w:rPr>
          <w:rFonts w:hint="eastAsia" w:ascii="宋体" w:hAnsi="宋体" w:cs="宋体"/>
          <w:b w:val="0"/>
          <w:bCs w:val="0"/>
          <w:kern w:val="0"/>
          <w:sz w:val="24"/>
          <w:shd w:val="clear" w:color="auto" w:fill="FFFFFF"/>
        </w:rPr>
        <w:t>出具初步消防安全整改方案（含具体工作量及概算）后，支付合同总额的50%给</w:t>
      </w:r>
      <w:r>
        <w:rPr>
          <w:rFonts w:hint="eastAsia" w:ascii="宋体" w:hAnsi="宋体" w:cs="宋体"/>
          <w:b w:val="0"/>
          <w:bCs w:val="0"/>
          <w:kern w:val="0"/>
          <w:sz w:val="24"/>
          <w:shd w:val="clear" w:color="auto" w:fill="FFFFFF"/>
          <w:lang w:val="en-US" w:eastAsia="zh-CN"/>
        </w:rPr>
        <w:t>成交供应商</w:t>
      </w:r>
      <w:r>
        <w:rPr>
          <w:rFonts w:hint="eastAsia" w:ascii="宋体" w:hAnsi="宋体" w:cs="宋体"/>
          <w:b w:val="0"/>
          <w:bCs w:val="0"/>
          <w:kern w:val="0"/>
          <w:sz w:val="24"/>
          <w:shd w:val="clear" w:color="auto" w:fill="FFFFFF"/>
        </w:rPr>
        <w:t>。剩余的50%款项按如下支付：</w:t>
      </w:r>
      <w:r>
        <w:rPr>
          <w:rFonts w:hint="eastAsia" w:ascii="宋体" w:hAnsi="宋体" w:cs="宋体"/>
          <w:b w:val="0"/>
          <w:bCs w:val="0"/>
          <w:kern w:val="0"/>
          <w:sz w:val="24"/>
          <w:shd w:val="clear" w:color="auto" w:fill="FFFFFF"/>
          <w:lang w:val="en-US" w:eastAsia="zh-CN"/>
        </w:rPr>
        <w:t>成交供应商</w:t>
      </w:r>
      <w:r>
        <w:rPr>
          <w:rFonts w:hint="eastAsia" w:ascii="宋体" w:hAnsi="宋体" w:cs="宋体"/>
          <w:b w:val="0"/>
          <w:bCs w:val="0"/>
          <w:kern w:val="0"/>
          <w:sz w:val="24"/>
          <w:shd w:val="clear" w:color="auto" w:fill="FFFFFF"/>
        </w:rPr>
        <w:t>按</w:t>
      </w:r>
      <w:r>
        <w:rPr>
          <w:rFonts w:hint="eastAsia" w:ascii="宋体" w:hAnsi="宋体" w:cs="宋体"/>
          <w:b w:val="0"/>
          <w:bCs w:val="0"/>
          <w:kern w:val="0"/>
          <w:sz w:val="24"/>
          <w:shd w:val="clear" w:color="auto" w:fill="FFFFFF"/>
          <w:lang w:val="en-US" w:eastAsia="zh-CN"/>
        </w:rPr>
        <w:t>采购人</w:t>
      </w:r>
      <w:r>
        <w:rPr>
          <w:rFonts w:hint="eastAsia" w:ascii="宋体" w:hAnsi="宋体" w:cs="宋体"/>
          <w:b w:val="0"/>
          <w:bCs w:val="0"/>
          <w:kern w:val="0"/>
          <w:sz w:val="24"/>
          <w:shd w:val="clear" w:color="auto" w:fill="FFFFFF"/>
        </w:rPr>
        <w:t>项目进度，针对对应楼栋/区域出具满足项目所在地住建部门消防验收条件的消防安全评估报告，报告提交并通过监管部门备案认可后支付剩余款项。</w:t>
      </w:r>
    </w:p>
    <w:p w14:paraId="3F5F472A">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宋体" w:hAnsi="宋体" w:cs="宋体"/>
          <w:b w:val="0"/>
          <w:bCs w:val="0"/>
          <w:kern w:val="0"/>
          <w:sz w:val="24"/>
          <w:shd w:val="clear" w:color="auto" w:fill="FFFFFF"/>
        </w:rPr>
      </w:pPr>
      <w:r>
        <w:rPr>
          <w:rFonts w:hint="eastAsia" w:ascii="宋体" w:hAnsi="宋体" w:cs="宋体"/>
          <w:b w:val="0"/>
          <w:bCs w:val="0"/>
          <w:kern w:val="0"/>
          <w:sz w:val="24"/>
          <w:shd w:val="clear" w:color="auto" w:fill="FFFFFF"/>
        </w:rPr>
        <w:t>5</w:t>
      </w:r>
      <w:r>
        <w:rPr>
          <w:rFonts w:hint="eastAsia" w:ascii="宋体" w:hAnsi="宋体" w:cs="宋体"/>
          <w:b w:val="0"/>
          <w:bCs w:val="0"/>
          <w:kern w:val="0"/>
          <w:sz w:val="24"/>
          <w:shd w:val="clear" w:color="auto" w:fill="FFFFFF"/>
          <w:lang w:val="en-US" w:eastAsia="zh-CN"/>
        </w:rPr>
        <w:t>.</w:t>
      </w:r>
      <w:r>
        <w:rPr>
          <w:rFonts w:hint="eastAsia" w:ascii="宋体" w:hAnsi="宋体" w:cs="宋体"/>
          <w:b w:val="0"/>
          <w:bCs w:val="0"/>
          <w:kern w:val="0"/>
          <w:sz w:val="24"/>
          <w:shd w:val="clear" w:color="auto" w:fill="FFFFFF"/>
        </w:rPr>
        <w:t>报价方式</w:t>
      </w:r>
      <w:r>
        <w:rPr>
          <w:rFonts w:hint="eastAsia" w:ascii="宋体" w:hAnsi="宋体" w:cs="宋体"/>
          <w:b w:val="0"/>
          <w:bCs w:val="0"/>
          <w:kern w:val="0"/>
          <w:sz w:val="24"/>
          <w:shd w:val="clear" w:color="auto" w:fill="FFFFFF"/>
          <w:lang w:eastAsia="zh-CN"/>
        </w:rPr>
        <w:t>：</w:t>
      </w:r>
      <w:r>
        <w:rPr>
          <w:rFonts w:hint="eastAsia" w:ascii="宋体" w:hAnsi="宋体" w:cs="宋体"/>
          <w:b w:val="0"/>
          <w:bCs w:val="0"/>
          <w:kern w:val="0"/>
          <w:sz w:val="24"/>
          <w:shd w:val="clear" w:color="auto" w:fill="FFFFFF"/>
        </w:rPr>
        <w:t>以人民币报价，合同总价包括成交供应商</w:t>
      </w:r>
      <w:r>
        <w:rPr>
          <w:rFonts w:hint="eastAsia" w:ascii="宋体" w:hAnsi="宋体" w:cs="宋体"/>
          <w:b w:val="0"/>
          <w:bCs w:val="0"/>
          <w:kern w:val="0"/>
          <w:sz w:val="24"/>
          <w:shd w:val="clear" w:color="auto" w:fill="FFFFFF"/>
          <w:lang w:val="en-US" w:eastAsia="zh-CN"/>
        </w:rPr>
        <w:t>提供</w:t>
      </w:r>
      <w:r>
        <w:rPr>
          <w:rFonts w:hint="eastAsia" w:ascii="宋体" w:hAnsi="宋体" w:cs="宋体"/>
          <w:b w:val="0"/>
          <w:bCs w:val="0"/>
          <w:kern w:val="0"/>
          <w:sz w:val="24"/>
          <w:shd w:val="clear" w:color="auto" w:fill="FFFFFF"/>
        </w:rPr>
        <w:t>本</w:t>
      </w:r>
      <w:r>
        <w:rPr>
          <w:rFonts w:hint="eastAsia" w:ascii="宋体" w:hAnsi="宋体" w:cs="宋体"/>
          <w:b w:val="0"/>
          <w:bCs w:val="0"/>
          <w:kern w:val="0"/>
          <w:sz w:val="24"/>
          <w:shd w:val="clear" w:color="auto" w:fill="FFFFFF"/>
          <w:lang w:val="en-US" w:eastAsia="zh-CN"/>
        </w:rPr>
        <w:t>项目服务</w:t>
      </w:r>
      <w:r>
        <w:rPr>
          <w:rFonts w:hint="eastAsia" w:ascii="宋体" w:hAnsi="宋体" w:cs="宋体"/>
          <w:b w:val="0"/>
          <w:bCs w:val="0"/>
          <w:kern w:val="0"/>
          <w:sz w:val="24"/>
          <w:shd w:val="clear" w:color="auto" w:fill="FFFFFF"/>
        </w:rPr>
        <w:t>的一切费用。</w:t>
      </w:r>
    </w:p>
    <w:p w14:paraId="5F11076C">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宋体" w:hAnsi="宋体" w:cs="宋体"/>
          <w:b w:val="0"/>
          <w:bCs w:val="0"/>
          <w:kern w:val="0"/>
          <w:sz w:val="24"/>
          <w:shd w:val="clear" w:color="auto" w:fill="FFFFFF"/>
        </w:rPr>
      </w:pPr>
      <w:r>
        <w:rPr>
          <w:rFonts w:hint="eastAsia" w:ascii="宋体" w:hAnsi="宋体" w:cs="宋体"/>
          <w:b w:val="0"/>
          <w:bCs w:val="0"/>
          <w:kern w:val="0"/>
          <w:sz w:val="24"/>
          <w:shd w:val="clear" w:color="auto" w:fill="FFFFFF"/>
        </w:rPr>
        <w:t>6</w:t>
      </w:r>
      <w:r>
        <w:rPr>
          <w:rFonts w:hint="eastAsia" w:ascii="宋体" w:hAnsi="宋体" w:cs="宋体"/>
          <w:b w:val="0"/>
          <w:bCs w:val="0"/>
          <w:kern w:val="0"/>
          <w:sz w:val="24"/>
          <w:shd w:val="clear" w:color="auto" w:fill="FFFFFF"/>
          <w:lang w:val="en-US" w:eastAsia="zh-CN"/>
        </w:rPr>
        <w:t>.</w:t>
      </w:r>
      <w:r>
        <w:rPr>
          <w:rFonts w:hint="eastAsia" w:ascii="宋体" w:hAnsi="宋体" w:cs="宋体"/>
          <w:b w:val="0"/>
          <w:bCs w:val="0"/>
          <w:kern w:val="0"/>
          <w:sz w:val="24"/>
          <w:shd w:val="clear" w:color="auto" w:fill="FFFFFF"/>
        </w:rPr>
        <w:t>服务验收</w:t>
      </w:r>
      <w:r>
        <w:rPr>
          <w:rFonts w:hint="eastAsia" w:ascii="宋体" w:hAnsi="宋体" w:cs="宋体"/>
          <w:b w:val="0"/>
          <w:bCs w:val="0"/>
          <w:kern w:val="0"/>
          <w:sz w:val="24"/>
          <w:shd w:val="clear" w:color="auto" w:fill="FFFFFF"/>
          <w:lang w:eastAsia="zh-CN"/>
        </w:rPr>
        <w:t>：</w:t>
      </w:r>
      <w:r>
        <w:rPr>
          <w:rFonts w:hint="eastAsia" w:ascii="宋体" w:hAnsi="宋体" w:cs="宋体"/>
          <w:b w:val="0"/>
          <w:bCs w:val="0"/>
          <w:kern w:val="0"/>
          <w:sz w:val="24"/>
          <w:shd w:val="clear" w:color="auto" w:fill="FFFFFF"/>
        </w:rPr>
        <w:t>消防安全评估报告提交并通过监管部门备案认可。</w:t>
      </w:r>
    </w:p>
    <w:p w14:paraId="3DBC7CE3">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宋体" w:hAnsi="宋体" w:cs="宋体"/>
          <w:b w:val="0"/>
          <w:bCs w:val="0"/>
          <w:kern w:val="0"/>
          <w:sz w:val="24"/>
          <w:shd w:val="clear" w:color="auto" w:fill="FFFFFF"/>
        </w:rPr>
      </w:pPr>
      <w:r>
        <w:rPr>
          <w:rFonts w:hint="eastAsia" w:ascii="宋体" w:hAnsi="宋体" w:cs="宋体"/>
          <w:b w:val="0"/>
          <w:bCs w:val="0"/>
          <w:kern w:val="0"/>
          <w:sz w:val="24"/>
          <w:shd w:val="clear" w:color="auto" w:fill="FFFFFF"/>
        </w:rPr>
        <w:t>7</w:t>
      </w:r>
      <w:r>
        <w:rPr>
          <w:rFonts w:hint="eastAsia" w:ascii="宋体" w:hAnsi="宋体" w:cs="宋体"/>
          <w:b w:val="0"/>
          <w:bCs w:val="0"/>
          <w:kern w:val="0"/>
          <w:sz w:val="24"/>
          <w:shd w:val="clear" w:color="auto" w:fill="FFFFFF"/>
          <w:lang w:val="en-US" w:eastAsia="zh-CN"/>
        </w:rPr>
        <w:t>.</w:t>
      </w:r>
      <w:r>
        <w:rPr>
          <w:rFonts w:hint="eastAsia" w:ascii="宋体" w:hAnsi="宋体" w:cs="宋体"/>
          <w:b w:val="0"/>
          <w:bCs w:val="0"/>
          <w:kern w:val="0"/>
          <w:sz w:val="24"/>
          <w:shd w:val="clear" w:color="auto" w:fill="FFFFFF"/>
        </w:rPr>
        <w:t>售后服务</w:t>
      </w:r>
      <w:r>
        <w:rPr>
          <w:rFonts w:hint="eastAsia" w:ascii="宋体" w:hAnsi="宋体" w:cs="宋体"/>
          <w:b w:val="0"/>
          <w:bCs w:val="0"/>
          <w:kern w:val="0"/>
          <w:sz w:val="24"/>
          <w:shd w:val="clear" w:color="auto" w:fill="FFFFFF"/>
          <w:lang w:eastAsia="zh-CN"/>
        </w:rPr>
        <w:t>：</w:t>
      </w:r>
      <w:r>
        <w:rPr>
          <w:rFonts w:hint="eastAsia" w:ascii="宋体" w:hAnsi="宋体" w:cs="宋体"/>
          <w:b w:val="0"/>
          <w:bCs w:val="0"/>
          <w:kern w:val="0"/>
          <w:sz w:val="24"/>
          <w:shd w:val="clear" w:color="auto" w:fill="FFFFFF"/>
        </w:rPr>
        <w:t>自通过监管部门备案认可之日起，成交供应商对所供服务提供12个月的服务响应期。在服务响应期内成交供应商</w:t>
      </w:r>
      <w:r>
        <w:rPr>
          <w:rFonts w:hint="eastAsia" w:ascii="宋体" w:hAnsi="宋体" w:cs="宋体"/>
          <w:b w:val="0"/>
          <w:bCs w:val="0"/>
          <w:kern w:val="0"/>
          <w:sz w:val="24"/>
          <w:shd w:val="clear" w:color="auto" w:fill="FFFFFF"/>
          <w:lang w:val="en-US" w:eastAsia="zh-CN"/>
        </w:rPr>
        <w:t>需</w:t>
      </w:r>
      <w:r>
        <w:rPr>
          <w:rFonts w:hint="eastAsia" w:ascii="宋体" w:hAnsi="宋体" w:cs="宋体"/>
          <w:b w:val="0"/>
          <w:bCs w:val="0"/>
          <w:kern w:val="0"/>
          <w:sz w:val="24"/>
          <w:shd w:val="clear" w:color="auto" w:fill="FFFFFF"/>
        </w:rPr>
        <w:t>无条件</w:t>
      </w:r>
      <w:r>
        <w:rPr>
          <w:rFonts w:hint="eastAsia" w:ascii="宋体" w:hAnsi="宋体" w:cs="宋体"/>
          <w:b w:val="0"/>
          <w:bCs w:val="0"/>
          <w:kern w:val="0"/>
          <w:sz w:val="24"/>
          <w:shd w:val="clear" w:color="auto" w:fill="FFFFFF"/>
          <w:lang w:val="en-US" w:eastAsia="zh-CN"/>
        </w:rPr>
        <w:t>为采购人</w:t>
      </w:r>
      <w:r>
        <w:rPr>
          <w:rFonts w:hint="eastAsia" w:ascii="宋体" w:hAnsi="宋体" w:cs="宋体"/>
          <w:b w:val="0"/>
          <w:bCs w:val="0"/>
          <w:kern w:val="0"/>
          <w:sz w:val="24"/>
          <w:shd w:val="clear" w:color="auto" w:fill="FFFFFF"/>
        </w:rPr>
        <w:t>提供消防评估服</w:t>
      </w:r>
      <w:r>
        <w:rPr>
          <w:rFonts w:hint="eastAsia" w:ascii="宋体" w:hAnsi="宋体" w:cs="宋体"/>
          <w:b w:val="0"/>
          <w:bCs w:val="0"/>
          <w:kern w:val="0"/>
          <w:sz w:val="24"/>
          <w:shd w:val="clear" w:color="auto" w:fill="FFFFFF"/>
          <w:lang w:val="en-US" w:eastAsia="zh-CN"/>
        </w:rPr>
        <w:t>务，配合采购人</w:t>
      </w:r>
      <w:r>
        <w:rPr>
          <w:rFonts w:hint="eastAsia" w:ascii="宋体" w:hAnsi="宋体" w:cs="宋体"/>
          <w:b w:val="0"/>
          <w:bCs w:val="0"/>
          <w:kern w:val="0"/>
          <w:sz w:val="24"/>
          <w:shd w:val="clear" w:color="auto" w:fill="FFFFFF"/>
        </w:rPr>
        <w:t>象湖校区整体验收。</w:t>
      </w:r>
    </w:p>
    <w:p w14:paraId="3694B4FA">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宋体" w:hAnsi="宋体" w:cs="宋体"/>
          <w:b w:val="0"/>
          <w:bCs w:val="0"/>
          <w:kern w:val="0"/>
          <w:sz w:val="24"/>
          <w:shd w:val="clear" w:color="auto" w:fill="FFFFFF"/>
        </w:rPr>
      </w:pPr>
      <w:r>
        <w:rPr>
          <w:rFonts w:hint="eastAsia" w:ascii="宋体" w:hAnsi="宋体" w:cs="宋体"/>
          <w:b w:val="0"/>
          <w:bCs w:val="0"/>
          <w:kern w:val="0"/>
          <w:sz w:val="24"/>
          <w:shd w:val="clear" w:color="auto" w:fill="FFFFFF"/>
        </w:rPr>
        <w:t>8</w:t>
      </w:r>
      <w:r>
        <w:rPr>
          <w:rFonts w:hint="eastAsia" w:ascii="宋体" w:hAnsi="宋体" w:cs="宋体"/>
          <w:b w:val="0"/>
          <w:bCs w:val="0"/>
          <w:kern w:val="0"/>
          <w:sz w:val="24"/>
          <w:shd w:val="clear" w:color="auto" w:fill="FFFFFF"/>
          <w:lang w:val="en-US" w:eastAsia="zh-CN"/>
        </w:rPr>
        <w:t>.</w:t>
      </w:r>
      <w:r>
        <w:rPr>
          <w:rFonts w:hint="eastAsia" w:ascii="宋体" w:hAnsi="宋体" w:cs="宋体"/>
          <w:b w:val="0"/>
          <w:bCs w:val="0"/>
          <w:kern w:val="0"/>
          <w:sz w:val="24"/>
          <w:shd w:val="clear" w:color="auto" w:fill="FFFFFF"/>
        </w:rPr>
        <w:t>知识产权归属和处理方式</w:t>
      </w:r>
      <w:r>
        <w:rPr>
          <w:rFonts w:hint="eastAsia" w:ascii="宋体" w:hAnsi="宋体" w:cs="宋体"/>
          <w:b w:val="0"/>
          <w:bCs w:val="0"/>
          <w:kern w:val="0"/>
          <w:sz w:val="24"/>
          <w:shd w:val="clear" w:color="auto" w:fill="FFFFFF"/>
          <w:lang w:eastAsia="zh-CN"/>
        </w:rPr>
        <w:t>：</w:t>
      </w:r>
      <w:r>
        <w:rPr>
          <w:rFonts w:hint="eastAsia" w:ascii="宋体" w:hAnsi="宋体" w:cs="宋体"/>
          <w:b w:val="0"/>
          <w:bCs w:val="0"/>
          <w:kern w:val="0"/>
          <w:sz w:val="24"/>
          <w:shd w:val="clear" w:color="auto" w:fill="FFFFFF"/>
        </w:rPr>
        <w:t>成交供应商应保证采购人在使用本合同货物或其任何一部分时不受第三方提出侵犯专利权、商标权、著作权或其它知识产权起诉的指控。如果任何第三方提出侵权指控，成交供应商须与第三方交涉并承担可能发生的一切法律责任和费用。</w:t>
      </w:r>
    </w:p>
    <w:p w14:paraId="6D232AAE">
      <w:pPr>
        <w:widowControl/>
        <w:numPr>
          <w:ilvl w:val="0"/>
          <w:numId w:val="2"/>
        </w:numPr>
        <w:spacing w:line="420" w:lineRule="exact"/>
        <w:jc w:val="left"/>
        <w:rPr>
          <w:rFonts w:hint="eastAsia" w:ascii="宋体" w:hAnsi="宋体" w:cs="宋体"/>
          <w:b/>
          <w:bCs/>
          <w:kern w:val="0"/>
          <w:sz w:val="24"/>
          <w:shd w:val="clear" w:color="auto" w:fill="FFFFFF"/>
          <w:lang w:val="en-US" w:eastAsia="zh-CN"/>
        </w:rPr>
      </w:pPr>
      <w:r>
        <w:rPr>
          <w:rFonts w:hint="eastAsia" w:ascii="宋体" w:hAnsi="宋体" w:cs="宋体"/>
          <w:b/>
          <w:bCs/>
          <w:kern w:val="0"/>
          <w:sz w:val="24"/>
          <w:shd w:val="clear" w:color="auto" w:fill="FFFFFF"/>
          <w:lang w:val="en-US" w:eastAsia="zh-CN"/>
        </w:rPr>
        <w:t>拟定评分办法</w:t>
      </w:r>
    </w:p>
    <w:p w14:paraId="1D87B18F">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宋体" w:hAnsi="宋体" w:eastAsia="宋体" w:cs="宋体"/>
          <w:b w:val="0"/>
          <w:bCs w:val="0"/>
          <w:kern w:val="0"/>
          <w:sz w:val="24"/>
          <w:shd w:val="clear" w:color="auto" w:fill="FFFFFF"/>
        </w:rPr>
      </w:pPr>
      <w:r>
        <w:rPr>
          <w:rFonts w:hint="eastAsia" w:ascii="宋体" w:hAnsi="宋体" w:eastAsia="宋体" w:cs="宋体"/>
          <w:b w:val="0"/>
          <w:bCs w:val="0"/>
          <w:kern w:val="0"/>
          <w:sz w:val="24"/>
          <w:shd w:val="clear" w:color="auto" w:fill="FFFFFF"/>
        </w:rPr>
        <w:t>本项目评标方法采用综合评分法，总分</w:t>
      </w:r>
      <w:r>
        <w:rPr>
          <w:rFonts w:hint="eastAsia" w:ascii="宋体" w:hAnsi="宋体" w:eastAsia="宋体" w:cs="宋体"/>
          <w:b w:val="0"/>
          <w:bCs w:val="0"/>
          <w:kern w:val="0"/>
          <w:sz w:val="24"/>
          <w:shd w:val="clear" w:color="auto" w:fill="FFFFFF"/>
          <w:lang w:val="en-US" w:eastAsia="zh-CN"/>
        </w:rPr>
        <w:t>100</w:t>
      </w:r>
      <w:r>
        <w:rPr>
          <w:rFonts w:hint="eastAsia" w:ascii="宋体" w:hAnsi="宋体" w:eastAsia="宋体" w:cs="宋体"/>
          <w:b w:val="0"/>
          <w:bCs w:val="0"/>
          <w:kern w:val="0"/>
          <w:sz w:val="24"/>
          <w:shd w:val="clear" w:color="auto" w:fill="FFFFFF"/>
        </w:rPr>
        <w:t>分。评标委员会在评标时，将按照</w:t>
      </w:r>
      <w:r>
        <w:rPr>
          <w:rFonts w:hint="eastAsia" w:ascii="宋体" w:hAnsi="宋体" w:eastAsia="宋体" w:cs="宋体"/>
          <w:b w:val="0"/>
          <w:bCs w:val="0"/>
          <w:kern w:val="0"/>
          <w:sz w:val="24"/>
          <w:shd w:val="clear" w:color="auto" w:fill="FFFFFF"/>
          <w:lang w:eastAsia="zh-CN"/>
        </w:rPr>
        <w:t>磋商文件</w:t>
      </w:r>
      <w:r>
        <w:rPr>
          <w:rFonts w:hint="eastAsia" w:ascii="宋体" w:hAnsi="宋体" w:eastAsia="宋体" w:cs="宋体"/>
          <w:b w:val="0"/>
          <w:bCs w:val="0"/>
          <w:kern w:val="0"/>
          <w:sz w:val="24"/>
          <w:shd w:val="clear" w:color="auto" w:fill="FFFFFF"/>
        </w:rPr>
        <w:t>要求对商务部分、技术部分、进行综合评分，计算出每一</w:t>
      </w:r>
      <w:r>
        <w:rPr>
          <w:rFonts w:hint="eastAsia" w:ascii="宋体" w:hAnsi="宋体" w:eastAsia="宋体" w:cs="宋体"/>
          <w:b w:val="0"/>
          <w:bCs w:val="0"/>
          <w:kern w:val="0"/>
          <w:sz w:val="24"/>
          <w:shd w:val="clear" w:color="auto" w:fill="FFFFFF"/>
          <w:lang w:eastAsia="zh-CN"/>
        </w:rPr>
        <w:t>供应商</w:t>
      </w:r>
      <w:r>
        <w:rPr>
          <w:rFonts w:hint="eastAsia" w:ascii="宋体" w:hAnsi="宋体" w:eastAsia="宋体" w:cs="宋体"/>
          <w:b w:val="0"/>
          <w:bCs w:val="0"/>
          <w:kern w:val="0"/>
          <w:sz w:val="24"/>
          <w:shd w:val="clear" w:color="auto" w:fill="FFFFFF"/>
        </w:rPr>
        <w:t>综合评分，按各评委综合评分算术平均值的高低，确定中标排序。综合得分最高的为预中标供应商。如果出现分数相同，按报价由低到高顺序排列。得分且报价相同的，由评标委员会随机抽取。</w:t>
      </w:r>
    </w:p>
    <w:p w14:paraId="0B63D441">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宋体" w:hAnsi="宋体" w:eastAsia="宋体" w:cs="宋体"/>
          <w:b w:val="0"/>
          <w:bCs w:val="0"/>
          <w:kern w:val="0"/>
          <w:sz w:val="24"/>
          <w:shd w:val="clear" w:color="auto" w:fill="FFFFFF"/>
        </w:rPr>
      </w:pPr>
      <w:r>
        <w:rPr>
          <w:rFonts w:hint="eastAsia" w:ascii="宋体" w:hAnsi="宋体" w:eastAsia="宋体" w:cs="宋体"/>
          <w:b w:val="0"/>
          <w:bCs w:val="0"/>
          <w:kern w:val="0"/>
          <w:sz w:val="24"/>
          <w:shd w:val="clear" w:color="auto" w:fill="FFFFFF"/>
        </w:rPr>
        <w:t>评标细则如下：</w:t>
      </w:r>
    </w:p>
    <w:tbl>
      <w:tblPr>
        <w:tblStyle w:val="36"/>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30"/>
        <w:gridCol w:w="1466"/>
        <w:gridCol w:w="727"/>
        <w:gridCol w:w="5778"/>
      </w:tblGrid>
      <w:tr w14:paraId="78CA0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15" w:type="pct"/>
            <w:tcBorders>
              <w:top w:val="single" w:color="auto" w:sz="4" w:space="0"/>
              <w:left w:val="single" w:color="auto" w:sz="4" w:space="0"/>
              <w:bottom w:val="single" w:color="auto" w:sz="4" w:space="0"/>
              <w:right w:val="single" w:color="auto" w:sz="4" w:space="0"/>
            </w:tcBorders>
            <w:noWrap w:val="0"/>
            <w:vAlign w:val="top"/>
          </w:tcPr>
          <w:p w14:paraId="56DF34F6">
            <w:pPr>
              <w:keepNext w:val="0"/>
              <w:keepLines w:val="0"/>
              <w:pageBreakBefore w:val="0"/>
              <w:widowControl w:val="0"/>
              <w:kinsoku/>
              <w:wordWrap/>
              <w:overflowPunct/>
              <w:topLinePunct w:val="0"/>
              <w:autoSpaceDE/>
              <w:autoSpaceDN/>
              <w:bidi w:val="0"/>
              <w:adjustRightInd/>
              <w:snapToGrid/>
              <w:spacing w:line="560" w:lineRule="exact"/>
              <w:ind w:left="169"/>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9"/>
                <w:kern w:val="2"/>
                <w:sz w:val="24"/>
                <w:szCs w:val="24"/>
              </w:rPr>
              <w:t>评</w:t>
            </w:r>
            <w:r>
              <w:rPr>
                <w:rFonts w:hint="eastAsia" w:asciiTheme="minorEastAsia" w:hAnsiTheme="minorEastAsia" w:eastAsiaTheme="minorEastAsia" w:cstheme="minorEastAsia"/>
                <w:spacing w:val="8"/>
                <w:kern w:val="2"/>
                <w:sz w:val="24"/>
                <w:szCs w:val="24"/>
              </w:rPr>
              <w:t>审指标</w:t>
            </w:r>
          </w:p>
        </w:tc>
        <w:tc>
          <w:tcPr>
            <w:tcW w:w="788" w:type="pct"/>
            <w:tcBorders>
              <w:top w:val="single" w:color="auto" w:sz="4" w:space="0"/>
              <w:left w:val="single" w:color="auto" w:sz="4" w:space="0"/>
              <w:bottom w:val="single" w:color="auto" w:sz="4" w:space="0"/>
              <w:right w:val="single" w:color="auto" w:sz="4" w:space="0"/>
            </w:tcBorders>
            <w:noWrap w:val="0"/>
            <w:vAlign w:val="top"/>
          </w:tcPr>
          <w:p w14:paraId="65F0756A">
            <w:pPr>
              <w:keepNext w:val="0"/>
              <w:keepLines w:val="0"/>
              <w:pageBreakBefore w:val="0"/>
              <w:widowControl w:val="0"/>
              <w:kinsoku/>
              <w:wordWrap/>
              <w:overflowPunct/>
              <w:topLinePunct w:val="0"/>
              <w:autoSpaceDE/>
              <w:autoSpaceDN/>
              <w:bidi w:val="0"/>
              <w:adjustRightInd/>
              <w:snapToGrid/>
              <w:spacing w:line="560" w:lineRule="exact"/>
              <w:ind w:left="236"/>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9"/>
                <w:kern w:val="2"/>
                <w:sz w:val="24"/>
                <w:szCs w:val="24"/>
              </w:rPr>
              <w:t>分</w:t>
            </w:r>
            <w:r>
              <w:rPr>
                <w:rFonts w:hint="eastAsia" w:asciiTheme="minorEastAsia" w:hAnsiTheme="minorEastAsia" w:eastAsiaTheme="minorEastAsia" w:cstheme="minorEastAsia"/>
                <w:spacing w:val="7"/>
                <w:kern w:val="2"/>
                <w:sz w:val="24"/>
                <w:szCs w:val="24"/>
              </w:rPr>
              <w:t>项指标</w:t>
            </w:r>
          </w:p>
        </w:tc>
        <w:tc>
          <w:tcPr>
            <w:tcW w:w="391" w:type="pct"/>
            <w:tcBorders>
              <w:top w:val="single" w:color="auto" w:sz="4" w:space="0"/>
              <w:left w:val="single" w:color="auto" w:sz="4" w:space="0"/>
              <w:bottom w:val="single" w:color="auto" w:sz="4" w:space="0"/>
              <w:right w:val="single" w:color="auto" w:sz="4" w:space="0"/>
            </w:tcBorders>
            <w:noWrap w:val="0"/>
            <w:vAlign w:val="top"/>
          </w:tcPr>
          <w:p w14:paraId="6746F6D9">
            <w:pPr>
              <w:keepNext w:val="0"/>
              <w:keepLines w:val="0"/>
              <w:pageBreakBefore w:val="0"/>
              <w:widowControl w:val="0"/>
              <w:kinsoku/>
              <w:wordWrap/>
              <w:overflowPunct/>
              <w:topLinePunct w:val="0"/>
              <w:autoSpaceDE/>
              <w:autoSpaceDN/>
              <w:bidi w:val="0"/>
              <w:adjustRightInd/>
              <w:snapToGrid/>
              <w:spacing w:line="560" w:lineRule="exact"/>
              <w:ind w:left="122"/>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4"/>
                <w:kern w:val="2"/>
                <w:sz w:val="24"/>
                <w:szCs w:val="24"/>
              </w:rPr>
              <w:t>分</w:t>
            </w:r>
            <w:r>
              <w:rPr>
                <w:rFonts w:hint="eastAsia" w:asciiTheme="minorEastAsia" w:hAnsiTheme="minorEastAsia" w:eastAsiaTheme="minorEastAsia" w:cstheme="minorEastAsia"/>
                <w:spacing w:val="3"/>
                <w:kern w:val="2"/>
                <w:sz w:val="24"/>
                <w:szCs w:val="24"/>
              </w:rPr>
              <w:t>值</w:t>
            </w:r>
          </w:p>
        </w:tc>
        <w:tc>
          <w:tcPr>
            <w:tcW w:w="3105" w:type="pct"/>
            <w:tcBorders>
              <w:top w:val="single" w:color="auto" w:sz="4" w:space="0"/>
              <w:left w:val="single" w:color="auto" w:sz="4" w:space="0"/>
              <w:bottom w:val="single" w:color="auto" w:sz="4" w:space="0"/>
              <w:right w:val="single" w:color="auto" w:sz="4" w:space="0"/>
            </w:tcBorders>
            <w:noWrap w:val="0"/>
            <w:vAlign w:val="top"/>
          </w:tcPr>
          <w:p w14:paraId="4302373C">
            <w:pPr>
              <w:keepNext w:val="0"/>
              <w:keepLines w:val="0"/>
              <w:pageBreakBefore w:val="0"/>
              <w:widowControl w:val="0"/>
              <w:kinsoku/>
              <w:wordWrap/>
              <w:overflowPunct/>
              <w:topLinePunct w:val="0"/>
              <w:autoSpaceDE/>
              <w:autoSpaceDN/>
              <w:bidi w:val="0"/>
              <w:adjustRightInd/>
              <w:snapToGrid/>
              <w:spacing w:line="560" w:lineRule="exact"/>
              <w:ind w:left="2323"/>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8"/>
                <w:kern w:val="2"/>
                <w:sz w:val="24"/>
                <w:szCs w:val="24"/>
              </w:rPr>
              <w:t>评分细</w:t>
            </w:r>
            <w:r>
              <w:rPr>
                <w:rFonts w:hint="eastAsia" w:asciiTheme="minorEastAsia" w:hAnsiTheme="minorEastAsia" w:eastAsiaTheme="minorEastAsia" w:cstheme="minorEastAsia"/>
                <w:spacing w:val="7"/>
                <w:kern w:val="2"/>
                <w:sz w:val="24"/>
                <w:szCs w:val="24"/>
              </w:rPr>
              <w:t>则</w:t>
            </w:r>
          </w:p>
        </w:tc>
      </w:tr>
      <w:tr w14:paraId="3051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15" w:type="pct"/>
            <w:tcBorders>
              <w:top w:val="single" w:color="auto" w:sz="4" w:space="0"/>
              <w:left w:val="single" w:color="auto" w:sz="4" w:space="0"/>
              <w:bottom w:val="single" w:color="auto" w:sz="4" w:space="0"/>
              <w:right w:val="single" w:color="auto" w:sz="4" w:space="0"/>
            </w:tcBorders>
            <w:noWrap w:val="0"/>
            <w:vAlign w:val="center"/>
          </w:tcPr>
          <w:p w14:paraId="56BAD5B0">
            <w:pPr>
              <w:keepNext w:val="0"/>
              <w:keepLines w:val="0"/>
              <w:pageBreakBefore w:val="0"/>
              <w:widowControl w:val="0"/>
              <w:kinsoku/>
              <w:wordWrap/>
              <w:overflowPunct/>
              <w:topLinePunct w:val="0"/>
              <w:autoSpaceDE/>
              <w:autoSpaceDN/>
              <w:bidi w:val="0"/>
              <w:adjustRightInd/>
              <w:snapToGrid/>
              <w:spacing w:line="560" w:lineRule="exact"/>
              <w:ind w:right="162"/>
              <w:jc w:val="center"/>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spacing w:val="8"/>
                <w:kern w:val="2"/>
                <w:sz w:val="24"/>
                <w:szCs w:val="24"/>
              </w:rPr>
              <w:t>价</w:t>
            </w:r>
            <w:r>
              <w:rPr>
                <w:rFonts w:hint="eastAsia" w:asciiTheme="minorEastAsia" w:hAnsiTheme="minorEastAsia" w:eastAsiaTheme="minorEastAsia" w:cstheme="minorEastAsia"/>
                <w:spacing w:val="7"/>
                <w:kern w:val="2"/>
                <w:sz w:val="24"/>
                <w:szCs w:val="24"/>
              </w:rPr>
              <w:t>格分值</w:t>
            </w:r>
            <w:r>
              <w:rPr>
                <w:rFonts w:hint="eastAsia" w:asciiTheme="minorEastAsia" w:hAnsiTheme="minorEastAsia" w:eastAsiaTheme="minorEastAsia" w:cstheme="minorEastAsia"/>
                <w:spacing w:val="13"/>
                <w:kern w:val="2"/>
                <w:sz w:val="24"/>
                <w:szCs w:val="24"/>
                <w:lang w:eastAsia="zh-CN"/>
              </w:rPr>
              <w:t>（</w:t>
            </w:r>
            <w:r>
              <w:rPr>
                <w:rFonts w:hint="eastAsia" w:asciiTheme="minorEastAsia" w:hAnsiTheme="minorEastAsia" w:eastAsiaTheme="minorEastAsia" w:cstheme="minorEastAsia"/>
                <w:spacing w:val="13"/>
                <w:kern w:val="2"/>
                <w:sz w:val="24"/>
                <w:szCs w:val="24"/>
                <w:lang w:val="en-US" w:eastAsia="zh-CN"/>
              </w:rPr>
              <w:t>10</w:t>
            </w:r>
            <w:r>
              <w:rPr>
                <w:rFonts w:hint="eastAsia" w:asciiTheme="minorEastAsia" w:hAnsiTheme="minorEastAsia" w:eastAsiaTheme="minorEastAsia" w:cstheme="minorEastAsia"/>
                <w:spacing w:val="13"/>
                <w:kern w:val="2"/>
                <w:sz w:val="24"/>
                <w:szCs w:val="24"/>
              </w:rPr>
              <w:t>分</w:t>
            </w:r>
            <w:r>
              <w:rPr>
                <w:rFonts w:hint="eastAsia" w:asciiTheme="minorEastAsia" w:hAnsiTheme="minorEastAsia" w:eastAsiaTheme="minorEastAsia" w:cstheme="minorEastAsia"/>
                <w:spacing w:val="12"/>
                <w:kern w:val="2"/>
                <w:sz w:val="24"/>
                <w:szCs w:val="24"/>
                <w:lang w:eastAsia="zh-CN"/>
              </w:rPr>
              <w:t>）</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667CEB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6"/>
                <w:kern w:val="2"/>
                <w:sz w:val="24"/>
                <w:szCs w:val="24"/>
              </w:rPr>
              <w:t>报价</w:t>
            </w:r>
          </w:p>
        </w:tc>
        <w:tc>
          <w:tcPr>
            <w:tcW w:w="391" w:type="pct"/>
            <w:tcBorders>
              <w:top w:val="single" w:color="auto" w:sz="4" w:space="0"/>
              <w:left w:val="single" w:color="auto" w:sz="4" w:space="0"/>
              <w:bottom w:val="single" w:color="auto" w:sz="4" w:space="0"/>
              <w:right w:val="single" w:color="auto" w:sz="4" w:space="0"/>
            </w:tcBorders>
            <w:noWrap w:val="0"/>
            <w:vAlign w:val="center"/>
          </w:tcPr>
          <w:p w14:paraId="567A2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18"/>
                <w:kern w:val="2"/>
                <w:sz w:val="24"/>
                <w:szCs w:val="24"/>
                <w:lang w:val="en-US" w:eastAsia="zh-CN"/>
              </w:rPr>
              <w:t>10</w:t>
            </w:r>
            <w:r>
              <w:rPr>
                <w:rFonts w:hint="eastAsia" w:asciiTheme="minorEastAsia" w:hAnsiTheme="minorEastAsia" w:eastAsiaTheme="minorEastAsia" w:cstheme="minorEastAsia"/>
                <w:spacing w:val="-17"/>
                <w:kern w:val="2"/>
                <w:sz w:val="24"/>
                <w:szCs w:val="24"/>
              </w:rPr>
              <w:t>分</w:t>
            </w:r>
          </w:p>
        </w:tc>
        <w:tc>
          <w:tcPr>
            <w:tcW w:w="3105" w:type="pct"/>
            <w:tcBorders>
              <w:top w:val="single" w:color="auto" w:sz="4" w:space="0"/>
              <w:left w:val="single" w:color="auto" w:sz="4" w:space="0"/>
              <w:bottom w:val="single" w:color="auto" w:sz="4" w:space="0"/>
              <w:right w:val="single" w:color="auto" w:sz="4" w:space="0"/>
            </w:tcBorders>
            <w:noWrap w:val="0"/>
            <w:vAlign w:val="top"/>
          </w:tcPr>
          <w:p w14:paraId="0106A9B3">
            <w:pPr>
              <w:keepNext w:val="0"/>
              <w:keepLines w:val="0"/>
              <w:pageBreakBefore w:val="0"/>
              <w:widowControl w:val="0"/>
              <w:kinsoku/>
              <w:wordWrap/>
              <w:overflowPunct/>
              <w:topLinePunct w:val="0"/>
              <w:autoSpaceDE/>
              <w:autoSpaceDN/>
              <w:bidi w:val="0"/>
              <w:adjustRightInd/>
              <w:snapToGrid/>
              <w:spacing w:line="560" w:lineRule="exact"/>
              <w:ind w:left="22" w:right="62" w:firstLine="12"/>
              <w:textAlignment w:val="auto"/>
              <w:rPr>
                <w:rFonts w:hint="eastAsia" w:asciiTheme="minorEastAsia" w:hAnsiTheme="minorEastAsia" w:eastAsiaTheme="minorEastAsia" w:cstheme="minorEastAsia"/>
                <w:spacing w:val="8"/>
                <w:kern w:val="2"/>
                <w:sz w:val="24"/>
                <w:szCs w:val="24"/>
              </w:rPr>
            </w:pPr>
            <w:r>
              <w:rPr>
                <w:rFonts w:hint="eastAsia" w:asciiTheme="minorEastAsia" w:hAnsiTheme="minorEastAsia" w:eastAsiaTheme="minorEastAsia" w:cstheme="minorEastAsia"/>
                <w:spacing w:val="8"/>
                <w:kern w:val="2"/>
                <w:sz w:val="24"/>
                <w:szCs w:val="24"/>
              </w:rPr>
              <w:t>价格分统一采用低价优先法计算，即满足磋商文件要求且最后报价最低的供应商的价格为磋商基准价，其价格分为满分。其他供应商的价格分统一按照下列公式计算：</w:t>
            </w:r>
          </w:p>
          <w:p w14:paraId="3B8D037C">
            <w:pPr>
              <w:keepNext w:val="0"/>
              <w:keepLines w:val="0"/>
              <w:pageBreakBefore w:val="0"/>
              <w:widowControl w:val="0"/>
              <w:kinsoku/>
              <w:wordWrap/>
              <w:overflowPunct/>
              <w:topLinePunct w:val="0"/>
              <w:autoSpaceDE/>
              <w:autoSpaceDN/>
              <w:bidi w:val="0"/>
              <w:adjustRightInd/>
              <w:snapToGrid/>
              <w:spacing w:line="560" w:lineRule="exact"/>
              <w:ind w:left="22" w:right="62" w:firstLine="12"/>
              <w:textAlignment w:val="auto"/>
              <w:rPr>
                <w:rFonts w:hint="eastAsia" w:asciiTheme="minorEastAsia" w:hAnsiTheme="minorEastAsia" w:eastAsiaTheme="minorEastAsia" w:cstheme="minorEastAsia"/>
                <w:spacing w:val="8"/>
                <w:kern w:val="2"/>
                <w:sz w:val="24"/>
                <w:szCs w:val="24"/>
              </w:rPr>
            </w:pPr>
            <w:r>
              <w:rPr>
                <w:rFonts w:hint="eastAsia" w:asciiTheme="minorEastAsia" w:hAnsiTheme="minorEastAsia" w:eastAsiaTheme="minorEastAsia" w:cstheme="minorEastAsia"/>
                <w:spacing w:val="8"/>
                <w:kern w:val="2"/>
                <w:sz w:val="24"/>
                <w:szCs w:val="24"/>
              </w:rPr>
              <w:t>磋商报价得分=（磋商基准价/最后磋商报价）×10%×100；</w:t>
            </w:r>
          </w:p>
          <w:p w14:paraId="1697C8AF">
            <w:pPr>
              <w:keepNext w:val="0"/>
              <w:keepLines w:val="0"/>
              <w:pageBreakBefore w:val="0"/>
              <w:widowControl w:val="0"/>
              <w:kinsoku/>
              <w:wordWrap/>
              <w:overflowPunct/>
              <w:topLinePunct w:val="0"/>
              <w:autoSpaceDE/>
              <w:autoSpaceDN/>
              <w:bidi w:val="0"/>
              <w:adjustRightInd/>
              <w:snapToGrid/>
              <w:spacing w:line="560" w:lineRule="exact"/>
              <w:ind w:left="22" w:right="62" w:firstLine="12"/>
              <w:textAlignment w:val="auto"/>
              <w:rPr>
                <w:rFonts w:hint="eastAsia" w:asciiTheme="minorEastAsia" w:hAnsiTheme="minorEastAsia" w:eastAsiaTheme="minorEastAsia" w:cstheme="minorEastAsia"/>
                <w:spacing w:val="8"/>
                <w:kern w:val="2"/>
                <w:sz w:val="24"/>
                <w:szCs w:val="24"/>
                <w:highlight w:val="none"/>
                <w:lang w:eastAsia="zh-CN"/>
              </w:rPr>
            </w:pPr>
            <w:r>
              <w:rPr>
                <w:rFonts w:hint="eastAsia" w:asciiTheme="minorEastAsia" w:hAnsiTheme="minorEastAsia" w:eastAsiaTheme="minorEastAsia" w:cstheme="minorEastAsia"/>
                <w:spacing w:val="8"/>
                <w:kern w:val="2"/>
                <w:sz w:val="24"/>
                <w:szCs w:val="24"/>
                <w:highlight w:val="none"/>
              </w:rPr>
              <w:t>本项目是非专门面向中小企业采购的项目，对小型、微型企业和监狱企业、残疾人福利性单位的价格给予10%的扣除，用扣除后的价格参与评审</w:t>
            </w:r>
            <w:r>
              <w:rPr>
                <w:rFonts w:hint="eastAsia" w:asciiTheme="minorEastAsia" w:hAnsiTheme="minorEastAsia" w:eastAsiaTheme="minorEastAsia" w:cstheme="minorEastAsia"/>
                <w:spacing w:val="8"/>
                <w:kern w:val="2"/>
                <w:sz w:val="24"/>
                <w:szCs w:val="24"/>
                <w:highlight w:val="none"/>
                <w:lang w:eastAsia="zh-CN"/>
              </w:rPr>
              <w:t>。</w:t>
            </w:r>
          </w:p>
          <w:p w14:paraId="0196BDB4">
            <w:pPr>
              <w:keepNext w:val="0"/>
              <w:keepLines w:val="0"/>
              <w:pageBreakBefore w:val="0"/>
              <w:widowControl w:val="0"/>
              <w:kinsoku/>
              <w:wordWrap/>
              <w:overflowPunct/>
              <w:topLinePunct w:val="0"/>
              <w:autoSpaceDE/>
              <w:autoSpaceDN/>
              <w:bidi w:val="0"/>
              <w:adjustRightInd/>
              <w:snapToGrid/>
              <w:spacing w:line="560" w:lineRule="exact"/>
              <w:ind w:left="22" w:right="62" w:firstLine="12"/>
              <w:textAlignment w:val="auto"/>
              <w:rPr>
                <w:rFonts w:hint="eastAsia" w:asciiTheme="minorEastAsia" w:hAnsiTheme="minorEastAsia" w:eastAsiaTheme="minorEastAsia" w:cstheme="minorEastAsia"/>
                <w:spacing w:val="8"/>
                <w:kern w:val="2"/>
                <w:sz w:val="24"/>
                <w:szCs w:val="24"/>
              </w:rPr>
            </w:pPr>
            <w:r>
              <w:rPr>
                <w:rFonts w:hint="eastAsia" w:asciiTheme="minorEastAsia" w:hAnsiTheme="minorEastAsia" w:eastAsiaTheme="minorEastAsia" w:cstheme="minorEastAsia"/>
                <w:b/>
                <w:bCs/>
                <w:spacing w:val="8"/>
                <w:kern w:val="2"/>
                <w:sz w:val="24"/>
                <w:szCs w:val="24"/>
              </w:rPr>
              <w:t>磋商小组认为供应商的报价明显低于其他通过符合性审查供应商的报价有可能影响产品质量或者不能诚信履约的，应当要求其在评审现场合理时间内提供书面说明，必要时提交相关证明材料；供应商不能证明其报价合理性的，磋商小组会应当将其作为无效响应处理。</w:t>
            </w:r>
          </w:p>
        </w:tc>
      </w:tr>
      <w:tr w14:paraId="66038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15" w:type="pct"/>
            <w:vMerge w:val="restart"/>
            <w:tcBorders>
              <w:top w:val="single" w:color="auto" w:sz="4" w:space="0"/>
              <w:left w:val="single" w:color="auto" w:sz="4" w:space="0"/>
              <w:bottom w:val="single" w:color="auto" w:sz="4" w:space="0"/>
              <w:right w:val="single" w:color="auto" w:sz="4" w:space="0"/>
            </w:tcBorders>
            <w:noWrap w:val="0"/>
            <w:vAlign w:val="center"/>
          </w:tcPr>
          <w:p w14:paraId="5ADA6FC9">
            <w:pPr>
              <w:keepNext w:val="0"/>
              <w:keepLines w:val="0"/>
              <w:pageBreakBefore w:val="0"/>
              <w:widowControl w:val="0"/>
              <w:kinsoku/>
              <w:wordWrap/>
              <w:overflowPunct/>
              <w:topLinePunct w:val="0"/>
              <w:autoSpaceDE/>
              <w:autoSpaceDN/>
              <w:bidi w:val="0"/>
              <w:adjustRightInd/>
              <w:snapToGrid/>
              <w:spacing w:line="560" w:lineRule="exact"/>
              <w:ind w:right="154"/>
              <w:jc w:val="center"/>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spacing w:val="8"/>
                <w:kern w:val="2"/>
                <w:sz w:val="24"/>
                <w:szCs w:val="24"/>
              </w:rPr>
              <w:t>技</w:t>
            </w:r>
            <w:r>
              <w:rPr>
                <w:rFonts w:hint="eastAsia" w:asciiTheme="minorEastAsia" w:hAnsiTheme="minorEastAsia" w:eastAsiaTheme="minorEastAsia" w:cstheme="minorEastAsia"/>
                <w:spacing w:val="7"/>
                <w:kern w:val="2"/>
                <w:sz w:val="24"/>
                <w:szCs w:val="24"/>
              </w:rPr>
              <w:t>术分值</w:t>
            </w:r>
            <w:r>
              <w:rPr>
                <w:rFonts w:hint="eastAsia" w:asciiTheme="minorEastAsia" w:hAnsiTheme="minorEastAsia" w:eastAsiaTheme="minorEastAsia" w:cstheme="minorEastAsia"/>
                <w:spacing w:val="13"/>
                <w:kern w:val="2"/>
                <w:sz w:val="24"/>
                <w:szCs w:val="24"/>
                <w:lang w:eastAsia="zh-CN"/>
              </w:rPr>
              <w:t>（</w:t>
            </w:r>
            <w:r>
              <w:rPr>
                <w:rFonts w:hint="eastAsia" w:asciiTheme="minorEastAsia" w:hAnsiTheme="minorEastAsia" w:eastAsiaTheme="minorEastAsia" w:cstheme="minorEastAsia"/>
                <w:spacing w:val="9"/>
                <w:kern w:val="2"/>
                <w:sz w:val="24"/>
                <w:szCs w:val="24"/>
                <w:lang w:val="en-US" w:eastAsia="zh-CN"/>
              </w:rPr>
              <w:t>6</w:t>
            </w:r>
            <w:r>
              <w:rPr>
                <w:rFonts w:hint="eastAsia" w:asciiTheme="minorEastAsia" w:hAnsiTheme="minorEastAsia" w:eastAsiaTheme="minorEastAsia" w:cstheme="minorEastAsia"/>
                <w:spacing w:val="9"/>
                <w:kern w:val="2"/>
                <w:sz w:val="24"/>
                <w:szCs w:val="24"/>
              </w:rPr>
              <w:t>0分</w:t>
            </w:r>
            <w:r>
              <w:rPr>
                <w:rFonts w:hint="eastAsia" w:asciiTheme="minorEastAsia" w:hAnsiTheme="minorEastAsia" w:eastAsiaTheme="minorEastAsia" w:cstheme="minorEastAsia"/>
                <w:spacing w:val="9"/>
                <w:kern w:val="2"/>
                <w:sz w:val="24"/>
                <w:szCs w:val="24"/>
                <w:lang w:eastAsia="zh-CN"/>
              </w:rPr>
              <w:t>）</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7660E9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7"/>
                <w:kern w:val="2"/>
                <w:sz w:val="24"/>
                <w:szCs w:val="24"/>
              </w:rPr>
              <w:t>基本</w:t>
            </w:r>
            <w:r>
              <w:rPr>
                <w:rFonts w:hint="eastAsia" w:asciiTheme="minorEastAsia" w:hAnsiTheme="minorEastAsia" w:eastAsiaTheme="minorEastAsia" w:cstheme="minorEastAsia"/>
                <w:spacing w:val="6"/>
                <w:kern w:val="2"/>
                <w:sz w:val="24"/>
                <w:szCs w:val="24"/>
              </w:rPr>
              <w:t>项</w:t>
            </w:r>
          </w:p>
        </w:tc>
        <w:tc>
          <w:tcPr>
            <w:tcW w:w="391" w:type="pct"/>
            <w:tcBorders>
              <w:top w:val="single" w:color="auto" w:sz="4" w:space="0"/>
              <w:left w:val="single" w:color="auto" w:sz="4" w:space="0"/>
              <w:bottom w:val="single" w:color="auto" w:sz="4" w:space="0"/>
              <w:right w:val="single" w:color="auto" w:sz="4" w:space="0"/>
            </w:tcBorders>
            <w:noWrap w:val="0"/>
            <w:vAlign w:val="center"/>
          </w:tcPr>
          <w:p w14:paraId="79659E7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w:t>
            </w:r>
          </w:p>
        </w:tc>
        <w:tc>
          <w:tcPr>
            <w:tcW w:w="3105" w:type="pct"/>
            <w:tcBorders>
              <w:top w:val="single" w:color="auto" w:sz="4" w:space="0"/>
              <w:left w:val="single" w:color="auto" w:sz="4" w:space="0"/>
              <w:bottom w:val="single" w:color="auto" w:sz="4" w:space="0"/>
              <w:right w:val="single" w:color="auto" w:sz="4" w:space="0"/>
            </w:tcBorders>
            <w:noWrap w:val="0"/>
            <w:vAlign w:val="top"/>
          </w:tcPr>
          <w:p w14:paraId="7FFF742D">
            <w:pPr>
              <w:keepNext w:val="0"/>
              <w:keepLines w:val="0"/>
              <w:pageBreakBefore w:val="0"/>
              <w:widowControl w:val="0"/>
              <w:kinsoku/>
              <w:wordWrap/>
              <w:overflowPunct/>
              <w:topLinePunct w:val="0"/>
              <w:autoSpaceDE/>
              <w:autoSpaceDN/>
              <w:bidi w:val="0"/>
              <w:adjustRightInd/>
              <w:snapToGrid/>
              <w:spacing w:line="560" w:lineRule="exact"/>
              <w:ind w:left="23" w:right="62" w:firstLine="11"/>
              <w:textAlignment w:val="auto"/>
              <w:rPr>
                <w:rFonts w:hint="eastAsia" w:asciiTheme="minorEastAsia" w:hAnsiTheme="minorEastAsia" w:eastAsiaTheme="minorEastAsia" w:cstheme="minorEastAsia"/>
                <w:spacing w:val="8"/>
                <w:kern w:val="2"/>
                <w:sz w:val="24"/>
                <w:szCs w:val="24"/>
              </w:rPr>
            </w:pPr>
            <w:r>
              <w:rPr>
                <w:rFonts w:hint="eastAsia" w:asciiTheme="minorEastAsia" w:hAnsiTheme="minorEastAsia" w:eastAsiaTheme="minorEastAsia" w:cstheme="minorEastAsia"/>
                <w:spacing w:val="8"/>
                <w:kern w:val="2"/>
                <w:sz w:val="24"/>
                <w:szCs w:val="24"/>
                <w:lang w:eastAsia="zh-CN"/>
              </w:rPr>
              <w:t>响应文件</w:t>
            </w:r>
            <w:r>
              <w:rPr>
                <w:rFonts w:hint="eastAsia" w:asciiTheme="minorEastAsia" w:hAnsiTheme="minorEastAsia" w:eastAsiaTheme="minorEastAsia" w:cstheme="minorEastAsia"/>
                <w:spacing w:val="8"/>
                <w:kern w:val="2"/>
                <w:sz w:val="24"/>
                <w:szCs w:val="24"/>
              </w:rPr>
              <w:t>完全满足</w:t>
            </w:r>
            <w:r>
              <w:rPr>
                <w:rFonts w:hint="eastAsia" w:asciiTheme="minorEastAsia" w:hAnsiTheme="minorEastAsia" w:eastAsiaTheme="minorEastAsia" w:cstheme="minorEastAsia"/>
                <w:spacing w:val="8"/>
                <w:kern w:val="2"/>
                <w:sz w:val="24"/>
                <w:szCs w:val="24"/>
                <w:lang w:eastAsia="zh-CN"/>
              </w:rPr>
              <w:t>磋商文件</w:t>
            </w:r>
            <w:r>
              <w:rPr>
                <w:rFonts w:hint="eastAsia" w:asciiTheme="minorEastAsia" w:hAnsiTheme="minorEastAsia" w:eastAsiaTheme="minorEastAsia" w:cstheme="minorEastAsia"/>
                <w:spacing w:val="8"/>
                <w:kern w:val="2"/>
                <w:sz w:val="24"/>
                <w:szCs w:val="24"/>
              </w:rPr>
              <w:t>中技术</w:t>
            </w:r>
            <w:r>
              <w:rPr>
                <w:rFonts w:hint="eastAsia" w:asciiTheme="minorEastAsia" w:hAnsiTheme="minorEastAsia" w:eastAsiaTheme="minorEastAsia" w:cstheme="minorEastAsia"/>
                <w:spacing w:val="8"/>
                <w:kern w:val="2"/>
                <w:sz w:val="24"/>
                <w:szCs w:val="24"/>
                <w:lang w:val="en-US" w:eastAsia="zh-CN"/>
              </w:rPr>
              <w:t>需求</w:t>
            </w:r>
            <w:r>
              <w:rPr>
                <w:rFonts w:hint="eastAsia" w:asciiTheme="minorEastAsia" w:hAnsiTheme="minorEastAsia" w:eastAsiaTheme="minorEastAsia" w:cstheme="minorEastAsia"/>
                <w:spacing w:val="8"/>
                <w:kern w:val="2"/>
                <w:sz w:val="24"/>
                <w:szCs w:val="24"/>
              </w:rPr>
              <w:t>，任意一项不满足作无效处理。</w:t>
            </w:r>
          </w:p>
          <w:p w14:paraId="7AD9D410">
            <w:pPr>
              <w:keepNext w:val="0"/>
              <w:keepLines w:val="0"/>
              <w:pageBreakBefore w:val="0"/>
              <w:widowControl w:val="0"/>
              <w:kinsoku/>
              <w:wordWrap/>
              <w:overflowPunct/>
              <w:topLinePunct w:val="0"/>
              <w:autoSpaceDE/>
              <w:autoSpaceDN/>
              <w:bidi w:val="0"/>
              <w:adjustRightInd/>
              <w:snapToGrid/>
              <w:spacing w:line="560" w:lineRule="exact"/>
              <w:ind w:left="23" w:right="62" w:firstLine="11"/>
              <w:textAlignment w:val="auto"/>
              <w:rPr>
                <w:rFonts w:hint="eastAsia" w:asciiTheme="minorEastAsia" w:hAnsiTheme="minorEastAsia" w:eastAsiaTheme="minorEastAsia" w:cstheme="minorEastAsia"/>
                <w:spacing w:val="8"/>
                <w:kern w:val="2"/>
                <w:sz w:val="24"/>
                <w:szCs w:val="24"/>
              </w:rPr>
            </w:pPr>
            <w:r>
              <w:rPr>
                <w:rFonts w:hint="eastAsia" w:asciiTheme="minorEastAsia" w:hAnsiTheme="minorEastAsia" w:eastAsiaTheme="minorEastAsia" w:cstheme="minorEastAsia"/>
                <w:b/>
                <w:bCs/>
                <w:spacing w:val="11"/>
                <w:kern w:val="2"/>
                <w:sz w:val="24"/>
                <w:szCs w:val="24"/>
              </w:rPr>
              <w:t>评审依据：</w:t>
            </w:r>
            <w:r>
              <w:rPr>
                <w:rFonts w:hint="eastAsia" w:asciiTheme="minorEastAsia" w:hAnsiTheme="minorEastAsia" w:eastAsiaTheme="minorEastAsia" w:cstheme="minorEastAsia"/>
                <w:b/>
                <w:bCs/>
                <w:spacing w:val="11"/>
                <w:kern w:val="2"/>
                <w:sz w:val="24"/>
                <w:szCs w:val="24"/>
                <w:lang w:val="en-US" w:eastAsia="zh-CN"/>
              </w:rPr>
              <w:t>依据响应文件内《</w:t>
            </w:r>
            <w:r>
              <w:rPr>
                <w:rFonts w:hint="eastAsia" w:asciiTheme="minorEastAsia" w:hAnsiTheme="minorEastAsia" w:eastAsiaTheme="minorEastAsia" w:cstheme="minorEastAsia"/>
                <w:b/>
                <w:bCs/>
                <w:spacing w:val="11"/>
                <w:kern w:val="2"/>
                <w:sz w:val="24"/>
                <w:szCs w:val="24"/>
              </w:rPr>
              <w:t>技术需求响应/偏离表</w:t>
            </w:r>
            <w:r>
              <w:rPr>
                <w:rFonts w:hint="eastAsia" w:asciiTheme="minorEastAsia" w:hAnsiTheme="minorEastAsia" w:eastAsiaTheme="minorEastAsia" w:cstheme="minorEastAsia"/>
                <w:b/>
                <w:bCs/>
                <w:spacing w:val="11"/>
                <w:kern w:val="2"/>
                <w:sz w:val="24"/>
                <w:szCs w:val="24"/>
                <w:lang w:val="en-US" w:eastAsia="zh-CN"/>
              </w:rPr>
              <w:t>》的响应情况</w:t>
            </w:r>
            <w:r>
              <w:rPr>
                <w:rFonts w:hint="eastAsia" w:asciiTheme="minorEastAsia" w:hAnsiTheme="minorEastAsia" w:eastAsiaTheme="minorEastAsia" w:cstheme="minorEastAsia"/>
                <w:b/>
                <w:bCs/>
                <w:spacing w:val="11"/>
                <w:kern w:val="2"/>
                <w:sz w:val="24"/>
                <w:szCs w:val="24"/>
              </w:rPr>
              <w:t>。</w:t>
            </w:r>
          </w:p>
        </w:tc>
      </w:tr>
      <w:tr w14:paraId="30910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15" w:type="pct"/>
            <w:vMerge w:val="continue"/>
            <w:tcBorders>
              <w:top w:val="single" w:color="auto" w:sz="4" w:space="0"/>
              <w:left w:val="single" w:color="auto" w:sz="4" w:space="0"/>
              <w:bottom w:val="single" w:color="auto" w:sz="4" w:space="0"/>
              <w:right w:val="single" w:color="auto" w:sz="4" w:space="0"/>
            </w:tcBorders>
            <w:noWrap w:val="0"/>
            <w:vAlign w:val="center"/>
          </w:tcPr>
          <w:p w14:paraId="31A5EB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rPr>
            </w:pPr>
          </w:p>
        </w:tc>
        <w:tc>
          <w:tcPr>
            <w:tcW w:w="788" w:type="pct"/>
            <w:tcBorders>
              <w:top w:val="single" w:color="auto" w:sz="4" w:space="0"/>
              <w:left w:val="single" w:color="auto" w:sz="4" w:space="0"/>
              <w:bottom w:val="single" w:color="auto" w:sz="4" w:space="0"/>
              <w:right w:val="single" w:color="auto" w:sz="4" w:space="0"/>
            </w:tcBorders>
            <w:noWrap w:val="0"/>
            <w:vAlign w:val="center"/>
          </w:tcPr>
          <w:p w14:paraId="4AC322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8"/>
                <w:kern w:val="2"/>
                <w:sz w:val="24"/>
                <w:szCs w:val="24"/>
              </w:rPr>
              <w:t>项</w:t>
            </w:r>
            <w:r>
              <w:rPr>
                <w:rFonts w:hint="eastAsia" w:asciiTheme="minorEastAsia" w:hAnsiTheme="minorEastAsia" w:eastAsiaTheme="minorEastAsia" w:cstheme="minorEastAsia"/>
                <w:spacing w:val="7"/>
                <w:kern w:val="2"/>
                <w:sz w:val="24"/>
                <w:szCs w:val="24"/>
              </w:rPr>
              <w:t>目负责人</w:t>
            </w:r>
          </w:p>
        </w:tc>
        <w:tc>
          <w:tcPr>
            <w:tcW w:w="391" w:type="pct"/>
            <w:tcBorders>
              <w:top w:val="single" w:color="auto" w:sz="4" w:space="0"/>
              <w:left w:val="single" w:color="auto" w:sz="4" w:space="0"/>
              <w:bottom w:val="single" w:color="auto" w:sz="4" w:space="0"/>
              <w:right w:val="single" w:color="auto" w:sz="4" w:space="0"/>
            </w:tcBorders>
            <w:noWrap w:val="0"/>
            <w:vAlign w:val="center"/>
          </w:tcPr>
          <w:p w14:paraId="118B44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15"/>
                <w:kern w:val="2"/>
                <w:sz w:val="24"/>
                <w:szCs w:val="24"/>
                <w:lang w:val="en-US" w:eastAsia="zh-CN"/>
              </w:rPr>
              <w:t>20</w:t>
            </w:r>
            <w:r>
              <w:rPr>
                <w:rFonts w:hint="eastAsia" w:asciiTheme="minorEastAsia" w:hAnsiTheme="minorEastAsia" w:eastAsiaTheme="minorEastAsia" w:cstheme="minorEastAsia"/>
                <w:spacing w:val="-15"/>
                <w:kern w:val="2"/>
                <w:sz w:val="24"/>
                <w:szCs w:val="24"/>
              </w:rPr>
              <w:t>分</w:t>
            </w:r>
          </w:p>
        </w:tc>
        <w:tc>
          <w:tcPr>
            <w:tcW w:w="3105" w:type="pct"/>
            <w:tcBorders>
              <w:top w:val="single" w:color="auto" w:sz="4" w:space="0"/>
              <w:left w:val="single" w:color="auto" w:sz="4" w:space="0"/>
              <w:bottom w:val="single" w:color="auto" w:sz="4" w:space="0"/>
              <w:right w:val="single" w:color="auto" w:sz="4" w:space="0"/>
            </w:tcBorders>
            <w:noWrap w:val="0"/>
            <w:vAlign w:val="top"/>
          </w:tcPr>
          <w:p w14:paraId="46EEB2B2">
            <w:pPr>
              <w:keepNext w:val="0"/>
              <w:keepLines w:val="0"/>
              <w:pageBreakBefore w:val="0"/>
              <w:widowControl w:val="0"/>
              <w:kinsoku/>
              <w:wordWrap/>
              <w:overflowPunct/>
              <w:topLinePunct w:val="0"/>
              <w:autoSpaceDE/>
              <w:autoSpaceDN/>
              <w:bidi w:val="0"/>
              <w:adjustRightInd/>
              <w:snapToGrid/>
              <w:spacing w:line="560" w:lineRule="exact"/>
              <w:ind w:left="22" w:right="62"/>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18"/>
                <w:kern w:val="2"/>
                <w:sz w:val="24"/>
                <w:szCs w:val="24"/>
              </w:rPr>
              <w:t>拟</w:t>
            </w:r>
            <w:r>
              <w:rPr>
                <w:rFonts w:hint="eastAsia" w:asciiTheme="minorEastAsia" w:hAnsiTheme="minorEastAsia" w:eastAsiaTheme="minorEastAsia" w:cstheme="minorEastAsia"/>
                <w:spacing w:val="13"/>
                <w:kern w:val="2"/>
                <w:sz w:val="24"/>
                <w:szCs w:val="24"/>
              </w:rPr>
              <w:t>派</w:t>
            </w:r>
            <w:r>
              <w:rPr>
                <w:rFonts w:hint="eastAsia" w:asciiTheme="minorEastAsia" w:hAnsiTheme="minorEastAsia" w:eastAsiaTheme="minorEastAsia" w:cstheme="minorEastAsia"/>
                <w:spacing w:val="9"/>
                <w:kern w:val="2"/>
                <w:sz w:val="24"/>
                <w:szCs w:val="24"/>
              </w:rPr>
              <w:t>的项目负责人具备一级注册消防工程师证书的得</w:t>
            </w:r>
            <w:r>
              <w:rPr>
                <w:rFonts w:hint="eastAsia" w:asciiTheme="minorEastAsia" w:hAnsiTheme="minorEastAsia" w:eastAsiaTheme="minorEastAsia" w:cstheme="minorEastAsia"/>
                <w:spacing w:val="2"/>
                <w:kern w:val="2"/>
                <w:sz w:val="24"/>
                <w:szCs w:val="24"/>
                <w:lang w:val="en-US" w:eastAsia="zh-CN"/>
              </w:rPr>
              <w:t>10</w:t>
            </w:r>
            <w:r>
              <w:rPr>
                <w:rFonts w:hint="eastAsia" w:asciiTheme="minorEastAsia" w:hAnsiTheme="minorEastAsia" w:eastAsiaTheme="minorEastAsia" w:cstheme="minorEastAsia"/>
                <w:spacing w:val="2"/>
                <w:kern w:val="2"/>
                <w:sz w:val="24"/>
                <w:szCs w:val="24"/>
              </w:rPr>
              <w:t>分，具备建筑防火审核高级工程师的</w:t>
            </w:r>
            <w:r>
              <w:rPr>
                <w:rFonts w:hint="eastAsia" w:asciiTheme="minorEastAsia" w:hAnsiTheme="minorEastAsia" w:eastAsiaTheme="minorEastAsia" w:cstheme="minorEastAsia"/>
                <w:spacing w:val="1"/>
                <w:kern w:val="2"/>
                <w:sz w:val="24"/>
                <w:szCs w:val="24"/>
              </w:rPr>
              <w:t>得</w:t>
            </w:r>
            <w:r>
              <w:rPr>
                <w:rFonts w:hint="eastAsia" w:asciiTheme="minorEastAsia" w:hAnsiTheme="minorEastAsia" w:eastAsiaTheme="minorEastAsia" w:cstheme="minorEastAsia"/>
                <w:spacing w:val="1"/>
                <w:kern w:val="2"/>
                <w:sz w:val="24"/>
                <w:szCs w:val="24"/>
                <w:lang w:val="en-US" w:eastAsia="zh-CN"/>
              </w:rPr>
              <w:t>10</w:t>
            </w:r>
            <w:r>
              <w:rPr>
                <w:rFonts w:hint="eastAsia" w:asciiTheme="minorEastAsia" w:hAnsiTheme="minorEastAsia" w:eastAsiaTheme="minorEastAsia" w:cstheme="minorEastAsia"/>
                <w:spacing w:val="1"/>
                <w:kern w:val="2"/>
                <w:sz w:val="24"/>
                <w:szCs w:val="24"/>
              </w:rPr>
              <w:t>分，最多</w:t>
            </w:r>
            <w:r>
              <w:rPr>
                <w:rFonts w:hint="eastAsia" w:asciiTheme="minorEastAsia" w:hAnsiTheme="minorEastAsia" w:eastAsiaTheme="minorEastAsia" w:cstheme="minorEastAsia"/>
                <w:spacing w:val="-13"/>
                <w:kern w:val="2"/>
                <w:sz w:val="24"/>
                <w:szCs w:val="24"/>
              </w:rPr>
              <w:t>得</w:t>
            </w:r>
            <w:r>
              <w:rPr>
                <w:rFonts w:hint="eastAsia" w:asciiTheme="minorEastAsia" w:hAnsiTheme="minorEastAsia" w:eastAsiaTheme="minorEastAsia" w:cstheme="minorEastAsia"/>
                <w:spacing w:val="-13"/>
                <w:kern w:val="2"/>
                <w:sz w:val="24"/>
                <w:szCs w:val="24"/>
                <w:lang w:val="en-US" w:eastAsia="zh-CN"/>
              </w:rPr>
              <w:t>2</w:t>
            </w:r>
            <w:r>
              <w:rPr>
                <w:rFonts w:hint="eastAsia" w:asciiTheme="minorEastAsia" w:hAnsiTheme="minorEastAsia" w:eastAsiaTheme="minorEastAsia" w:cstheme="minorEastAsia"/>
                <w:spacing w:val="-13"/>
                <w:kern w:val="2"/>
                <w:sz w:val="24"/>
                <w:szCs w:val="24"/>
              </w:rPr>
              <w:t>0分。</w:t>
            </w:r>
          </w:p>
          <w:p w14:paraId="680944B5">
            <w:pPr>
              <w:keepNext w:val="0"/>
              <w:keepLines w:val="0"/>
              <w:pageBreakBefore w:val="0"/>
              <w:widowControl w:val="0"/>
              <w:kinsoku/>
              <w:wordWrap/>
              <w:overflowPunct/>
              <w:topLinePunct w:val="0"/>
              <w:autoSpaceDE/>
              <w:autoSpaceDN/>
              <w:bidi w:val="0"/>
              <w:adjustRightInd/>
              <w:snapToGrid/>
              <w:spacing w:line="560" w:lineRule="exact"/>
              <w:ind w:left="22" w:right="14" w:hanging="1"/>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b/>
                <w:bCs/>
                <w:spacing w:val="22"/>
                <w:kern w:val="2"/>
                <w:sz w:val="24"/>
                <w:szCs w:val="24"/>
              </w:rPr>
              <w:t>评</w:t>
            </w:r>
            <w:r>
              <w:rPr>
                <w:rFonts w:hint="eastAsia" w:asciiTheme="minorEastAsia" w:hAnsiTheme="minorEastAsia" w:eastAsiaTheme="minorEastAsia" w:cstheme="minorEastAsia"/>
                <w:b/>
                <w:bCs/>
                <w:spacing w:val="16"/>
                <w:kern w:val="2"/>
                <w:sz w:val="24"/>
                <w:szCs w:val="24"/>
              </w:rPr>
              <w:t>审</w:t>
            </w:r>
            <w:r>
              <w:rPr>
                <w:rFonts w:hint="eastAsia" w:asciiTheme="minorEastAsia" w:hAnsiTheme="minorEastAsia" w:eastAsiaTheme="minorEastAsia" w:cstheme="minorEastAsia"/>
                <w:b/>
                <w:bCs/>
                <w:spacing w:val="11"/>
                <w:kern w:val="2"/>
                <w:sz w:val="24"/>
                <w:szCs w:val="24"/>
              </w:rPr>
              <w:t>依据：</w:t>
            </w:r>
            <w:r>
              <w:rPr>
                <w:rFonts w:hint="eastAsia" w:asciiTheme="minorEastAsia" w:hAnsiTheme="minorEastAsia" w:eastAsiaTheme="minorEastAsia" w:cstheme="minorEastAsia"/>
                <w:b/>
                <w:bCs/>
                <w:spacing w:val="11"/>
                <w:kern w:val="2"/>
                <w:sz w:val="24"/>
                <w:szCs w:val="24"/>
                <w:lang w:val="en-US" w:eastAsia="zh-CN"/>
              </w:rPr>
              <w:t>响应文件内提供</w:t>
            </w:r>
            <w:r>
              <w:rPr>
                <w:rFonts w:hint="eastAsia" w:asciiTheme="minorEastAsia" w:hAnsiTheme="minorEastAsia" w:eastAsiaTheme="minorEastAsia" w:cstheme="minorEastAsia"/>
                <w:b/>
                <w:bCs/>
                <w:spacing w:val="11"/>
                <w:kern w:val="2"/>
                <w:sz w:val="24"/>
                <w:szCs w:val="24"/>
              </w:rPr>
              <w:t>项目负责人证书扫描件，并提供</w:t>
            </w:r>
            <w:r>
              <w:rPr>
                <w:rFonts w:hint="eastAsia" w:asciiTheme="minorEastAsia" w:hAnsiTheme="minorEastAsia" w:eastAsiaTheme="minorEastAsia" w:cstheme="minorEastAsia"/>
                <w:b/>
                <w:bCs/>
                <w:spacing w:val="11"/>
                <w:kern w:val="2"/>
                <w:sz w:val="24"/>
                <w:szCs w:val="24"/>
                <w:lang w:eastAsia="zh-CN"/>
              </w:rPr>
              <w:t>供应商</w:t>
            </w:r>
            <w:r>
              <w:rPr>
                <w:rFonts w:hint="eastAsia" w:asciiTheme="minorEastAsia" w:hAnsiTheme="minorEastAsia" w:eastAsiaTheme="minorEastAsia" w:cstheme="minorEastAsia"/>
                <w:b/>
                <w:bCs/>
                <w:spacing w:val="11"/>
                <w:kern w:val="2"/>
                <w:sz w:val="24"/>
                <w:szCs w:val="24"/>
              </w:rPr>
              <w:t>为</w:t>
            </w:r>
            <w:r>
              <w:rPr>
                <w:rFonts w:hint="eastAsia" w:asciiTheme="minorEastAsia" w:hAnsiTheme="minorEastAsia" w:eastAsiaTheme="minorEastAsia" w:cstheme="minorEastAsia"/>
                <w:b/>
                <w:bCs/>
                <w:spacing w:val="2"/>
                <w:kern w:val="2"/>
                <w:sz w:val="24"/>
                <w:szCs w:val="24"/>
              </w:rPr>
              <w:t>其在磋商时间前</w:t>
            </w:r>
            <w:r>
              <w:rPr>
                <w:rFonts w:hint="eastAsia" w:asciiTheme="minorEastAsia" w:hAnsiTheme="minorEastAsia" w:eastAsiaTheme="minorEastAsia" w:cstheme="minorEastAsia"/>
                <w:b/>
                <w:bCs/>
                <w:spacing w:val="1"/>
                <w:kern w:val="2"/>
                <w:sz w:val="24"/>
                <w:szCs w:val="24"/>
              </w:rPr>
              <w:t>6个月内</w:t>
            </w:r>
            <w:r>
              <w:rPr>
                <w:rFonts w:hint="eastAsia" w:asciiTheme="minorEastAsia" w:hAnsiTheme="minorEastAsia" w:eastAsiaTheme="minorEastAsia" w:cstheme="minorEastAsia"/>
                <w:b/>
                <w:bCs/>
                <w:spacing w:val="1"/>
                <w:kern w:val="2"/>
                <w:sz w:val="24"/>
                <w:szCs w:val="24"/>
                <w:lang w:eastAsia="zh-CN"/>
              </w:rPr>
              <w:t>（不含</w:t>
            </w:r>
            <w:r>
              <w:rPr>
                <w:rFonts w:hint="eastAsia" w:asciiTheme="minorEastAsia" w:hAnsiTheme="minorEastAsia" w:eastAsiaTheme="minorEastAsia" w:cstheme="minorEastAsia"/>
                <w:b/>
                <w:bCs/>
                <w:spacing w:val="1"/>
                <w:kern w:val="2"/>
                <w:sz w:val="24"/>
                <w:szCs w:val="24"/>
                <w:lang w:val="en-US" w:eastAsia="zh-CN"/>
              </w:rPr>
              <w:t>磋商</w:t>
            </w:r>
            <w:r>
              <w:rPr>
                <w:rFonts w:hint="eastAsia" w:asciiTheme="minorEastAsia" w:hAnsiTheme="minorEastAsia" w:eastAsiaTheme="minorEastAsia" w:cstheme="minorEastAsia"/>
                <w:b/>
                <w:bCs/>
                <w:spacing w:val="1"/>
                <w:kern w:val="2"/>
                <w:sz w:val="24"/>
                <w:szCs w:val="24"/>
                <w:lang w:eastAsia="zh-CN"/>
              </w:rPr>
              <w:t>当月）</w:t>
            </w:r>
            <w:r>
              <w:rPr>
                <w:rFonts w:hint="eastAsia" w:asciiTheme="minorEastAsia" w:hAnsiTheme="minorEastAsia" w:eastAsiaTheme="minorEastAsia" w:cstheme="minorEastAsia"/>
                <w:b/>
                <w:bCs/>
                <w:spacing w:val="1"/>
                <w:kern w:val="2"/>
                <w:sz w:val="24"/>
                <w:szCs w:val="24"/>
              </w:rPr>
              <w:t>任意1个月的社保缴纳凭证</w:t>
            </w:r>
            <w:r>
              <w:rPr>
                <w:rFonts w:hint="eastAsia" w:asciiTheme="minorEastAsia" w:hAnsiTheme="minorEastAsia" w:eastAsiaTheme="minorEastAsia" w:cstheme="minorEastAsia"/>
                <w:b/>
                <w:bCs/>
                <w:spacing w:val="10"/>
                <w:kern w:val="2"/>
                <w:sz w:val="24"/>
                <w:szCs w:val="24"/>
              </w:rPr>
              <w:t>佐证，如为军官转业，则提供自主择业证或转业证。</w:t>
            </w:r>
          </w:p>
        </w:tc>
      </w:tr>
      <w:tr w14:paraId="55CD0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15" w:type="pct"/>
            <w:vMerge w:val="continue"/>
            <w:tcBorders>
              <w:top w:val="single" w:color="auto" w:sz="4" w:space="0"/>
              <w:left w:val="single" w:color="auto" w:sz="4" w:space="0"/>
              <w:bottom w:val="single" w:color="auto" w:sz="4" w:space="0"/>
              <w:right w:val="single" w:color="auto" w:sz="4" w:space="0"/>
            </w:tcBorders>
            <w:noWrap w:val="0"/>
            <w:vAlign w:val="center"/>
          </w:tcPr>
          <w:p w14:paraId="78A3EC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rPr>
            </w:pPr>
          </w:p>
        </w:tc>
        <w:tc>
          <w:tcPr>
            <w:tcW w:w="788" w:type="pct"/>
            <w:tcBorders>
              <w:top w:val="single" w:color="auto" w:sz="4" w:space="0"/>
              <w:left w:val="single" w:color="auto" w:sz="4" w:space="0"/>
              <w:bottom w:val="single" w:color="auto" w:sz="4" w:space="0"/>
              <w:right w:val="single" w:color="auto" w:sz="4" w:space="0"/>
            </w:tcBorders>
            <w:noWrap w:val="0"/>
            <w:vAlign w:val="center"/>
          </w:tcPr>
          <w:p w14:paraId="5C6B82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9"/>
                <w:kern w:val="2"/>
                <w:sz w:val="24"/>
                <w:szCs w:val="24"/>
              </w:rPr>
              <w:t>服</w:t>
            </w:r>
            <w:r>
              <w:rPr>
                <w:rFonts w:hint="eastAsia" w:asciiTheme="minorEastAsia" w:hAnsiTheme="minorEastAsia" w:eastAsiaTheme="minorEastAsia" w:cstheme="minorEastAsia"/>
                <w:spacing w:val="7"/>
                <w:kern w:val="2"/>
                <w:sz w:val="24"/>
                <w:szCs w:val="24"/>
              </w:rPr>
              <w:t>务方案</w:t>
            </w:r>
          </w:p>
        </w:tc>
        <w:tc>
          <w:tcPr>
            <w:tcW w:w="391" w:type="pct"/>
            <w:tcBorders>
              <w:top w:val="single" w:color="auto" w:sz="4" w:space="0"/>
              <w:left w:val="single" w:color="auto" w:sz="4" w:space="0"/>
              <w:bottom w:val="single" w:color="auto" w:sz="4" w:space="0"/>
              <w:right w:val="single" w:color="auto" w:sz="4" w:space="0"/>
            </w:tcBorders>
            <w:noWrap w:val="0"/>
            <w:vAlign w:val="center"/>
          </w:tcPr>
          <w:p w14:paraId="79A991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13"/>
                <w:kern w:val="2"/>
                <w:sz w:val="24"/>
                <w:szCs w:val="24"/>
                <w:lang w:val="en-US" w:eastAsia="zh-CN"/>
              </w:rPr>
              <w:t>40</w:t>
            </w:r>
            <w:r>
              <w:rPr>
                <w:rFonts w:hint="eastAsia" w:asciiTheme="minorEastAsia" w:hAnsiTheme="minorEastAsia" w:eastAsiaTheme="minorEastAsia" w:cstheme="minorEastAsia"/>
                <w:spacing w:val="-11"/>
                <w:kern w:val="2"/>
                <w:sz w:val="24"/>
                <w:szCs w:val="24"/>
              </w:rPr>
              <w:t xml:space="preserve"> 分</w:t>
            </w:r>
          </w:p>
        </w:tc>
        <w:tc>
          <w:tcPr>
            <w:tcW w:w="3105" w:type="pct"/>
            <w:tcBorders>
              <w:top w:val="single" w:color="auto" w:sz="4" w:space="0"/>
              <w:left w:val="single" w:color="auto" w:sz="4" w:space="0"/>
              <w:bottom w:val="single" w:color="auto" w:sz="4" w:space="0"/>
              <w:right w:val="single" w:color="auto" w:sz="4" w:space="0"/>
            </w:tcBorders>
            <w:noWrap w:val="0"/>
            <w:vAlign w:val="top"/>
          </w:tcPr>
          <w:p w14:paraId="5BF198C3">
            <w:pPr>
              <w:keepNext w:val="0"/>
              <w:keepLines w:val="0"/>
              <w:pageBreakBefore w:val="0"/>
              <w:widowControl w:val="0"/>
              <w:kinsoku/>
              <w:wordWrap/>
              <w:overflowPunct/>
              <w:topLinePunct w:val="0"/>
              <w:autoSpaceDE/>
              <w:autoSpaceDN/>
              <w:bidi w:val="0"/>
              <w:adjustRightInd/>
              <w:snapToGrid/>
              <w:spacing w:line="560" w:lineRule="exact"/>
              <w:ind w:left="25"/>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22"/>
                <w:kern w:val="2"/>
                <w:sz w:val="24"/>
                <w:szCs w:val="24"/>
              </w:rPr>
              <w:t>根</w:t>
            </w:r>
            <w:r>
              <w:rPr>
                <w:rFonts w:hint="eastAsia" w:asciiTheme="minorEastAsia" w:hAnsiTheme="minorEastAsia" w:eastAsiaTheme="minorEastAsia" w:cstheme="minorEastAsia"/>
                <w:spacing w:val="15"/>
                <w:kern w:val="2"/>
                <w:sz w:val="24"/>
                <w:szCs w:val="24"/>
              </w:rPr>
              <w:t>据</w:t>
            </w:r>
            <w:r>
              <w:rPr>
                <w:rFonts w:hint="eastAsia" w:asciiTheme="minorEastAsia" w:hAnsiTheme="minorEastAsia" w:eastAsiaTheme="minorEastAsia" w:cstheme="minorEastAsia"/>
                <w:spacing w:val="11"/>
                <w:kern w:val="2"/>
                <w:sz w:val="24"/>
                <w:szCs w:val="24"/>
              </w:rPr>
              <w:t>质量管理和消防安全评估过程及相关的规章制度</w:t>
            </w:r>
            <w:r>
              <w:rPr>
                <w:rFonts w:hint="eastAsia" w:asciiTheme="minorEastAsia" w:hAnsiTheme="minorEastAsia" w:eastAsiaTheme="minorEastAsia" w:cstheme="minorEastAsia"/>
                <w:spacing w:val="13"/>
                <w:kern w:val="2"/>
                <w:sz w:val="24"/>
                <w:szCs w:val="24"/>
              </w:rPr>
              <w:t>提</w:t>
            </w:r>
            <w:r>
              <w:rPr>
                <w:rFonts w:hint="eastAsia" w:asciiTheme="minorEastAsia" w:hAnsiTheme="minorEastAsia" w:eastAsiaTheme="minorEastAsia" w:cstheme="minorEastAsia"/>
                <w:spacing w:val="11"/>
                <w:kern w:val="2"/>
                <w:sz w:val="24"/>
                <w:szCs w:val="24"/>
              </w:rPr>
              <w:t>供服务方案，</w:t>
            </w:r>
            <w:r>
              <w:rPr>
                <w:rFonts w:hint="eastAsia" w:asciiTheme="minorEastAsia" w:hAnsiTheme="minorEastAsia" w:eastAsiaTheme="minorEastAsia" w:cstheme="minorEastAsia"/>
                <w:spacing w:val="11"/>
                <w:kern w:val="2"/>
                <w:sz w:val="24"/>
                <w:szCs w:val="24"/>
                <w:lang w:val="en-US" w:eastAsia="zh-CN"/>
              </w:rPr>
              <w:t>服务</w:t>
            </w:r>
            <w:r>
              <w:rPr>
                <w:rFonts w:hint="eastAsia" w:asciiTheme="minorEastAsia" w:hAnsiTheme="minorEastAsia" w:eastAsiaTheme="minorEastAsia" w:cstheme="minorEastAsia"/>
                <w:spacing w:val="11"/>
                <w:kern w:val="2"/>
                <w:sz w:val="24"/>
                <w:szCs w:val="24"/>
              </w:rPr>
              <w:t>方案</w:t>
            </w:r>
            <w:r>
              <w:rPr>
                <w:rFonts w:hint="eastAsia" w:asciiTheme="minorEastAsia" w:hAnsiTheme="minorEastAsia" w:eastAsiaTheme="minorEastAsia" w:cstheme="minorEastAsia"/>
                <w:spacing w:val="11"/>
                <w:kern w:val="2"/>
                <w:sz w:val="24"/>
                <w:szCs w:val="24"/>
                <w:lang w:val="en-US" w:eastAsia="zh-CN"/>
              </w:rPr>
              <w:t>内容</w:t>
            </w:r>
            <w:r>
              <w:rPr>
                <w:rFonts w:hint="eastAsia" w:asciiTheme="minorEastAsia" w:hAnsiTheme="minorEastAsia" w:eastAsiaTheme="minorEastAsia" w:cstheme="minorEastAsia"/>
                <w:spacing w:val="11"/>
                <w:kern w:val="2"/>
                <w:sz w:val="24"/>
                <w:szCs w:val="24"/>
              </w:rPr>
              <w:t>包含但不限于：项目管理、</w:t>
            </w:r>
            <w:r>
              <w:rPr>
                <w:rFonts w:hint="eastAsia" w:asciiTheme="minorEastAsia" w:hAnsiTheme="minorEastAsia" w:eastAsiaTheme="minorEastAsia" w:cstheme="minorEastAsia"/>
                <w:spacing w:val="16"/>
                <w:kern w:val="2"/>
                <w:sz w:val="24"/>
                <w:szCs w:val="24"/>
              </w:rPr>
              <w:t>人</w:t>
            </w:r>
            <w:r>
              <w:rPr>
                <w:rFonts w:hint="eastAsia" w:asciiTheme="minorEastAsia" w:hAnsiTheme="minorEastAsia" w:eastAsiaTheme="minorEastAsia" w:cstheme="minorEastAsia"/>
                <w:spacing w:val="10"/>
                <w:kern w:val="2"/>
                <w:sz w:val="24"/>
                <w:szCs w:val="24"/>
              </w:rPr>
              <w:t>员</w:t>
            </w:r>
            <w:r>
              <w:rPr>
                <w:rFonts w:hint="eastAsia" w:asciiTheme="minorEastAsia" w:hAnsiTheme="minorEastAsia" w:eastAsiaTheme="minorEastAsia" w:cstheme="minorEastAsia"/>
                <w:spacing w:val="8"/>
                <w:kern w:val="2"/>
                <w:sz w:val="24"/>
                <w:szCs w:val="24"/>
              </w:rPr>
              <w:t>安排、进度控制、保密制度。</w:t>
            </w:r>
          </w:p>
          <w:p w14:paraId="6B7732F7">
            <w:pPr>
              <w:keepNext w:val="0"/>
              <w:keepLines w:val="0"/>
              <w:pageBreakBefore w:val="0"/>
              <w:widowControl w:val="0"/>
              <w:kinsoku/>
              <w:wordWrap/>
              <w:overflowPunct/>
              <w:topLinePunct w:val="0"/>
              <w:autoSpaceDE/>
              <w:autoSpaceDN/>
              <w:bidi w:val="0"/>
              <w:adjustRightInd/>
              <w:snapToGrid/>
              <w:spacing w:line="560" w:lineRule="exact"/>
              <w:ind w:left="25"/>
              <w:textAlignment w:val="auto"/>
              <w:rPr>
                <w:rFonts w:hint="eastAsia" w:asciiTheme="minorEastAsia" w:hAnsiTheme="minorEastAsia" w:eastAsiaTheme="minorEastAsia" w:cstheme="minorEastAsia"/>
                <w:spacing w:val="11"/>
                <w:kern w:val="2"/>
                <w:sz w:val="24"/>
                <w:szCs w:val="24"/>
              </w:rPr>
            </w:pPr>
            <w:r>
              <w:rPr>
                <w:rFonts w:hint="eastAsia" w:asciiTheme="minorEastAsia" w:hAnsiTheme="minorEastAsia" w:eastAsiaTheme="minorEastAsia" w:cstheme="minorEastAsia"/>
                <w:spacing w:val="11"/>
                <w:kern w:val="2"/>
                <w:sz w:val="24"/>
                <w:szCs w:val="24"/>
                <w:lang w:val="en-US" w:eastAsia="zh-CN"/>
              </w:rPr>
              <w:t>1.</w:t>
            </w:r>
            <w:r>
              <w:rPr>
                <w:rFonts w:hint="eastAsia" w:asciiTheme="minorEastAsia" w:hAnsiTheme="minorEastAsia" w:eastAsiaTheme="minorEastAsia" w:cstheme="minorEastAsia"/>
                <w:spacing w:val="11"/>
                <w:kern w:val="2"/>
                <w:sz w:val="24"/>
                <w:szCs w:val="24"/>
              </w:rPr>
              <w:t>供应商根据本项目实际情况编制项目管理方案：必须包含且不限于①项目</w:t>
            </w:r>
            <w:r>
              <w:rPr>
                <w:rFonts w:hint="eastAsia" w:asciiTheme="minorEastAsia" w:hAnsiTheme="minorEastAsia" w:eastAsiaTheme="minorEastAsia" w:cstheme="minorEastAsia"/>
                <w:spacing w:val="11"/>
                <w:kern w:val="2"/>
                <w:sz w:val="24"/>
                <w:szCs w:val="24"/>
                <w:lang w:eastAsia="zh-CN"/>
              </w:rPr>
              <w:t>目</w:t>
            </w:r>
            <w:r>
              <w:rPr>
                <w:rFonts w:hint="eastAsia" w:asciiTheme="minorEastAsia" w:hAnsiTheme="minorEastAsia" w:eastAsiaTheme="minorEastAsia" w:cstheme="minorEastAsia"/>
                <w:spacing w:val="11"/>
                <w:kern w:val="2"/>
                <w:sz w:val="24"/>
                <w:szCs w:val="24"/>
                <w:lang w:val="en-US" w:eastAsia="zh-CN"/>
              </w:rPr>
              <w:t>标</w:t>
            </w:r>
            <w:r>
              <w:rPr>
                <w:rFonts w:hint="eastAsia" w:asciiTheme="minorEastAsia" w:hAnsiTheme="minorEastAsia" w:eastAsiaTheme="minorEastAsia" w:cstheme="minorEastAsia"/>
                <w:spacing w:val="11"/>
                <w:kern w:val="2"/>
                <w:sz w:val="24"/>
                <w:szCs w:val="24"/>
              </w:rPr>
              <w:t>②</w:t>
            </w:r>
            <w:r>
              <w:rPr>
                <w:rFonts w:hint="eastAsia" w:asciiTheme="minorEastAsia" w:hAnsiTheme="minorEastAsia" w:eastAsiaTheme="minorEastAsia" w:cstheme="minorEastAsia"/>
                <w:spacing w:val="11"/>
                <w:kern w:val="2"/>
                <w:sz w:val="24"/>
                <w:szCs w:val="24"/>
                <w:lang w:eastAsia="zh-CN"/>
              </w:rPr>
              <w:t>评估</w:t>
            </w:r>
            <w:r>
              <w:rPr>
                <w:rFonts w:hint="eastAsia" w:asciiTheme="minorEastAsia" w:hAnsiTheme="minorEastAsia" w:eastAsiaTheme="minorEastAsia" w:cstheme="minorEastAsia"/>
                <w:spacing w:val="11"/>
                <w:kern w:val="2"/>
                <w:sz w:val="24"/>
                <w:szCs w:val="24"/>
                <w:lang w:val="en-US" w:eastAsia="zh-CN"/>
              </w:rPr>
              <w:t>依据</w:t>
            </w:r>
            <w:r>
              <w:rPr>
                <w:rFonts w:hint="eastAsia" w:asciiTheme="minorEastAsia" w:hAnsiTheme="minorEastAsia" w:eastAsiaTheme="minorEastAsia" w:cstheme="minorEastAsia"/>
                <w:spacing w:val="11"/>
                <w:kern w:val="2"/>
                <w:sz w:val="24"/>
                <w:szCs w:val="24"/>
              </w:rPr>
              <w:t>③</w:t>
            </w:r>
            <w:r>
              <w:rPr>
                <w:rFonts w:hint="eastAsia" w:asciiTheme="minorEastAsia" w:hAnsiTheme="minorEastAsia" w:eastAsiaTheme="minorEastAsia" w:cstheme="minorEastAsia"/>
                <w:spacing w:val="11"/>
                <w:kern w:val="2"/>
                <w:sz w:val="24"/>
                <w:szCs w:val="24"/>
                <w:lang w:val="en-US" w:eastAsia="zh-CN"/>
              </w:rPr>
              <w:t>评估内容与方法</w:t>
            </w:r>
            <w:r>
              <w:rPr>
                <w:rFonts w:hint="eastAsia" w:asciiTheme="minorEastAsia" w:hAnsiTheme="minorEastAsia" w:eastAsiaTheme="minorEastAsia" w:cstheme="minorEastAsia"/>
                <w:spacing w:val="11"/>
                <w:kern w:val="2"/>
                <w:sz w:val="24"/>
                <w:szCs w:val="24"/>
              </w:rPr>
              <w:t>④</w:t>
            </w:r>
            <w:r>
              <w:rPr>
                <w:rFonts w:hint="eastAsia" w:asciiTheme="minorEastAsia" w:hAnsiTheme="minorEastAsia" w:eastAsiaTheme="minorEastAsia" w:cstheme="minorEastAsia"/>
                <w:spacing w:val="11"/>
                <w:kern w:val="2"/>
                <w:sz w:val="24"/>
                <w:szCs w:val="24"/>
                <w:lang w:eastAsia="zh-CN"/>
              </w:rPr>
              <w:t>服务</w:t>
            </w:r>
            <w:r>
              <w:rPr>
                <w:rFonts w:hint="eastAsia" w:asciiTheme="minorEastAsia" w:hAnsiTheme="minorEastAsia" w:eastAsiaTheme="minorEastAsia" w:cstheme="minorEastAsia"/>
                <w:spacing w:val="11"/>
                <w:kern w:val="2"/>
                <w:sz w:val="24"/>
                <w:szCs w:val="24"/>
                <w:lang w:val="en-US" w:eastAsia="zh-CN"/>
              </w:rPr>
              <w:t>标准</w:t>
            </w:r>
            <w:r>
              <w:rPr>
                <w:rFonts w:hint="eastAsia" w:asciiTheme="minorEastAsia" w:hAnsiTheme="minorEastAsia" w:eastAsiaTheme="minorEastAsia" w:cstheme="minorEastAsia"/>
                <w:spacing w:val="11"/>
                <w:kern w:val="2"/>
                <w:sz w:val="24"/>
                <w:szCs w:val="24"/>
              </w:rPr>
              <w:t>等；</w:t>
            </w:r>
          </w:p>
          <w:p w14:paraId="660BFFD3">
            <w:pPr>
              <w:keepNext w:val="0"/>
              <w:keepLines w:val="0"/>
              <w:pageBreakBefore w:val="0"/>
              <w:widowControl w:val="0"/>
              <w:kinsoku/>
              <w:wordWrap/>
              <w:overflowPunct/>
              <w:topLinePunct w:val="0"/>
              <w:autoSpaceDE/>
              <w:autoSpaceDN/>
              <w:bidi w:val="0"/>
              <w:adjustRightInd/>
              <w:snapToGrid/>
              <w:spacing w:line="560" w:lineRule="exact"/>
              <w:ind w:left="25"/>
              <w:textAlignment w:val="auto"/>
              <w:rPr>
                <w:rFonts w:hint="eastAsia" w:asciiTheme="minorEastAsia" w:hAnsiTheme="minorEastAsia" w:eastAsiaTheme="minorEastAsia" w:cstheme="minorEastAsia"/>
                <w:spacing w:val="11"/>
                <w:kern w:val="2"/>
                <w:sz w:val="24"/>
                <w:szCs w:val="24"/>
              </w:rPr>
            </w:pPr>
            <w:r>
              <w:rPr>
                <w:rFonts w:hint="eastAsia" w:asciiTheme="minorEastAsia" w:hAnsiTheme="minorEastAsia" w:eastAsiaTheme="minorEastAsia" w:cstheme="minorEastAsia"/>
                <w:spacing w:val="11"/>
                <w:kern w:val="2"/>
                <w:sz w:val="24"/>
                <w:szCs w:val="24"/>
                <w:lang w:val="en-US" w:eastAsia="zh-CN"/>
              </w:rPr>
              <w:t>2.</w:t>
            </w:r>
            <w:r>
              <w:rPr>
                <w:rFonts w:hint="eastAsia" w:asciiTheme="minorEastAsia" w:hAnsiTheme="minorEastAsia" w:eastAsiaTheme="minorEastAsia" w:cstheme="minorEastAsia"/>
                <w:spacing w:val="11"/>
                <w:kern w:val="2"/>
                <w:sz w:val="24"/>
                <w:szCs w:val="24"/>
              </w:rPr>
              <w:t>供应商根据本项目实际情况编制人员安排方案：必须包含且不限于①</w:t>
            </w:r>
            <w:r>
              <w:rPr>
                <w:rFonts w:hint="eastAsia" w:asciiTheme="minorEastAsia" w:hAnsiTheme="minorEastAsia" w:eastAsiaTheme="minorEastAsia" w:cstheme="minorEastAsia"/>
                <w:spacing w:val="11"/>
                <w:kern w:val="2"/>
                <w:sz w:val="24"/>
                <w:szCs w:val="24"/>
                <w:lang w:val="en-US" w:eastAsia="zh-CN"/>
              </w:rPr>
              <w:t>组织架构</w:t>
            </w:r>
            <w:r>
              <w:rPr>
                <w:rFonts w:hint="eastAsia" w:asciiTheme="minorEastAsia" w:hAnsiTheme="minorEastAsia" w:eastAsiaTheme="minorEastAsia" w:cstheme="minorEastAsia"/>
                <w:spacing w:val="11"/>
                <w:kern w:val="2"/>
                <w:sz w:val="24"/>
                <w:szCs w:val="24"/>
              </w:rPr>
              <w:t>②</w:t>
            </w:r>
            <w:r>
              <w:rPr>
                <w:rFonts w:hint="eastAsia" w:asciiTheme="minorEastAsia" w:hAnsiTheme="minorEastAsia" w:eastAsiaTheme="minorEastAsia" w:cstheme="minorEastAsia"/>
                <w:spacing w:val="11"/>
                <w:kern w:val="2"/>
                <w:sz w:val="24"/>
                <w:szCs w:val="24"/>
                <w:lang w:val="en-US" w:eastAsia="zh-CN"/>
              </w:rPr>
              <w:t>人员资质</w:t>
            </w:r>
            <w:r>
              <w:rPr>
                <w:rFonts w:hint="eastAsia" w:asciiTheme="minorEastAsia" w:hAnsiTheme="minorEastAsia" w:eastAsiaTheme="minorEastAsia" w:cstheme="minorEastAsia"/>
                <w:spacing w:val="11"/>
                <w:kern w:val="2"/>
                <w:sz w:val="24"/>
                <w:szCs w:val="24"/>
              </w:rPr>
              <w:t>③</w:t>
            </w:r>
            <w:r>
              <w:rPr>
                <w:rFonts w:hint="eastAsia" w:asciiTheme="minorEastAsia" w:hAnsiTheme="minorEastAsia" w:eastAsiaTheme="minorEastAsia" w:cstheme="minorEastAsia"/>
                <w:spacing w:val="11"/>
                <w:kern w:val="2"/>
                <w:sz w:val="24"/>
                <w:szCs w:val="24"/>
                <w:lang w:val="en-US" w:eastAsia="zh-CN"/>
              </w:rPr>
              <w:t>岗位职责</w:t>
            </w:r>
            <w:r>
              <w:rPr>
                <w:rFonts w:hint="eastAsia" w:asciiTheme="minorEastAsia" w:hAnsiTheme="minorEastAsia" w:eastAsiaTheme="minorEastAsia" w:cstheme="minorEastAsia"/>
                <w:spacing w:val="11"/>
                <w:kern w:val="2"/>
                <w:sz w:val="24"/>
                <w:szCs w:val="24"/>
              </w:rPr>
              <w:t>④</w:t>
            </w:r>
            <w:r>
              <w:rPr>
                <w:rFonts w:hint="eastAsia" w:asciiTheme="minorEastAsia" w:hAnsiTheme="minorEastAsia" w:eastAsiaTheme="minorEastAsia" w:cstheme="minorEastAsia"/>
                <w:spacing w:val="11"/>
                <w:kern w:val="2"/>
                <w:sz w:val="24"/>
                <w:szCs w:val="24"/>
                <w:lang w:val="en-US" w:eastAsia="zh-CN"/>
              </w:rPr>
              <w:t>考核标准</w:t>
            </w:r>
            <w:r>
              <w:rPr>
                <w:rFonts w:hint="eastAsia" w:asciiTheme="minorEastAsia" w:hAnsiTheme="minorEastAsia" w:eastAsiaTheme="minorEastAsia" w:cstheme="minorEastAsia"/>
                <w:spacing w:val="11"/>
                <w:kern w:val="2"/>
                <w:sz w:val="24"/>
                <w:szCs w:val="24"/>
              </w:rPr>
              <w:t>等；</w:t>
            </w:r>
          </w:p>
          <w:p w14:paraId="14C95A52">
            <w:pPr>
              <w:keepNext w:val="0"/>
              <w:keepLines w:val="0"/>
              <w:pageBreakBefore w:val="0"/>
              <w:widowControl w:val="0"/>
              <w:kinsoku/>
              <w:wordWrap/>
              <w:overflowPunct/>
              <w:topLinePunct w:val="0"/>
              <w:autoSpaceDE/>
              <w:autoSpaceDN/>
              <w:bidi w:val="0"/>
              <w:adjustRightInd/>
              <w:snapToGrid/>
              <w:spacing w:line="560" w:lineRule="exact"/>
              <w:ind w:left="25"/>
              <w:textAlignment w:val="auto"/>
              <w:rPr>
                <w:rFonts w:hint="eastAsia" w:asciiTheme="minorEastAsia" w:hAnsiTheme="minorEastAsia" w:eastAsiaTheme="minorEastAsia" w:cstheme="minorEastAsia"/>
                <w:spacing w:val="11"/>
                <w:kern w:val="2"/>
                <w:sz w:val="24"/>
                <w:szCs w:val="24"/>
              </w:rPr>
            </w:pPr>
            <w:r>
              <w:rPr>
                <w:rFonts w:hint="eastAsia" w:asciiTheme="minorEastAsia" w:hAnsiTheme="minorEastAsia" w:eastAsiaTheme="minorEastAsia" w:cstheme="minorEastAsia"/>
                <w:spacing w:val="11"/>
                <w:kern w:val="2"/>
                <w:sz w:val="24"/>
                <w:szCs w:val="24"/>
                <w:lang w:val="en-US" w:eastAsia="zh-CN"/>
              </w:rPr>
              <w:t>3.</w:t>
            </w:r>
            <w:r>
              <w:rPr>
                <w:rFonts w:hint="eastAsia" w:asciiTheme="minorEastAsia" w:hAnsiTheme="minorEastAsia" w:eastAsiaTheme="minorEastAsia" w:cstheme="minorEastAsia"/>
                <w:spacing w:val="11"/>
                <w:kern w:val="2"/>
                <w:sz w:val="24"/>
                <w:szCs w:val="24"/>
              </w:rPr>
              <w:t>供应商根据本项目实际情况编制进度控制方案：必须包含且不限于①</w:t>
            </w:r>
            <w:r>
              <w:rPr>
                <w:rFonts w:hint="eastAsia" w:asciiTheme="minorEastAsia" w:hAnsiTheme="minorEastAsia" w:eastAsiaTheme="minorEastAsia" w:cstheme="minorEastAsia"/>
                <w:spacing w:val="11"/>
                <w:kern w:val="2"/>
                <w:sz w:val="24"/>
                <w:szCs w:val="24"/>
                <w:lang w:val="en-US" w:eastAsia="zh-CN"/>
              </w:rPr>
              <w:t>阶段划分与时间节点</w:t>
            </w:r>
            <w:r>
              <w:rPr>
                <w:rFonts w:hint="eastAsia" w:asciiTheme="minorEastAsia" w:hAnsiTheme="minorEastAsia" w:eastAsiaTheme="minorEastAsia" w:cstheme="minorEastAsia"/>
                <w:spacing w:val="11"/>
                <w:kern w:val="2"/>
                <w:sz w:val="24"/>
                <w:szCs w:val="24"/>
              </w:rPr>
              <w:t>②</w:t>
            </w:r>
            <w:r>
              <w:rPr>
                <w:rFonts w:hint="eastAsia" w:asciiTheme="minorEastAsia" w:hAnsiTheme="minorEastAsia" w:eastAsiaTheme="minorEastAsia" w:cstheme="minorEastAsia"/>
                <w:spacing w:val="11"/>
                <w:kern w:val="2"/>
                <w:sz w:val="24"/>
                <w:szCs w:val="24"/>
                <w:lang w:val="en-US" w:eastAsia="zh-CN"/>
              </w:rPr>
              <w:t>进度保障措施</w:t>
            </w:r>
            <w:r>
              <w:rPr>
                <w:rFonts w:hint="eastAsia" w:asciiTheme="minorEastAsia" w:hAnsiTheme="minorEastAsia" w:eastAsiaTheme="minorEastAsia" w:cstheme="minorEastAsia"/>
                <w:spacing w:val="11"/>
                <w:kern w:val="2"/>
                <w:sz w:val="24"/>
                <w:szCs w:val="24"/>
              </w:rPr>
              <w:t>③</w:t>
            </w:r>
            <w:r>
              <w:rPr>
                <w:rFonts w:hint="eastAsia" w:asciiTheme="minorEastAsia" w:hAnsiTheme="minorEastAsia" w:eastAsiaTheme="minorEastAsia" w:cstheme="minorEastAsia"/>
                <w:spacing w:val="11"/>
                <w:kern w:val="2"/>
                <w:sz w:val="24"/>
                <w:szCs w:val="24"/>
                <w:lang w:val="en-US" w:eastAsia="zh-CN"/>
              </w:rPr>
              <w:t>进度跟踪与考核</w:t>
            </w:r>
            <w:r>
              <w:rPr>
                <w:rFonts w:hint="eastAsia" w:asciiTheme="minorEastAsia" w:hAnsiTheme="minorEastAsia" w:eastAsiaTheme="minorEastAsia" w:cstheme="minorEastAsia"/>
                <w:spacing w:val="11"/>
                <w:kern w:val="2"/>
                <w:sz w:val="24"/>
                <w:szCs w:val="24"/>
              </w:rPr>
              <w:t>④</w:t>
            </w:r>
            <w:r>
              <w:rPr>
                <w:rFonts w:hint="eastAsia" w:asciiTheme="minorEastAsia" w:hAnsiTheme="minorEastAsia" w:eastAsiaTheme="minorEastAsia" w:cstheme="minorEastAsia"/>
                <w:spacing w:val="11"/>
                <w:kern w:val="2"/>
                <w:sz w:val="24"/>
                <w:szCs w:val="24"/>
                <w:lang w:val="en-US" w:eastAsia="zh-CN"/>
              </w:rPr>
              <w:t>延误处理机制等</w:t>
            </w:r>
            <w:r>
              <w:rPr>
                <w:rFonts w:hint="eastAsia" w:asciiTheme="minorEastAsia" w:hAnsiTheme="minorEastAsia" w:eastAsiaTheme="minorEastAsia" w:cstheme="minorEastAsia"/>
                <w:spacing w:val="11"/>
                <w:kern w:val="2"/>
                <w:sz w:val="24"/>
                <w:szCs w:val="24"/>
              </w:rPr>
              <w:t>；</w:t>
            </w:r>
          </w:p>
          <w:p w14:paraId="515A871F">
            <w:pPr>
              <w:keepNext w:val="0"/>
              <w:keepLines w:val="0"/>
              <w:pageBreakBefore w:val="0"/>
              <w:widowControl w:val="0"/>
              <w:kinsoku/>
              <w:wordWrap/>
              <w:overflowPunct/>
              <w:topLinePunct w:val="0"/>
              <w:autoSpaceDE/>
              <w:autoSpaceDN/>
              <w:bidi w:val="0"/>
              <w:adjustRightInd/>
              <w:snapToGrid/>
              <w:spacing w:line="560" w:lineRule="exact"/>
              <w:ind w:left="25"/>
              <w:textAlignment w:val="auto"/>
              <w:rPr>
                <w:rFonts w:hint="eastAsia" w:asciiTheme="minorEastAsia" w:hAnsiTheme="minorEastAsia" w:eastAsiaTheme="minorEastAsia" w:cstheme="minorEastAsia"/>
                <w:spacing w:val="11"/>
                <w:kern w:val="2"/>
                <w:sz w:val="24"/>
                <w:szCs w:val="24"/>
              </w:rPr>
            </w:pPr>
            <w:r>
              <w:rPr>
                <w:rFonts w:hint="eastAsia" w:asciiTheme="minorEastAsia" w:hAnsiTheme="minorEastAsia" w:eastAsiaTheme="minorEastAsia" w:cstheme="minorEastAsia"/>
                <w:spacing w:val="11"/>
                <w:kern w:val="2"/>
                <w:sz w:val="24"/>
                <w:szCs w:val="24"/>
                <w:lang w:val="en-US" w:eastAsia="zh-CN"/>
              </w:rPr>
              <w:t>4.</w:t>
            </w:r>
            <w:r>
              <w:rPr>
                <w:rFonts w:hint="eastAsia" w:asciiTheme="minorEastAsia" w:hAnsiTheme="minorEastAsia" w:eastAsiaTheme="minorEastAsia" w:cstheme="minorEastAsia"/>
                <w:spacing w:val="11"/>
                <w:kern w:val="2"/>
                <w:sz w:val="24"/>
                <w:szCs w:val="24"/>
              </w:rPr>
              <w:t>供应商根据本项目实际情况编制</w:t>
            </w:r>
            <w:r>
              <w:rPr>
                <w:rFonts w:hint="eastAsia" w:asciiTheme="minorEastAsia" w:hAnsiTheme="minorEastAsia" w:eastAsiaTheme="minorEastAsia" w:cstheme="minorEastAsia"/>
                <w:spacing w:val="11"/>
                <w:kern w:val="2"/>
                <w:sz w:val="24"/>
                <w:szCs w:val="24"/>
                <w:lang w:val="en-US" w:eastAsia="zh-CN"/>
              </w:rPr>
              <w:t>保密制度</w:t>
            </w:r>
            <w:r>
              <w:rPr>
                <w:rFonts w:hint="eastAsia" w:asciiTheme="minorEastAsia" w:hAnsiTheme="minorEastAsia" w:eastAsiaTheme="minorEastAsia" w:cstheme="minorEastAsia"/>
                <w:spacing w:val="11"/>
                <w:kern w:val="2"/>
                <w:sz w:val="24"/>
                <w:szCs w:val="24"/>
              </w:rPr>
              <w:t>方案：必须包含且不限于①</w:t>
            </w:r>
            <w:r>
              <w:rPr>
                <w:rFonts w:hint="eastAsia" w:asciiTheme="minorEastAsia" w:hAnsiTheme="minorEastAsia" w:eastAsiaTheme="minorEastAsia" w:cstheme="minorEastAsia"/>
                <w:spacing w:val="11"/>
                <w:kern w:val="2"/>
                <w:sz w:val="24"/>
                <w:szCs w:val="24"/>
                <w:lang w:val="en-US" w:eastAsia="zh-CN"/>
              </w:rPr>
              <w:t>保密范围</w:t>
            </w:r>
            <w:r>
              <w:rPr>
                <w:rFonts w:hint="eastAsia" w:asciiTheme="minorEastAsia" w:hAnsiTheme="minorEastAsia" w:eastAsiaTheme="minorEastAsia" w:cstheme="minorEastAsia"/>
                <w:spacing w:val="11"/>
                <w:kern w:val="2"/>
                <w:sz w:val="24"/>
                <w:szCs w:val="24"/>
              </w:rPr>
              <w:t>②</w:t>
            </w:r>
            <w:r>
              <w:rPr>
                <w:rFonts w:hint="eastAsia" w:asciiTheme="minorEastAsia" w:hAnsiTheme="minorEastAsia" w:eastAsiaTheme="minorEastAsia" w:cstheme="minorEastAsia"/>
                <w:spacing w:val="11"/>
                <w:kern w:val="2"/>
                <w:sz w:val="24"/>
                <w:szCs w:val="24"/>
                <w:lang w:val="en-US" w:eastAsia="zh-CN"/>
              </w:rPr>
              <w:t>保密责任</w:t>
            </w:r>
            <w:r>
              <w:rPr>
                <w:rFonts w:hint="eastAsia" w:asciiTheme="minorEastAsia" w:hAnsiTheme="minorEastAsia" w:eastAsiaTheme="minorEastAsia" w:cstheme="minorEastAsia"/>
                <w:spacing w:val="11"/>
                <w:kern w:val="2"/>
                <w:sz w:val="24"/>
                <w:szCs w:val="24"/>
              </w:rPr>
              <w:t>③</w:t>
            </w:r>
            <w:r>
              <w:rPr>
                <w:rFonts w:hint="eastAsia" w:asciiTheme="minorEastAsia" w:hAnsiTheme="minorEastAsia" w:eastAsiaTheme="minorEastAsia" w:cstheme="minorEastAsia"/>
                <w:spacing w:val="11"/>
                <w:kern w:val="2"/>
                <w:sz w:val="24"/>
                <w:szCs w:val="24"/>
                <w:lang w:val="en-US" w:eastAsia="zh-CN"/>
              </w:rPr>
              <w:t>保密措施</w:t>
            </w:r>
            <w:r>
              <w:rPr>
                <w:rFonts w:hint="eastAsia" w:asciiTheme="minorEastAsia" w:hAnsiTheme="minorEastAsia" w:eastAsiaTheme="minorEastAsia" w:cstheme="minorEastAsia"/>
                <w:spacing w:val="11"/>
                <w:kern w:val="2"/>
                <w:sz w:val="24"/>
                <w:szCs w:val="24"/>
              </w:rPr>
              <w:t>④</w:t>
            </w:r>
            <w:r>
              <w:rPr>
                <w:rFonts w:hint="eastAsia" w:asciiTheme="minorEastAsia" w:hAnsiTheme="minorEastAsia" w:eastAsiaTheme="minorEastAsia" w:cstheme="minorEastAsia"/>
                <w:spacing w:val="11"/>
                <w:kern w:val="2"/>
                <w:sz w:val="24"/>
                <w:szCs w:val="24"/>
                <w:lang w:val="en-US" w:eastAsia="zh-CN"/>
              </w:rPr>
              <w:t>责任追究等</w:t>
            </w:r>
            <w:r>
              <w:rPr>
                <w:rFonts w:hint="eastAsia" w:asciiTheme="minorEastAsia" w:hAnsiTheme="minorEastAsia" w:eastAsiaTheme="minorEastAsia" w:cstheme="minorEastAsia"/>
                <w:spacing w:val="11"/>
                <w:kern w:val="2"/>
                <w:sz w:val="24"/>
                <w:szCs w:val="24"/>
              </w:rPr>
              <w:t>；</w:t>
            </w:r>
          </w:p>
          <w:p w14:paraId="2E17122E">
            <w:pPr>
              <w:keepNext w:val="0"/>
              <w:keepLines w:val="0"/>
              <w:pageBreakBefore w:val="0"/>
              <w:widowControl w:val="0"/>
              <w:kinsoku/>
              <w:wordWrap/>
              <w:overflowPunct/>
              <w:topLinePunct w:val="0"/>
              <w:autoSpaceDE/>
              <w:autoSpaceDN/>
              <w:bidi w:val="0"/>
              <w:adjustRightInd/>
              <w:snapToGrid/>
              <w:spacing w:line="560" w:lineRule="exact"/>
              <w:ind w:left="25" w:firstLine="0" w:firstLineChars="0"/>
              <w:jc w:val="left"/>
              <w:textAlignment w:val="auto"/>
              <w:rPr>
                <w:rFonts w:hint="eastAsia" w:asciiTheme="minorEastAsia" w:hAnsiTheme="minorEastAsia" w:eastAsiaTheme="minorEastAsia" w:cstheme="minorEastAsia"/>
                <w:bCs w:val="0"/>
                <w:spacing w:val="13"/>
                <w:kern w:val="2"/>
                <w:sz w:val="24"/>
                <w:szCs w:val="24"/>
              </w:rPr>
            </w:pPr>
            <w:r>
              <w:rPr>
                <w:rFonts w:hint="eastAsia" w:asciiTheme="minorEastAsia" w:hAnsiTheme="minorEastAsia" w:eastAsiaTheme="minorEastAsia" w:cstheme="minorEastAsia"/>
                <w:bCs w:val="0"/>
                <w:spacing w:val="13"/>
                <w:kern w:val="2"/>
                <w:sz w:val="24"/>
                <w:szCs w:val="24"/>
              </w:rPr>
              <w:t>供应商根据上述</w:t>
            </w:r>
            <w:r>
              <w:rPr>
                <w:rFonts w:hint="eastAsia" w:asciiTheme="minorEastAsia" w:hAnsiTheme="minorEastAsia" w:eastAsiaTheme="minorEastAsia" w:cstheme="minorEastAsia"/>
                <w:bCs w:val="0"/>
                <w:spacing w:val="13"/>
                <w:kern w:val="2"/>
                <w:sz w:val="24"/>
                <w:szCs w:val="24"/>
                <w:lang w:val="en-US" w:eastAsia="zh-CN"/>
              </w:rPr>
              <w:t>方案</w:t>
            </w:r>
            <w:r>
              <w:rPr>
                <w:rFonts w:hint="eastAsia" w:asciiTheme="minorEastAsia" w:hAnsiTheme="minorEastAsia" w:eastAsiaTheme="minorEastAsia" w:cstheme="minorEastAsia"/>
                <w:bCs w:val="0"/>
                <w:spacing w:val="13"/>
                <w:kern w:val="2"/>
                <w:sz w:val="24"/>
                <w:szCs w:val="24"/>
              </w:rPr>
              <w:t>要点提供</w:t>
            </w:r>
            <w:r>
              <w:rPr>
                <w:rFonts w:hint="eastAsia" w:asciiTheme="minorEastAsia" w:hAnsiTheme="minorEastAsia" w:eastAsiaTheme="minorEastAsia" w:cstheme="minorEastAsia"/>
                <w:bCs w:val="0"/>
                <w:spacing w:val="13"/>
                <w:kern w:val="2"/>
                <w:sz w:val="24"/>
                <w:szCs w:val="24"/>
                <w:lang w:val="en-US" w:eastAsia="zh-CN"/>
              </w:rPr>
              <w:t>项目整体服务</w:t>
            </w:r>
            <w:r>
              <w:rPr>
                <w:rFonts w:hint="eastAsia" w:asciiTheme="minorEastAsia" w:hAnsiTheme="minorEastAsia" w:eastAsiaTheme="minorEastAsia" w:cstheme="minorEastAsia"/>
                <w:bCs w:val="0"/>
                <w:spacing w:val="13"/>
                <w:kern w:val="2"/>
                <w:sz w:val="24"/>
                <w:szCs w:val="24"/>
              </w:rPr>
              <w:t>方案。上述要点中每有一点内容契合本项目实际需求且无任何缺陷的得2.5分；最多得</w:t>
            </w:r>
            <w:r>
              <w:rPr>
                <w:rFonts w:hint="eastAsia" w:asciiTheme="minorEastAsia" w:hAnsiTheme="minorEastAsia" w:eastAsiaTheme="minorEastAsia" w:cstheme="minorEastAsia"/>
                <w:bCs w:val="0"/>
                <w:spacing w:val="13"/>
                <w:kern w:val="2"/>
                <w:sz w:val="24"/>
                <w:szCs w:val="24"/>
                <w:lang w:val="en-US" w:eastAsia="zh-CN"/>
              </w:rPr>
              <w:t>40</w:t>
            </w:r>
            <w:r>
              <w:rPr>
                <w:rFonts w:hint="eastAsia" w:asciiTheme="minorEastAsia" w:hAnsiTheme="minorEastAsia" w:eastAsiaTheme="minorEastAsia" w:cstheme="minorEastAsia"/>
                <w:bCs w:val="0"/>
                <w:spacing w:val="13"/>
                <w:kern w:val="2"/>
                <w:sz w:val="24"/>
                <w:szCs w:val="24"/>
              </w:rPr>
              <w:t>分。未提供或提供方案内容明显与本项目不相符的不得分。（缺陷指的是方案中出现明显错误或出现与本项目无关内容）</w:t>
            </w:r>
          </w:p>
          <w:p w14:paraId="7C4A690D">
            <w:pPr>
              <w:keepNext w:val="0"/>
              <w:keepLines w:val="0"/>
              <w:pageBreakBefore w:val="0"/>
              <w:widowControl w:val="0"/>
              <w:kinsoku/>
              <w:wordWrap/>
              <w:overflowPunct/>
              <w:topLinePunct w:val="0"/>
              <w:autoSpaceDE/>
              <w:autoSpaceDN/>
              <w:bidi w:val="0"/>
              <w:adjustRightInd/>
              <w:snapToGrid/>
              <w:spacing w:line="560" w:lineRule="exact"/>
              <w:ind w:left="25"/>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b/>
                <w:bCs/>
                <w:spacing w:val="13"/>
                <w:kern w:val="2"/>
                <w:sz w:val="24"/>
                <w:szCs w:val="24"/>
              </w:rPr>
              <w:t>评审依据：响应文件中须提供包含上述内容的团队管理计划方案佐证，未提供或</w:t>
            </w:r>
            <w:r>
              <w:rPr>
                <w:rFonts w:hint="eastAsia" w:asciiTheme="minorEastAsia" w:hAnsiTheme="minorEastAsia" w:eastAsiaTheme="minorEastAsia" w:cstheme="minorEastAsia"/>
                <w:b/>
                <w:bCs/>
                <w:spacing w:val="13"/>
                <w:kern w:val="2"/>
                <w:sz w:val="24"/>
                <w:szCs w:val="24"/>
                <w:lang w:val="en-US" w:eastAsia="zh-CN"/>
              </w:rPr>
              <w:t>提供材料</w:t>
            </w:r>
            <w:r>
              <w:rPr>
                <w:rFonts w:hint="eastAsia" w:asciiTheme="minorEastAsia" w:hAnsiTheme="minorEastAsia" w:eastAsiaTheme="minorEastAsia" w:cstheme="minorEastAsia"/>
                <w:b/>
                <w:bCs/>
                <w:spacing w:val="13"/>
                <w:kern w:val="2"/>
                <w:sz w:val="24"/>
                <w:szCs w:val="24"/>
              </w:rPr>
              <w:t>不符合要求的不得分。</w:t>
            </w:r>
          </w:p>
        </w:tc>
      </w:tr>
      <w:tr w14:paraId="54565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15" w:type="pct"/>
            <w:vMerge w:val="restart"/>
            <w:tcBorders>
              <w:top w:val="single" w:color="auto" w:sz="4" w:space="0"/>
              <w:left w:val="single" w:color="auto" w:sz="4" w:space="0"/>
              <w:bottom w:val="single" w:color="auto" w:sz="4" w:space="0"/>
              <w:right w:val="single" w:color="auto" w:sz="4" w:space="0"/>
            </w:tcBorders>
            <w:noWrap w:val="0"/>
            <w:vAlign w:val="center"/>
          </w:tcPr>
          <w:p w14:paraId="739835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spacing w:val="7"/>
                <w:kern w:val="2"/>
                <w:sz w:val="24"/>
                <w:szCs w:val="24"/>
              </w:rPr>
              <w:t>商</w:t>
            </w:r>
            <w:r>
              <w:rPr>
                <w:rFonts w:hint="eastAsia" w:asciiTheme="minorEastAsia" w:hAnsiTheme="minorEastAsia" w:eastAsiaTheme="minorEastAsia" w:cstheme="minorEastAsia"/>
                <w:spacing w:val="6"/>
                <w:kern w:val="2"/>
                <w:sz w:val="24"/>
                <w:szCs w:val="24"/>
              </w:rPr>
              <w:t>务分值</w:t>
            </w:r>
            <w:r>
              <w:rPr>
                <w:rFonts w:hint="eastAsia" w:asciiTheme="minorEastAsia" w:hAnsiTheme="minorEastAsia" w:eastAsiaTheme="minorEastAsia" w:cstheme="minorEastAsia"/>
                <w:kern w:val="2"/>
                <w:sz w:val="24"/>
                <w:szCs w:val="24"/>
              </w:rPr>
              <w:t xml:space="preserve"> </w:t>
            </w:r>
            <w:r>
              <w:rPr>
                <w:rFonts w:hint="eastAsia" w:asciiTheme="minorEastAsia" w:hAnsiTheme="minorEastAsia" w:eastAsiaTheme="minorEastAsia" w:cstheme="minorEastAsia"/>
                <w:spacing w:val="13"/>
                <w:kern w:val="2"/>
                <w:sz w:val="24"/>
                <w:szCs w:val="24"/>
                <w:lang w:eastAsia="zh-CN"/>
              </w:rPr>
              <w:t>（</w:t>
            </w:r>
            <w:r>
              <w:rPr>
                <w:rFonts w:hint="eastAsia" w:asciiTheme="minorEastAsia" w:hAnsiTheme="minorEastAsia" w:eastAsiaTheme="minorEastAsia" w:cstheme="minorEastAsia"/>
                <w:spacing w:val="9"/>
                <w:kern w:val="2"/>
                <w:sz w:val="24"/>
                <w:szCs w:val="24"/>
                <w:lang w:val="en-US" w:eastAsia="zh-CN"/>
              </w:rPr>
              <w:t>30</w:t>
            </w:r>
            <w:r>
              <w:rPr>
                <w:rFonts w:hint="eastAsia" w:asciiTheme="minorEastAsia" w:hAnsiTheme="minorEastAsia" w:eastAsiaTheme="minorEastAsia" w:cstheme="minorEastAsia"/>
                <w:spacing w:val="9"/>
                <w:kern w:val="2"/>
                <w:sz w:val="24"/>
                <w:szCs w:val="24"/>
              </w:rPr>
              <w:t>分</w:t>
            </w:r>
            <w:r>
              <w:rPr>
                <w:rFonts w:hint="eastAsia" w:asciiTheme="minorEastAsia" w:hAnsiTheme="minorEastAsia" w:eastAsiaTheme="minorEastAsia" w:cstheme="minorEastAsia"/>
                <w:spacing w:val="9"/>
                <w:kern w:val="2"/>
                <w:sz w:val="24"/>
                <w:szCs w:val="24"/>
                <w:lang w:eastAsia="zh-CN"/>
              </w:rPr>
              <w:t>）</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64ACE1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kern w:val="2"/>
                <w:sz w:val="24"/>
                <w:szCs w:val="24"/>
              </w:rPr>
              <w:t>基本</w:t>
            </w:r>
            <w:r>
              <w:rPr>
                <w:rFonts w:hint="eastAsia" w:asciiTheme="minorEastAsia" w:hAnsiTheme="minorEastAsia" w:eastAsiaTheme="minorEastAsia" w:cstheme="minorEastAsia"/>
                <w:spacing w:val="6"/>
                <w:kern w:val="2"/>
                <w:sz w:val="24"/>
                <w:szCs w:val="24"/>
              </w:rPr>
              <w:t>项</w:t>
            </w:r>
          </w:p>
        </w:tc>
        <w:tc>
          <w:tcPr>
            <w:tcW w:w="391" w:type="pct"/>
            <w:tcBorders>
              <w:top w:val="single" w:color="auto" w:sz="4" w:space="0"/>
              <w:left w:val="single" w:color="auto" w:sz="4" w:space="0"/>
              <w:bottom w:val="single" w:color="auto" w:sz="4" w:space="0"/>
              <w:right w:val="single" w:color="auto" w:sz="4" w:space="0"/>
            </w:tcBorders>
            <w:noWrap w:val="0"/>
            <w:vAlign w:val="center"/>
          </w:tcPr>
          <w:p w14:paraId="22AF1C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rPr>
              <w:t>/</w:t>
            </w:r>
          </w:p>
        </w:tc>
        <w:tc>
          <w:tcPr>
            <w:tcW w:w="3105" w:type="pct"/>
            <w:tcBorders>
              <w:top w:val="single" w:color="auto" w:sz="4" w:space="0"/>
              <w:left w:val="single" w:color="auto" w:sz="4" w:space="0"/>
              <w:bottom w:val="single" w:color="auto" w:sz="4" w:space="0"/>
              <w:right w:val="single" w:color="auto" w:sz="4" w:space="0"/>
            </w:tcBorders>
            <w:noWrap w:val="0"/>
            <w:vAlign w:val="top"/>
          </w:tcPr>
          <w:p w14:paraId="1775F17A">
            <w:pPr>
              <w:keepNext w:val="0"/>
              <w:keepLines w:val="0"/>
              <w:pageBreakBefore w:val="0"/>
              <w:widowControl w:val="0"/>
              <w:kinsoku/>
              <w:wordWrap/>
              <w:overflowPunct/>
              <w:topLinePunct w:val="0"/>
              <w:autoSpaceDE/>
              <w:autoSpaceDN/>
              <w:bidi w:val="0"/>
              <w:adjustRightInd/>
              <w:snapToGrid/>
              <w:spacing w:line="560" w:lineRule="exact"/>
              <w:ind w:left="22" w:right="17" w:firstLine="12"/>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11"/>
                <w:kern w:val="2"/>
                <w:sz w:val="24"/>
                <w:szCs w:val="24"/>
                <w:lang w:eastAsia="zh-CN"/>
              </w:rPr>
              <w:t>响应文件</w:t>
            </w:r>
            <w:r>
              <w:rPr>
                <w:rFonts w:hint="eastAsia" w:asciiTheme="minorEastAsia" w:hAnsiTheme="minorEastAsia" w:eastAsiaTheme="minorEastAsia" w:cstheme="minorEastAsia"/>
                <w:spacing w:val="11"/>
                <w:kern w:val="2"/>
                <w:sz w:val="24"/>
                <w:szCs w:val="24"/>
              </w:rPr>
              <w:t>完全满足</w:t>
            </w:r>
            <w:r>
              <w:rPr>
                <w:rFonts w:hint="eastAsia" w:asciiTheme="minorEastAsia" w:hAnsiTheme="minorEastAsia" w:eastAsiaTheme="minorEastAsia" w:cstheme="minorEastAsia"/>
                <w:spacing w:val="11"/>
                <w:kern w:val="2"/>
                <w:sz w:val="24"/>
                <w:szCs w:val="24"/>
                <w:lang w:eastAsia="zh-CN"/>
              </w:rPr>
              <w:t>磋商文件</w:t>
            </w:r>
            <w:r>
              <w:rPr>
                <w:rFonts w:hint="eastAsia" w:asciiTheme="minorEastAsia" w:hAnsiTheme="minorEastAsia" w:eastAsiaTheme="minorEastAsia" w:cstheme="minorEastAsia"/>
                <w:spacing w:val="11"/>
                <w:kern w:val="2"/>
                <w:sz w:val="24"/>
                <w:szCs w:val="24"/>
              </w:rPr>
              <w:t>中商务</w:t>
            </w:r>
            <w:r>
              <w:rPr>
                <w:rFonts w:hint="eastAsia" w:asciiTheme="minorEastAsia" w:hAnsiTheme="minorEastAsia" w:eastAsiaTheme="minorEastAsia" w:cstheme="minorEastAsia"/>
                <w:spacing w:val="11"/>
                <w:kern w:val="2"/>
                <w:sz w:val="24"/>
                <w:szCs w:val="24"/>
                <w:lang w:val="en-US" w:eastAsia="zh-CN"/>
              </w:rPr>
              <w:t>条款</w:t>
            </w:r>
            <w:r>
              <w:rPr>
                <w:rFonts w:hint="eastAsia" w:asciiTheme="minorEastAsia" w:hAnsiTheme="minorEastAsia" w:eastAsiaTheme="minorEastAsia" w:cstheme="minorEastAsia"/>
                <w:spacing w:val="11"/>
                <w:kern w:val="2"/>
                <w:sz w:val="24"/>
                <w:szCs w:val="24"/>
              </w:rPr>
              <w:t>，任意一项不</w:t>
            </w:r>
            <w:r>
              <w:rPr>
                <w:rFonts w:hint="eastAsia" w:asciiTheme="minorEastAsia" w:hAnsiTheme="minorEastAsia" w:eastAsiaTheme="minorEastAsia" w:cstheme="minorEastAsia"/>
                <w:spacing w:val="8"/>
                <w:kern w:val="2"/>
                <w:sz w:val="24"/>
                <w:szCs w:val="24"/>
              </w:rPr>
              <w:t>满足作无效处理。</w:t>
            </w:r>
          </w:p>
          <w:p w14:paraId="4D7641C8">
            <w:pPr>
              <w:keepNext w:val="0"/>
              <w:keepLines w:val="0"/>
              <w:pageBreakBefore w:val="0"/>
              <w:widowControl w:val="0"/>
              <w:kinsoku/>
              <w:wordWrap/>
              <w:overflowPunct/>
              <w:topLinePunct w:val="0"/>
              <w:autoSpaceDE/>
              <w:autoSpaceDN/>
              <w:bidi w:val="0"/>
              <w:adjustRightInd/>
              <w:snapToGrid/>
              <w:spacing w:line="560" w:lineRule="exact"/>
              <w:ind w:left="21" w:leftChars="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spacing w:val="13"/>
                <w:kern w:val="2"/>
                <w:sz w:val="24"/>
                <w:szCs w:val="24"/>
              </w:rPr>
              <w:t>评</w:t>
            </w:r>
            <w:r>
              <w:rPr>
                <w:rFonts w:hint="eastAsia" w:asciiTheme="minorEastAsia" w:hAnsiTheme="minorEastAsia" w:eastAsiaTheme="minorEastAsia" w:cstheme="minorEastAsia"/>
                <w:b/>
                <w:bCs/>
                <w:spacing w:val="9"/>
                <w:kern w:val="2"/>
                <w:sz w:val="24"/>
                <w:szCs w:val="24"/>
              </w:rPr>
              <w:t>审依据：</w:t>
            </w:r>
            <w:r>
              <w:rPr>
                <w:rFonts w:hint="eastAsia" w:asciiTheme="minorEastAsia" w:hAnsiTheme="minorEastAsia" w:eastAsiaTheme="minorEastAsia" w:cstheme="minorEastAsia"/>
                <w:b/>
                <w:bCs/>
                <w:spacing w:val="11"/>
                <w:kern w:val="2"/>
                <w:sz w:val="24"/>
                <w:szCs w:val="24"/>
                <w:lang w:val="en-US" w:eastAsia="zh-CN"/>
              </w:rPr>
              <w:t>依据响应文件内《商务条款</w:t>
            </w:r>
            <w:r>
              <w:rPr>
                <w:rFonts w:hint="eastAsia" w:asciiTheme="minorEastAsia" w:hAnsiTheme="minorEastAsia" w:eastAsiaTheme="minorEastAsia" w:cstheme="minorEastAsia"/>
                <w:b/>
                <w:bCs/>
                <w:spacing w:val="11"/>
                <w:kern w:val="2"/>
                <w:sz w:val="24"/>
                <w:szCs w:val="24"/>
              </w:rPr>
              <w:t>响应/偏离表</w:t>
            </w:r>
            <w:r>
              <w:rPr>
                <w:rFonts w:hint="eastAsia" w:asciiTheme="minorEastAsia" w:hAnsiTheme="minorEastAsia" w:eastAsiaTheme="minorEastAsia" w:cstheme="minorEastAsia"/>
                <w:b/>
                <w:bCs/>
                <w:spacing w:val="11"/>
                <w:kern w:val="2"/>
                <w:sz w:val="24"/>
                <w:szCs w:val="24"/>
                <w:lang w:val="en-US" w:eastAsia="zh-CN"/>
              </w:rPr>
              <w:t>》的响应情况</w:t>
            </w:r>
            <w:r>
              <w:rPr>
                <w:rFonts w:hint="eastAsia" w:asciiTheme="minorEastAsia" w:hAnsiTheme="minorEastAsia" w:eastAsiaTheme="minorEastAsia" w:cstheme="minorEastAsia"/>
                <w:b/>
                <w:bCs/>
                <w:spacing w:val="11"/>
                <w:kern w:val="2"/>
                <w:sz w:val="24"/>
                <w:szCs w:val="24"/>
              </w:rPr>
              <w:t>。</w:t>
            </w:r>
          </w:p>
        </w:tc>
      </w:tr>
      <w:tr w14:paraId="59357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15" w:type="pct"/>
            <w:vMerge w:val="continue"/>
            <w:tcBorders>
              <w:top w:val="single" w:color="auto" w:sz="4" w:space="0"/>
              <w:left w:val="single" w:color="auto" w:sz="4" w:space="0"/>
              <w:bottom w:val="single" w:color="auto" w:sz="4" w:space="0"/>
              <w:right w:val="single" w:color="auto" w:sz="4" w:space="0"/>
            </w:tcBorders>
            <w:noWrap w:val="0"/>
            <w:vAlign w:val="center"/>
          </w:tcPr>
          <w:p w14:paraId="5469D7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pacing w:val="7"/>
                <w:kern w:val="2"/>
                <w:sz w:val="24"/>
                <w:szCs w:val="24"/>
              </w:rPr>
            </w:pPr>
          </w:p>
        </w:tc>
        <w:tc>
          <w:tcPr>
            <w:tcW w:w="788" w:type="pct"/>
            <w:tcBorders>
              <w:top w:val="single" w:color="auto" w:sz="4" w:space="0"/>
              <w:left w:val="single" w:color="auto" w:sz="4" w:space="0"/>
              <w:bottom w:val="single" w:color="auto" w:sz="4" w:space="0"/>
              <w:right w:val="single" w:color="auto" w:sz="4" w:space="0"/>
            </w:tcBorders>
            <w:noWrap w:val="0"/>
            <w:vAlign w:val="center"/>
          </w:tcPr>
          <w:p w14:paraId="443283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9"/>
                <w:kern w:val="2"/>
                <w:sz w:val="24"/>
                <w:szCs w:val="24"/>
              </w:rPr>
              <w:t>类</w:t>
            </w:r>
            <w:r>
              <w:rPr>
                <w:rFonts w:hint="eastAsia" w:asciiTheme="minorEastAsia" w:hAnsiTheme="minorEastAsia" w:eastAsiaTheme="minorEastAsia" w:cstheme="minorEastAsia"/>
                <w:spacing w:val="7"/>
                <w:kern w:val="2"/>
                <w:sz w:val="24"/>
                <w:szCs w:val="24"/>
              </w:rPr>
              <w:t>似业绩</w:t>
            </w:r>
          </w:p>
        </w:tc>
        <w:tc>
          <w:tcPr>
            <w:tcW w:w="391" w:type="pct"/>
            <w:tcBorders>
              <w:top w:val="single" w:color="auto" w:sz="4" w:space="0"/>
              <w:left w:val="single" w:color="auto" w:sz="4" w:space="0"/>
              <w:bottom w:val="single" w:color="auto" w:sz="4" w:space="0"/>
              <w:right w:val="single" w:color="auto" w:sz="4" w:space="0"/>
            </w:tcBorders>
            <w:noWrap w:val="0"/>
            <w:vAlign w:val="center"/>
          </w:tcPr>
          <w:p w14:paraId="410344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5"/>
                <w:kern w:val="2"/>
                <w:sz w:val="24"/>
                <w:szCs w:val="24"/>
                <w:lang w:val="en-US" w:eastAsia="zh-CN"/>
              </w:rPr>
              <w:t>30</w:t>
            </w:r>
            <w:r>
              <w:rPr>
                <w:rFonts w:hint="eastAsia" w:asciiTheme="minorEastAsia" w:hAnsiTheme="minorEastAsia" w:eastAsiaTheme="minorEastAsia" w:cstheme="minorEastAsia"/>
                <w:spacing w:val="-15"/>
                <w:kern w:val="2"/>
                <w:sz w:val="24"/>
                <w:szCs w:val="24"/>
              </w:rPr>
              <w:t>分</w:t>
            </w:r>
          </w:p>
        </w:tc>
        <w:tc>
          <w:tcPr>
            <w:tcW w:w="3105" w:type="pct"/>
            <w:tcBorders>
              <w:top w:val="single" w:color="auto" w:sz="4" w:space="0"/>
              <w:left w:val="single" w:color="auto" w:sz="4" w:space="0"/>
              <w:bottom w:val="single" w:color="auto" w:sz="4" w:space="0"/>
              <w:right w:val="single" w:color="auto" w:sz="4" w:space="0"/>
            </w:tcBorders>
            <w:noWrap w:val="0"/>
            <w:vAlign w:val="top"/>
          </w:tcPr>
          <w:p w14:paraId="5EF83B70">
            <w:pPr>
              <w:keepNext w:val="0"/>
              <w:keepLines w:val="0"/>
              <w:pageBreakBefore w:val="0"/>
              <w:widowControl w:val="0"/>
              <w:kinsoku/>
              <w:wordWrap/>
              <w:overflowPunct/>
              <w:topLinePunct w:val="0"/>
              <w:autoSpaceDE/>
              <w:autoSpaceDN/>
              <w:bidi w:val="0"/>
              <w:adjustRightInd/>
              <w:snapToGrid/>
              <w:spacing w:line="560" w:lineRule="exact"/>
              <w:ind w:left="23" w:right="14" w:hanging="1"/>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4"/>
                <w:kern w:val="2"/>
                <w:sz w:val="24"/>
                <w:szCs w:val="24"/>
                <w:lang w:eastAsia="zh-CN"/>
              </w:rPr>
              <w:t>供应商</w:t>
            </w:r>
            <w:r>
              <w:rPr>
                <w:rFonts w:hint="eastAsia" w:asciiTheme="minorEastAsia" w:hAnsiTheme="minorEastAsia" w:eastAsiaTheme="minorEastAsia" w:cstheme="minorEastAsia"/>
                <w:spacing w:val="-4"/>
                <w:kern w:val="2"/>
                <w:sz w:val="24"/>
                <w:szCs w:val="24"/>
              </w:rPr>
              <w:t>自2</w:t>
            </w:r>
            <w:r>
              <w:rPr>
                <w:rFonts w:hint="eastAsia" w:asciiTheme="minorEastAsia" w:hAnsiTheme="minorEastAsia" w:eastAsiaTheme="minorEastAsia" w:cstheme="minorEastAsia"/>
                <w:spacing w:val="-3"/>
                <w:kern w:val="2"/>
                <w:sz w:val="24"/>
                <w:szCs w:val="24"/>
              </w:rPr>
              <w:t>0</w:t>
            </w:r>
            <w:r>
              <w:rPr>
                <w:rFonts w:hint="eastAsia" w:asciiTheme="minorEastAsia" w:hAnsiTheme="minorEastAsia" w:eastAsiaTheme="minorEastAsia" w:cstheme="minorEastAsia"/>
                <w:spacing w:val="-2"/>
                <w:kern w:val="2"/>
                <w:sz w:val="24"/>
                <w:szCs w:val="24"/>
                <w:lang w:val="en-US" w:eastAsia="zh-CN"/>
              </w:rPr>
              <w:t>23</w:t>
            </w:r>
            <w:r>
              <w:rPr>
                <w:rFonts w:hint="eastAsia" w:asciiTheme="minorEastAsia" w:hAnsiTheme="minorEastAsia" w:eastAsiaTheme="minorEastAsia" w:cstheme="minorEastAsia"/>
                <w:spacing w:val="-2"/>
                <w:kern w:val="2"/>
                <w:sz w:val="24"/>
                <w:szCs w:val="24"/>
              </w:rPr>
              <w:t>年1月1日以来</w:t>
            </w:r>
            <w:r>
              <w:rPr>
                <w:rFonts w:hint="eastAsia" w:asciiTheme="minorEastAsia" w:hAnsiTheme="minorEastAsia" w:eastAsiaTheme="minorEastAsia" w:cstheme="minorEastAsia"/>
                <w:spacing w:val="-2"/>
                <w:kern w:val="2"/>
                <w:sz w:val="24"/>
                <w:szCs w:val="24"/>
                <w:lang w:eastAsia="zh-CN"/>
              </w:rPr>
              <w:t>（</w:t>
            </w:r>
            <w:r>
              <w:rPr>
                <w:rFonts w:hint="eastAsia" w:asciiTheme="minorEastAsia" w:hAnsiTheme="minorEastAsia" w:eastAsiaTheme="minorEastAsia" w:cstheme="minorEastAsia"/>
                <w:spacing w:val="-2"/>
                <w:kern w:val="2"/>
                <w:sz w:val="24"/>
                <w:szCs w:val="24"/>
              </w:rPr>
              <w:t>以合同签订时间为</w:t>
            </w:r>
            <w:r>
              <w:rPr>
                <w:rFonts w:hint="eastAsia" w:asciiTheme="minorEastAsia" w:hAnsiTheme="minorEastAsia" w:eastAsiaTheme="minorEastAsia" w:cstheme="minorEastAsia"/>
                <w:spacing w:val="13"/>
                <w:kern w:val="2"/>
                <w:sz w:val="24"/>
                <w:szCs w:val="24"/>
              </w:rPr>
              <w:t>准</w:t>
            </w:r>
            <w:r>
              <w:rPr>
                <w:rFonts w:hint="eastAsia" w:asciiTheme="minorEastAsia" w:hAnsiTheme="minorEastAsia" w:eastAsiaTheme="minorEastAsia" w:cstheme="minorEastAsia"/>
                <w:spacing w:val="11"/>
                <w:kern w:val="2"/>
                <w:sz w:val="24"/>
                <w:szCs w:val="24"/>
                <w:lang w:eastAsia="zh-CN"/>
              </w:rPr>
              <w:t>）</w:t>
            </w:r>
            <w:r>
              <w:rPr>
                <w:rFonts w:hint="eastAsia" w:asciiTheme="minorEastAsia" w:hAnsiTheme="minorEastAsia" w:eastAsiaTheme="minorEastAsia" w:cstheme="minorEastAsia"/>
                <w:spacing w:val="11"/>
                <w:kern w:val="2"/>
                <w:sz w:val="24"/>
                <w:szCs w:val="24"/>
              </w:rPr>
              <w:t>，</w:t>
            </w:r>
            <w:r>
              <w:rPr>
                <w:rFonts w:hint="eastAsia" w:asciiTheme="minorEastAsia" w:hAnsiTheme="minorEastAsia" w:eastAsiaTheme="minorEastAsia" w:cstheme="minorEastAsia"/>
                <w:spacing w:val="11"/>
                <w:kern w:val="2"/>
                <w:sz w:val="24"/>
                <w:szCs w:val="24"/>
                <w:lang w:eastAsia="zh-CN"/>
              </w:rPr>
              <w:t>每</w:t>
            </w:r>
            <w:r>
              <w:rPr>
                <w:rFonts w:hint="eastAsia" w:asciiTheme="minorEastAsia" w:hAnsiTheme="minorEastAsia" w:eastAsiaTheme="minorEastAsia" w:cstheme="minorEastAsia"/>
                <w:spacing w:val="11"/>
                <w:kern w:val="2"/>
                <w:sz w:val="24"/>
                <w:szCs w:val="24"/>
              </w:rPr>
              <w:t>具有一项公共建筑工程消防安全评估</w:t>
            </w:r>
            <w:r>
              <w:rPr>
                <w:rFonts w:hint="eastAsia" w:asciiTheme="minorEastAsia" w:hAnsiTheme="minorEastAsia" w:eastAsiaTheme="minorEastAsia" w:cstheme="minorEastAsia"/>
                <w:spacing w:val="-2"/>
                <w:kern w:val="2"/>
                <w:sz w:val="24"/>
                <w:szCs w:val="24"/>
              </w:rPr>
              <w:t>项目的业绩得</w:t>
            </w:r>
            <w:r>
              <w:rPr>
                <w:rFonts w:hint="eastAsia" w:asciiTheme="minorEastAsia" w:hAnsiTheme="minorEastAsia" w:eastAsiaTheme="minorEastAsia" w:cstheme="minorEastAsia"/>
                <w:spacing w:val="-1"/>
                <w:kern w:val="2"/>
                <w:sz w:val="24"/>
                <w:szCs w:val="24"/>
                <w:lang w:val="en-US" w:eastAsia="zh-CN"/>
              </w:rPr>
              <w:t>10</w:t>
            </w:r>
            <w:r>
              <w:rPr>
                <w:rFonts w:hint="eastAsia" w:asciiTheme="minorEastAsia" w:hAnsiTheme="minorEastAsia" w:eastAsiaTheme="minorEastAsia" w:cstheme="minorEastAsia"/>
                <w:spacing w:val="-1"/>
                <w:kern w:val="2"/>
                <w:sz w:val="24"/>
                <w:szCs w:val="24"/>
              </w:rPr>
              <w:t>分</w:t>
            </w:r>
            <w:r>
              <w:rPr>
                <w:rFonts w:hint="eastAsia" w:asciiTheme="minorEastAsia" w:hAnsiTheme="minorEastAsia" w:eastAsiaTheme="minorEastAsia" w:cstheme="minorEastAsia"/>
                <w:spacing w:val="-1"/>
                <w:kern w:val="2"/>
                <w:sz w:val="24"/>
                <w:szCs w:val="24"/>
                <w:lang w:eastAsia="zh-CN"/>
              </w:rPr>
              <w:t>，满分</w:t>
            </w:r>
            <w:r>
              <w:rPr>
                <w:rFonts w:hint="eastAsia" w:asciiTheme="minorEastAsia" w:hAnsiTheme="minorEastAsia" w:eastAsiaTheme="minorEastAsia" w:cstheme="minorEastAsia"/>
                <w:spacing w:val="-1"/>
                <w:kern w:val="2"/>
                <w:sz w:val="24"/>
                <w:szCs w:val="24"/>
                <w:lang w:val="en-US" w:eastAsia="zh-CN"/>
              </w:rPr>
              <w:t>30分</w:t>
            </w:r>
            <w:r>
              <w:rPr>
                <w:rFonts w:hint="eastAsia" w:asciiTheme="minorEastAsia" w:hAnsiTheme="minorEastAsia" w:eastAsiaTheme="minorEastAsia" w:cstheme="minorEastAsia"/>
                <w:spacing w:val="-1"/>
                <w:kern w:val="2"/>
                <w:sz w:val="24"/>
                <w:szCs w:val="24"/>
              </w:rPr>
              <w:t>。</w:t>
            </w:r>
          </w:p>
          <w:p w14:paraId="13A05C67">
            <w:pPr>
              <w:keepNext w:val="0"/>
              <w:keepLines w:val="0"/>
              <w:pageBreakBefore w:val="0"/>
              <w:widowControl w:val="0"/>
              <w:kinsoku/>
              <w:wordWrap/>
              <w:overflowPunct/>
              <w:topLinePunct w:val="0"/>
              <w:autoSpaceDE/>
              <w:autoSpaceDN/>
              <w:bidi w:val="0"/>
              <w:adjustRightInd/>
              <w:snapToGrid/>
              <w:spacing w:line="560" w:lineRule="exact"/>
              <w:ind w:left="21" w:leftChars="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spacing w:val="13"/>
                <w:kern w:val="2"/>
                <w:sz w:val="24"/>
                <w:szCs w:val="24"/>
              </w:rPr>
              <w:t>评</w:t>
            </w:r>
            <w:r>
              <w:rPr>
                <w:rFonts w:hint="eastAsia" w:asciiTheme="minorEastAsia" w:hAnsiTheme="minorEastAsia" w:eastAsiaTheme="minorEastAsia" w:cstheme="minorEastAsia"/>
                <w:b/>
                <w:bCs/>
                <w:spacing w:val="9"/>
                <w:kern w:val="2"/>
                <w:sz w:val="24"/>
                <w:szCs w:val="24"/>
              </w:rPr>
              <w:t>审依据：</w:t>
            </w:r>
            <w:r>
              <w:rPr>
                <w:rFonts w:hint="eastAsia" w:asciiTheme="minorEastAsia" w:hAnsiTheme="minorEastAsia" w:eastAsiaTheme="minorEastAsia" w:cstheme="minorEastAsia"/>
                <w:b/>
                <w:bCs/>
                <w:spacing w:val="9"/>
                <w:kern w:val="2"/>
                <w:sz w:val="24"/>
                <w:szCs w:val="24"/>
                <w:lang w:val="en-US" w:eastAsia="zh-CN"/>
              </w:rPr>
              <w:t>响应文件中提供</w:t>
            </w:r>
            <w:r>
              <w:rPr>
                <w:rFonts w:hint="eastAsia" w:asciiTheme="minorEastAsia" w:hAnsiTheme="minorEastAsia" w:eastAsiaTheme="minorEastAsia" w:cstheme="minorEastAsia"/>
                <w:b/>
                <w:bCs/>
                <w:spacing w:val="9"/>
                <w:kern w:val="2"/>
                <w:sz w:val="24"/>
                <w:szCs w:val="24"/>
              </w:rPr>
              <w:t>业绩合同扫描件</w:t>
            </w:r>
            <w:r>
              <w:rPr>
                <w:rFonts w:hint="eastAsia" w:asciiTheme="minorEastAsia" w:hAnsiTheme="minorEastAsia" w:eastAsiaTheme="minorEastAsia" w:cstheme="minorEastAsia"/>
                <w:b/>
                <w:bCs/>
                <w:spacing w:val="9"/>
                <w:kern w:val="2"/>
                <w:sz w:val="24"/>
                <w:szCs w:val="24"/>
                <w:lang w:val="en-US" w:eastAsia="zh-CN"/>
              </w:rPr>
              <w:t>佐证</w:t>
            </w:r>
            <w:r>
              <w:rPr>
                <w:rFonts w:hint="eastAsia" w:asciiTheme="minorEastAsia" w:hAnsiTheme="minorEastAsia" w:eastAsiaTheme="minorEastAsia" w:cstheme="minorEastAsia"/>
                <w:b/>
                <w:bCs/>
                <w:spacing w:val="9"/>
                <w:kern w:val="2"/>
                <w:sz w:val="24"/>
                <w:szCs w:val="24"/>
              </w:rPr>
              <w:t>。</w:t>
            </w:r>
          </w:p>
        </w:tc>
      </w:tr>
    </w:tbl>
    <w:p w14:paraId="1982E918">
      <w:pPr>
        <w:widowControl w:val="0"/>
        <w:spacing w:line="460" w:lineRule="exact"/>
        <w:rPr>
          <w:rFonts w:ascii="宋体" w:hAnsi="宋体"/>
          <w:b w:val="0"/>
          <w:bCs w:val="0"/>
          <w:lang w:eastAsia="zh-CN"/>
        </w:rPr>
      </w:pPr>
    </w:p>
    <w:sectPr>
      <w:headerReference r:id="rId3" w:type="default"/>
      <w:footerReference r:id="rId4" w:type="default"/>
      <w:pgSz w:w="11906" w:h="16839"/>
      <w:pgMar w:top="1234" w:right="1304" w:bottom="1156" w:left="1307"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3E1B63-B3DF-4573-A2EC-4ECFE4DAFDF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EA3FF4F8-0D57-4467-9B04-D9A790CE90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5B74">
    <w:pPr>
      <w:pStyle w:val="14"/>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-47625</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1056A71">
                          <w:pPr>
                            <w:pStyle w:val="14"/>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3.75pt;height:144pt;width:144pt;mso-position-horizontal:center;mso-position-horizontal-relative:margin;mso-wrap-style:none;z-index:251659264;mso-width-relative:page;mso-height-relative:page;" filled="f" stroked="f" coordsize="21600,21600" o:gfxdata="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L+M31AAAAAcBAAAPAAAAAAAAAAEAIAAAACIAAABk&#10;cnMvZG93bnJldi54bWxQSwECFAAUAAAACACHTuJAoOeOb9EBAACiAwAADgAAAAAAAAABACAAAAAj&#10;AQAAZHJzL2Uyb0RvYy54bWxQSwUGAAAAAAYABgBZAQAAZgUAAAAA&#10;">
              <v:fill on="f" focussize="0,0"/>
              <v:stroke on="f" weight="0.5pt"/>
              <v:imagedata o:title=""/>
              <o:lock v:ext="edit" aspectratio="f"/>
              <v:textbox inset="0mm,0mm,0mm,0mm" style="mso-fit-shape-to-text:t;">
                <w:txbxContent>
                  <w:p w14:paraId="21056A71">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8B5F">
    <w:pPr>
      <w:pStyle w:val="15"/>
      <w:pBdr>
        <w:bottom w:val="none" w:color="auto" w:sz="0" w:space="3"/>
      </w:pBdr>
      <w:spacing w:line="360" w:lineRule="atLea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3F464"/>
    <w:multiLevelType w:val="singleLevel"/>
    <w:tmpl w:val="2BF3F464"/>
    <w:lvl w:ilvl="0" w:tentative="0">
      <w:start w:val="3"/>
      <w:numFmt w:val="chineseCounting"/>
      <w:suff w:val="nothing"/>
      <w:lvlText w:val="%1、"/>
      <w:lvlJc w:val="left"/>
      <w:rPr>
        <w:rFonts w:hint="eastAsia"/>
      </w:rPr>
    </w:lvl>
  </w:abstractNum>
  <w:abstractNum w:abstractNumId="1">
    <w:nsid w:val="3CD9E74B"/>
    <w:multiLevelType w:val="singleLevel"/>
    <w:tmpl w:val="3CD9E74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2"/>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MDg0MjVjY2E5NDFiN2QyZDQ2OWQzODFmOGI4YzMifQ=="/>
  </w:docVars>
  <w:rsids>
    <w:rsidRoot w:val="00F72BE7"/>
    <w:rsid w:val="002E00F2"/>
    <w:rsid w:val="0031198B"/>
    <w:rsid w:val="00412A37"/>
    <w:rsid w:val="006308AB"/>
    <w:rsid w:val="00847DE1"/>
    <w:rsid w:val="008A4B90"/>
    <w:rsid w:val="00B54D17"/>
    <w:rsid w:val="00CD47AB"/>
    <w:rsid w:val="00D4409B"/>
    <w:rsid w:val="00D6521D"/>
    <w:rsid w:val="00E0031B"/>
    <w:rsid w:val="00F72BE7"/>
    <w:rsid w:val="0137560B"/>
    <w:rsid w:val="013D404E"/>
    <w:rsid w:val="014707D5"/>
    <w:rsid w:val="01490617"/>
    <w:rsid w:val="0183453D"/>
    <w:rsid w:val="01D91333"/>
    <w:rsid w:val="01F176F8"/>
    <w:rsid w:val="01F62F61"/>
    <w:rsid w:val="0217465E"/>
    <w:rsid w:val="02AE5C3D"/>
    <w:rsid w:val="02C95F7F"/>
    <w:rsid w:val="02F62DEB"/>
    <w:rsid w:val="030845DC"/>
    <w:rsid w:val="03A14F29"/>
    <w:rsid w:val="044D1E30"/>
    <w:rsid w:val="048A4E69"/>
    <w:rsid w:val="049525BD"/>
    <w:rsid w:val="049D76C3"/>
    <w:rsid w:val="04A507BC"/>
    <w:rsid w:val="04AC06B1"/>
    <w:rsid w:val="04C87536"/>
    <w:rsid w:val="04C95300"/>
    <w:rsid w:val="04F64D19"/>
    <w:rsid w:val="052B325D"/>
    <w:rsid w:val="056B197B"/>
    <w:rsid w:val="05F07017"/>
    <w:rsid w:val="060317A8"/>
    <w:rsid w:val="062D088E"/>
    <w:rsid w:val="067A5F0E"/>
    <w:rsid w:val="071D689A"/>
    <w:rsid w:val="076566A7"/>
    <w:rsid w:val="0768220B"/>
    <w:rsid w:val="079A2F4B"/>
    <w:rsid w:val="07B64740"/>
    <w:rsid w:val="081F5E69"/>
    <w:rsid w:val="082E25CB"/>
    <w:rsid w:val="08D11B99"/>
    <w:rsid w:val="08D800EA"/>
    <w:rsid w:val="08D86F1C"/>
    <w:rsid w:val="09214A58"/>
    <w:rsid w:val="092403B3"/>
    <w:rsid w:val="093F51ED"/>
    <w:rsid w:val="094B7F45"/>
    <w:rsid w:val="098C4275"/>
    <w:rsid w:val="099A0675"/>
    <w:rsid w:val="099C2AD0"/>
    <w:rsid w:val="09C672E8"/>
    <w:rsid w:val="09F77876"/>
    <w:rsid w:val="0A5474C3"/>
    <w:rsid w:val="0A5F7AD5"/>
    <w:rsid w:val="0A630BD7"/>
    <w:rsid w:val="0A880415"/>
    <w:rsid w:val="0AAA50E9"/>
    <w:rsid w:val="0ABB6AF5"/>
    <w:rsid w:val="0ACA7865"/>
    <w:rsid w:val="0AFB3396"/>
    <w:rsid w:val="0B6941DA"/>
    <w:rsid w:val="0BA53A2D"/>
    <w:rsid w:val="0BCE5A19"/>
    <w:rsid w:val="0BD25EA5"/>
    <w:rsid w:val="0C027923"/>
    <w:rsid w:val="0C1E16F8"/>
    <w:rsid w:val="0CEA5470"/>
    <w:rsid w:val="0D3B1B72"/>
    <w:rsid w:val="0DB63714"/>
    <w:rsid w:val="0DBF7C0D"/>
    <w:rsid w:val="0DD264ED"/>
    <w:rsid w:val="0DD809E2"/>
    <w:rsid w:val="0E045967"/>
    <w:rsid w:val="0E056A05"/>
    <w:rsid w:val="0E093118"/>
    <w:rsid w:val="0E306947"/>
    <w:rsid w:val="0E697416"/>
    <w:rsid w:val="0E7019A5"/>
    <w:rsid w:val="0EB53971"/>
    <w:rsid w:val="0F8346BB"/>
    <w:rsid w:val="0FAD17DF"/>
    <w:rsid w:val="103F7B0C"/>
    <w:rsid w:val="104737B6"/>
    <w:rsid w:val="107F306E"/>
    <w:rsid w:val="10D80401"/>
    <w:rsid w:val="114948FA"/>
    <w:rsid w:val="11515ABE"/>
    <w:rsid w:val="115E6BEF"/>
    <w:rsid w:val="11D81D3B"/>
    <w:rsid w:val="11E54405"/>
    <w:rsid w:val="126757A9"/>
    <w:rsid w:val="1292624E"/>
    <w:rsid w:val="129C0FBA"/>
    <w:rsid w:val="12C025AA"/>
    <w:rsid w:val="131D659F"/>
    <w:rsid w:val="136046DE"/>
    <w:rsid w:val="13774B73"/>
    <w:rsid w:val="139F6FB4"/>
    <w:rsid w:val="13CB4909"/>
    <w:rsid w:val="143E0B0F"/>
    <w:rsid w:val="143F42F3"/>
    <w:rsid w:val="14B561ED"/>
    <w:rsid w:val="14C53111"/>
    <w:rsid w:val="14F13A81"/>
    <w:rsid w:val="1538599A"/>
    <w:rsid w:val="158B0678"/>
    <w:rsid w:val="158F5E01"/>
    <w:rsid w:val="15916DD0"/>
    <w:rsid w:val="1607158C"/>
    <w:rsid w:val="16A356CC"/>
    <w:rsid w:val="16C93F42"/>
    <w:rsid w:val="16E37DD9"/>
    <w:rsid w:val="1706734A"/>
    <w:rsid w:val="173418E5"/>
    <w:rsid w:val="17342109"/>
    <w:rsid w:val="17D243DD"/>
    <w:rsid w:val="17D60801"/>
    <w:rsid w:val="17E108DF"/>
    <w:rsid w:val="182E6B2B"/>
    <w:rsid w:val="18363C5F"/>
    <w:rsid w:val="186009B5"/>
    <w:rsid w:val="18846779"/>
    <w:rsid w:val="18991B4E"/>
    <w:rsid w:val="18A01635"/>
    <w:rsid w:val="18C97898"/>
    <w:rsid w:val="18E84F59"/>
    <w:rsid w:val="18F643B3"/>
    <w:rsid w:val="19161B44"/>
    <w:rsid w:val="1917122A"/>
    <w:rsid w:val="19241D0A"/>
    <w:rsid w:val="193B777F"/>
    <w:rsid w:val="193E2DCB"/>
    <w:rsid w:val="196206F1"/>
    <w:rsid w:val="196C2926"/>
    <w:rsid w:val="1977026D"/>
    <w:rsid w:val="197F664F"/>
    <w:rsid w:val="19B77BF5"/>
    <w:rsid w:val="19F33BB6"/>
    <w:rsid w:val="19F37E2D"/>
    <w:rsid w:val="1A534654"/>
    <w:rsid w:val="1A551963"/>
    <w:rsid w:val="1AF44F33"/>
    <w:rsid w:val="1B0E67CD"/>
    <w:rsid w:val="1B2873F8"/>
    <w:rsid w:val="1B28788F"/>
    <w:rsid w:val="1B4548E5"/>
    <w:rsid w:val="1B702014"/>
    <w:rsid w:val="1B883EE2"/>
    <w:rsid w:val="1BD47A17"/>
    <w:rsid w:val="1BDE0EAA"/>
    <w:rsid w:val="1CF80317"/>
    <w:rsid w:val="1D085BCA"/>
    <w:rsid w:val="1D74500E"/>
    <w:rsid w:val="1DD65CC8"/>
    <w:rsid w:val="1DD800C0"/>
    <w:rsid w:val="1E43791C"/>
    <w:rsid w:val="1E5310C7"/>
    <w:rsid w:val="1E550743"/>
    <w:rsid w:val="1E830574"/>
    <w:rsid w:val="1EC41FC5"/>
    <w:rsid w:val="1EF26B32"/>
    <w:rsid w:val="1F2952CA"/>
    <w:rsid w:val="1F777037"/>
    <w:rsid w:val="1FA616CA"/>
    <w:rsid w:val="1FAB6CE1"/>
    <w:rsid w:val="1FB24210"/>
    <w:rsid w:val="1FF34AC9"/>
    <w:rsid w:val="206155F1"/>
    <w:rsid w:val="20B54DB2"/>
    <w:rsid w:val="21042B4C"/>
    <w:rsid w:val="213A566A"/>
    <w:rsid w:val="2195298B"/>
    <w:rsid w:val="2198560E"/>
    <w:rsid w:val="21CB3F90"/>
    <w:rsid w:val="21CE72BA"/>
    <w:rsid w:val="21E670F4"/>
    <w:rsid w:val="22072FB3"/>
    <w:rsid w:val="22112B50"/>
    <w:rsid w:val="224433AA"/>
    <w:rsid w:val="224D0523"/>
    <w:rsid w:val="225B2099"/>
    <w:rsid w:val="22702B26"/>
    <w:rsid w:val="22791318"/>
    <w:rsid w:val="22837AA1"/>
    <w:rsid w:val="228A7081"/>
    <w:rsid w:val="229C0C3D"/>
    <w:rsid w:val="22A85555"/>
    <w:rsid w:val="22FD3CF7"/>
    <w:rsid w:val="23056708"/>
    <w:rsid w:val="234D0A23"/>
    <w:rsid w:val="235F406A"/>
    <w:rsid w:val="23746473"/>
    <w:rsid w:val="239A4724"/>
    <w:rsid w:val="23C04A55"/>
    <w:rsid w:val="23C87E61"/>
    <w:rsid w:val="23E21274"/>
    <w:rsid w:val="241412F8"/>
    <w:rsid w:val="242536D0"/>
    <w:rsid w:val="245E4322"/>
    <w:rsid w:val="247F5B46"/>
    <w:rsid w:val="248144B4"/>
    <w:rsid w:val="24E16D01"/>
    <w:rsid w:val="253B28B5"/>
    <w:rsid w:val="25533D7B"/>
    <w:rsid w:val="257B6A85"/>
    <w:rsid w:val="25823163"/>
    <w:rsid w:val="25CD7137"/>
    <w:rsid w:val="25E2090D"/>
    <w:rsid w:val="25F37706"/>
    <w:rsid w:val="264D4DAD"/>
    <w:rsid w:val="26714FED"/>
    <w:rsid w:val="26BE3321"/>
    <w:rsid w:val="2722776F"/>
    <w:rsid w:val="27255CA7"/>
    <w:rsid w:val="27293DA3"/>
    <w:rsid w:val="27457A1B"/>
    <w:rsid w:val="274B704D"/>
    <w:rsid w:val="2778394C"/>
    <w:rsid w:val="279C2686"/>
    <w:rsid w:val="27CB6172"/>
    <w:rsid w:val="27EF1D1C"/>
    <w:rsid w:val="280660E7"/>
    <w:rsid w:val="2823481F"/>
    <w:rsid w:val="28706D19"/>
    <w:rsid w:val="28A27541"/>
    <w:rsid w:val="28CF7D70"/>
    <w:rsid w:val="28E76302"/>
    <w:rsid w:val="291F3D28"/>
    <w:rsid w:val="29226266"/>
    <w:rsid w:val="2A071140"/>
    <w:rsid w:val="2A383867"/>
    <w:rsid w:val="2AC967C3"/>
    <w:rsid w:val="2AD510B6"/>
    <w:rsid w:val="2AFA0B1C"/>
    <w:rsid w:val="2B0F5B99"/>
    <w:rsid w:val="2B8A1EA0"/>
    <w:rsid w:val="2BDA2720"/>
    <w:rsid w:val="2BE93C1A"/>
    <w:rsid w:val="2C695F59"/>
    <w:rsid w:val="2CA90A4C"/>
    <w:rsid w:val="2CBA0563"/>
    <w:rsid w:val="2CF55C1F"/>
    <w:rsid w:val="2D665E74"/>
    <w:rsid w:val="2D99286E"/>
    <w:rsid w:val="2DAC07F4"/>
    <w:rsid w:val="2DC40922"/>
    <w:rsid w:val="2DF41412"/>
    <w:rsid w:val="2E234DC0"/>
    <w:rsid w:val="2E2B0E5E"/>
    <w:rsid w:val="2E575FCC"/>
    <w:rsid w:val="2E627104"/>
    <w:rsid w:val="2E693B84"/>
    <w:rsid w:val="2EB108A7"/>
    <w:rsid w:val="2EBB11D7"/>
    <w:rsid w:val="2F041294"/>
    <w:rsid w:val="2F5F3B7C"/>
    <w:rsid w:val="2F7075FF"/>
    <w:rsid w:val="2F786BDD"/>
    <w:rsid w:val="2F902AB5"/>
    <w:rsid w:val="2FB63E0A"/>
    <w:rsid w:val="2FC17E5A"/>
    <w:rsid w:val="2FF975F4"/>
    <w:rsid w:val="30233A33"/>
    <w:rsid w:val="30311392"/>
    <w:rsid w:val="305E1890"/>
    <w:rsid w:val="307C1BEC"/>
    <w:rsid w:val="30A43A04"/>
    <w:rsid w:val="30BA2638"/>
    <w:rsid w:val="30E63872"/>
    <w:rsid w:val="31046251"/>
    <w:rsid w:val="31172EF5"/>
    <w:rsid w:val="31353885"/>
    <w:rsid w:val="314D409C"/>
    <w:rsid w:val="31526CE7"/>
    <w:rsid w:val="316B62D0"/>
    <w:rsid w:val="317D4740"/>
    <w:rsid w:val="318178A1"/>
    <w:rsid w:val="31AC0DC2"/>
    <w:rsid w:val="31C55E0D"/>
    <w:rsid w:val="31E76326"/>
    <w:rsid w:val="31FE5396"/>
    <w:rsid w:val="321C6AB4"/>
    <w:rsid w:val="3233535A"/>
    <w:rsid w:val="329A3D4F"/>
    <w:rsid w:val="32BE2A91"/>
    <w:rsid w:val="33074498"/>
    <w:rsid w:val="33AE791F"/>
    <w:rsid w:val="33C06DA7"/>
    <w:rsid w:val="33F26834"/>
    <w:rsid w:val="34325184"/>
    <w:rsid w:val="346E1C27"/>
    <w:rsid w:val="34CA2551"/>
    <w:rsid w:val="34DF14AF"/>
    <w:rsid w:val="34F27B67"/>
    <w:rsid w:val="35591BE5"/>
    <w:rsid w:val="359D5DD6"/>
    <w:rsid w:val="36064E50"/>
    <w:rsid w:val="361E1B63"/>
    <w:rsid w:val="362863AF"/>
    <w:rsid w:val="3650274B"/>
    <w:rsid w:val="36597105"/>
    <w:rsid w:val="36844F22"/>
    <w:rsid w:val="36CA1CEB"/>
    <w:rsid w:val="36D038F2"/>
    <w:rsid w:val="374B6A13"/>
    <w:rsid w:val="37CC0470"/>
    <w:rsid w:val="389465C2"/>
    <w:rsid w:val="3899102A"/>
    <w:rsid w:val="38FF3ECD"/>
    <w:rsid w:val="390B251F"/>
    <w:rsid w:val="390F7E89"/>
    <w:rsid w:val="39162FC5"/>
    <w:rsid w:val="39225E0E"/>
    <w:rsid w:val="39800A0C"/>
    <w:rsid w:val="39D96E5F"/>
    <w:rsid w:val="39EB4452"/>
    <w:rsid w:val="3A0C3554"/>
    <w:rsid w:val="3A1B5E20"/>
    <w:rsid w:val="3A216CEA"/>
    <w:rsid w:val="3A6B125E"/>
    <w:rsid w:val="3AA924AD"/>
    <w:rsid w:val="3B163B4E"/>
    <w:rsid w:val="3B6D578A"/>
    <w:rsid w:val="3B7E51F7"/>
    <w:rsid w:val="3B8811A4"/>
    <w:rsid w:val="3B9D352A"/>
    <w:rsid w:val="3BAC10D3"/>
    <w:rsid w:val="3BB865B6"/>
    <w:rsid w:val="3BD8303F"/>
    <w:rsid w:val="3C0F220A"/>
    <w:rsid w:val="3C267544"/>
    <w:rsid w:val="3C4D31A2"/>
    <w:rsid w:val="3C5A3D43"/>
    <w:rsid w:val="3C8C6D91"/>
    <w:rsid w:val="3D36354C"/>
    <w:rsid w:val="3D5773A9"/>
    <w:rsid w:val="3D7D7AB7"/>
    <w:rsid w:val="3DB657B3"/>
    <w:rsid w:val="3DB72FC9"/>
    <w:rsid w:val="3DBB413B"/>
    <w:rsid w:val="3DC93A44"/>
    <w:rsid w:val="3DD11BB1"/>
    <w:rsid w:val="3DE051EE"/>
    <w:rsid w:val="3DEB0EC4"/>
    <w:rsid w:val="3DED4811"/>
    <w:rsid w:val="3E1772ED"/>
    <w:rsid w:val="3E1F3CAD"/>
    <w:rsid w:val="3E292C29"/>
    <w:rsid w:val="3E3A7756"/>
    <w:rsid w:val="3E78615B"/>
    <w:rsid w:val="3E812CCF"/>
    <w:rsid w:val="3E8E35FE"/>
    <w:rsid w:val="3E970704"/>
    <w:rsid w:val="3E9854B3"/>
    <w:rsid w:val="3EDA6843"/>
    <w:rsid w:val="3EE37DED"/>
    <w:rsid w:val="3F19434D"/>
    <w:rsid w:val="3F891E69"/>
    <w:rsid w:val="3F9609BC"/>
    <w:rsid w:val="3F984C13"/>
    <w:rsid w:val="40026051"/>
    <w:rsid w:val="401961DF"/>
    <w:rsid w:val="402F15E7"/>
    <w:rsid w:val="40406169"/>
    <w:rsid w:val="40644F5E"/>
    <w:rsid w:val="40C907D4"/>
    <w:rsid w:val="40D01E95"/>
    <w:rsid w:val="40D82635"/>
    <w:rsid w:val="41076015"/>
    <w:rsid w:val="411C44F4"/>
    <w:rsid w:val="412755BD"/>
    <w:rsid w:val="414C1C7A"/>
    <w:rsid w:val="415303D5"/>
    <w:rsid w:val="416D1BF0"/>
    <w:rsid w:val="41ED7135"/>
    <w:rsid w:val="422F48A1"/>
    <w:rsid w:val="428E7BE1"/>
    <w:rsid w:val="42B20B36"/>
    <w:rsid w:val="42B87240"/>
    <w:rsid w:val="42C56EC3"/>
    <w:rsid w:val="42CC7312"/>
    <w:rsid w:val="42D31499"/>
    <w:rsid w:val="42FB66C8"/>
    <w:rsid w:val="430F2F5F"/>
    <w:rsid w:val="43192944"/>
    <w:rsid w:val="43394480"/>
    <w:rsid w:val="43404F60"/>
    <w:rsid w:val="434D6BCE"/>
    <w:rsid w:val="44131BBA"/>
    <w:rsid w:val="447255E6"/>
    <w:rsid w:val="448B4867"/>
    <w:rsid w:val="44A34615"/>
    <w:rsid w:val="44CD7E13"/>
    <w:rsid w:val="44FC5BB9"/>
    <w:rsid w:val="453A628D"/>
    <w:rsid w:val="454B2248"/>
    <w:rsid w:val="4550160D"/>
    <w:rsid w:val="459B4F7E"/>
    <w:rsid w:val="45B61DB8"/>
    <w:rsid w:val="45D2152F"/>
    <w:rsid w:val="45ED441E"/>
    <w:rsid w:val="45EE0F95"/>
    <w:rsid w:val="45F42F70"/>
    <w:rsid w:val="45F85626"/>
    <w:rsid w:val="46080139"/>
    <w:rsid w:val="462273F5"/>
    <w:rsid w:val="464A3A20"/>
    <w:rsid w:val="466556B5"/>
    <w:rsid w:val="46710516"/>
    <w:rsid w:val="4671255E"/>
    <w:rsid w:val="468A4D8B"/>
    <w:rsid w:val="4692195B"/>
    <w:rsid w:val="46E44703"/>
    <w:rsid w:val="470E15D4"/>
    <w:rsid w:val="47234C6F"/>
    <w:rsid w:val="476E0DE5"/>
    <w:rsid w:val="47E36768"/>
    <w:rsid w:val="47F941DE"/>
    <w:rsid w:val="484418FD"/>
    <w:rsid w:val="48643D4D"/>
    <w:rsid w:val="48733C90"/>
    <w:rsid w:val="4879178A"/>
    <w:rsid w:val="487D7E3E"/>
    <w:rsid w:val="48943F06"/>
    <w:rsid w:val="48967192"/>
    <w:rsid w:val="489A6313"/>
    <w:rsid w:val="48A95C04"/>
    <w:rsid w:val="48BB3C9E"/>
    <w:rsid w:val="48CE0A5C"/>
    <w:rsid w:val="48EB4CA0"/>
    <w:rsid w:val="49117305"/>
    <w:rsid w:val="4949445D"/>
    <w:rsid w:val="494E22CA"/>
    <w:rsid w:val="49962931"/>
    <w:rsid w:val="49B51BAE"/>
    <w:rsid w:val="49C7090D"/>
    <w:rsid w:val="4A442B3D"/>
    <w:rsid w:val="4A5E47CC"/>
    <w:rsid w:val="4A7E09CA"/>
    <w:rsid w:val="4A881849"/>
    <w:rsid w:val="4A884CC6"/>
    <w:rsid w:val="4AA52D9C"/>
    <w:rsid w:val="4AA55BC3"/>
    <w:rsid w:val="4ABC7D85"/>
    <w:rsid w:val="4BCD1C09"/>
    <w:rsid w:val="4C201CDE"/>
    <w:rsid w:val="4C254B4B"/>
    <w:rsid w:val="4C455C43"/>
    <w:rsid w:val="4C7B1665"/>
    <w:rsid w:val="4C7C3630"/>
    <w:rsid w:val="4C92075D"/>
    <w:rsid w:val="4CA441C7"/>
    <w:rsid w:val="4CC07F53"/>
    <w:rsid w:val="4CD01739"/>
    <w:rsid w:val="4D07114B"/>
    <w:rsid w:val="4D381CBD"/>
    <w:rsid w:val="4D403EDA"/>
    <w:rsid w:val="4D954046"/>
    <w:rsid w:val="4DC42B98"/>
    <w:rsid w:val="4DF71B22"/>
    <w:rsid w:val="4E0256F8"/>
    <w:rsid w:val="4E202AF3"/>
    <w:rsid w:val="4E29093D"/>
    <w:rsid w:val="4E3628DD"/>
    <w:rsid w:val="4E487C6D"/>
    <w:rsid w:val="4E6D29C4"/>
    <w:rsid w:val="4E9A0D74"/>
    <w:rsid w:val="4EE72FE2"/>
    <w:rsid w:val="4F282F37"/>
    <w:rsid w:val="4F441719"/>
    <w:rsid w:val="4F701691"/>
    <w:rsid w:val="4FAA2095"/>
    <w:rsid w:val="4FC60E49"/>
    <w:rsid w:val="4FF52C71"/>
    <w:rsid w:val="50137E07"/>
    <w:rsid w:val="503A7A08"/>
    <w:rsid w:val="5055041F"/>
    <w:rsid w:val="509A51EA"/>
    <w:rsid w:val="509E3ED1"/>
    <w:rsid w:val="50B138A7"/>
    <w:rsid w:val="50B415EA"/>
    <w:rsid w:val="514E559A"/>
    <w:rsid w:val="51E90E1F"/>
    <w:rsid w:val="51E92988"/>
    <w:rsid w:val="520E62B8"/>
    <w:rsid w:val="52263E21"/>
    <w:rsid w:val="528312E8"/>
    <w:rsid w:val="529A4BA7"/>
    <w:rsid w:val="52B50FFA"/>
    <w:rsid w:val="52BD5F36"/>
    <w:rsid w:val="52DA54E7"/>
    <w:rsid w:val="52E468A6"/>
    <w:rsid w:val="52E8669F"/>
    <w:rsid w:val="531F42E7"/>
    <w:rsid w:val="535E7C92"/>
    <w:rsid w:val="53D6797D"/>
    <w:rsid w:val="53E775E0"/>
    <w:rsid w:val="545D4AE8"/>
    <w:rsid w:val="54BC690A"/>
    <w:rsid w:val="54E12281"/>
    <w:rsid w:val="54FD5330"/>
    <w:rsid w:val="55132EB9"/>
    <w:rsid w:val="553C122E"/>
    <w:rsid w:val="55D61E8E"/>
    <w:rsid w:val="55E101CF"/>
    <w:rsid w:val="55F00828"/>
    <w:rsid w:val="56431446"/>
    <w:rsid w:val="56E5591B"/>
    <w:rsid w:val="57631674"/>
    <w:rsid w:val="576C66C6"/>
    <w:rsid w:val="5794495B"/>
    <w:rsid w:val="57A500D0"/>
    <w:rsid w:val="57BE55F9"/>
    <w:rsid w:val="57C351F2"/>
    <w:rsid w:val="57E11E3C"/>
    <w:rsid w:val="57F8000E"/>
    <w:rsid w:val="58532224"/>
    <w:rsid w:val="586236D9"/>
    <w:rsid w:val="586903C5"/>
    <w:rsid w:val="58711142"/>
    <w:rsid w:val="591A7404"/>
    <w:rsid w:val="59213594"/>
    <w:rsid w:val="593212FE"/>
    <w:rsid w:val="59590F80"/>
    <w:rsid w:val="59954846"/>
    <w:rsid w:val="59967813"/>
    <w:rsid w:val="59A732EE"/>
    <w:rsid w:val="59C3464B"/>
    <w:rsid w:val="59DE2BBE"/>
    <w:rsid w:val="59ED4668"/>
    <w:rsid w:val="5A296BA4"/>
    <w:rsid w:val="5A3215B5"/>
    <w:rsid w:val="5A410A6F"/>
    <w:rsid w:val="5A997D7B"/>
    <w:rsid w:val="5AD85ED5"/>
    <w:rsid w:val="5AF54CD9"/>
    <w:rsid w:val="5B487A9F"/>
    <w:rsid w:val="5B89006B"/>
    <w:rsid w:val="5B9C33A6"/>
    <w:rsid w:val="5BD668B8"/>
    <w:rsid w:val="5BE34B31"/>
    <w:rsid w:val="5C5B0B6B"/>
    <w:rsid w:val="5C65447A"/>
    <w:rsid w:val="5CC02D81"/>
    <w:rsid w:val="5CCD039C"/>
    <w:rsid w:val="5CE05C01"/>
    <w:rsid w:val="5D067F46"/>
    <w:rsid w:val="5DEA6484"/>
    <w:rsid w:val="5E2A0506"/>
    <w:rsid w:val="5EA66A16"/>
    <w:rsid w:val="5F5244A8"/>
    <w:rsid w:val="5F595E8D"/>
    <w:rsid w:val="5F8A2976"/>
    <w:rsid w:val="5F8B5C0B"/>
    <w:rsid w:val="5FB9070F"/>
    <w:rsid w:val="5FD56E87"/>
    <w:rsid w:val="5FE039CC"/>
    <w:rsid w:val="60502867"/>
    <w:rsid w:val="60591866"/>
    <w:rsid w:val="606C1599"/>
    <w:rsid w:val="60964868"/>
    <w:rsid w:val="609E76CE"/>
    <w:rsid w:val="60C31E90"/>
    <w:rsid w:val="60D137C0"/>
    <w:rsid w:val="60EE6452"/>
    <w:rsid w:val="60F7080B"/>
    <w:rsid w:val="611C2FBF"/>
    <w:rsid w:val="613D03AF"/>
    <w:rsid w:val="61412A26"/>
    <w:rsid w:val="61986847"/>
    <w:rsid w:val="61C5000F"/>
    <w:rsid w:val="62840C9B"/>
    <w:rsid w:val="628A124E"/>
    <w:rsid w:val="62917095"/>
    <w:rsid w:val="62BA0AE5"/>
    <w:rsid w:val="62E95123"/>
    <w:rsid w:val="63312626"/>
    <w:rsid w:val="63616C72"/>
    <w:rsid w:val="63753EA0"/>
    <w:rsid w:val="63923347"/>
    <w:rsid w:val="63A60D41"/>
    <w:rsid w:val="63BD32C9"/>
    <w:rsid w:val="63C45248"/>
    <w:rsid w:val="63C6035F"/>
    <w:rsid w:val="63EF1280"/>
    <w:rsid w:val="63F67AE4"/>
    <w:rsid w:val="649A1D1D"/>
    <w:rsid w:val="64E04304"/>
    <w:rsid w:val="64EC4A56"/>
    <w:rsid w:val="659B691E"/>
    <w:rsid w:val="65B23DC5"/>
    <w:rsid w:val="65D242C5"/>
    <w:rsid w:val="65E75AA3"/>
    <w:rsid w:val="65F10142"/>
    <w:rsid w:val="66124991"/>
    <w:rsid w:val="66770C98"/>
    <w:rsid w:val="669E4476"/>
    <w:rsid w:val="66E10C4D"/>
    <w:rsid w:val="67FD069B"/>
    <w:rsid w:val="68502200"/>
    <w:rsid w:val="685D140B"/>
    <w:rsid w:val="68AF2172"/>
    <w:rsid w:val="68D47A7B"/>
    <w:rsid w:val="68DF193E"/>
    <w:rsid w:val="68E80759"/>
    <w:rsid w:val="68E84E3F"/>
    <w:rsid w:val="68EB5016"/>
    <w:rsid w:val="68F04F40"/>
    <w:rsid w:val="68F76E5C"/>
    <w:rsid w:val="691A565F"/>
    <w:rsid w:val="69455133"/>
    <w:rsid w:val="69937B96"/>
    <w:rsid w:val="69C2222A"/>
    <w:rsid w:val="6A3757AC"/>
    <w:rsid w:val="6A701523"/>
    <w:rsid w:val="6A9C2A7B"/>
    <w:rsid w:val="6AC1406F"/>
    <w:rsid w:val="6AD54BB5"/>
    <w:rsid w:val="6B264A3A"/>
    <w:rsid w:val="6B3634BA"/>
    <w:rsid w:val="6B4120C8"/>
    <w:rsid w:val="6BDD42B9"/>
    <w:rsid w:val="6BE84649"/>
    <w:rsid w:val="6C085287"/>
    <w:rsid w:val="6C401523"/>
    <w:rsid w:val="6C537AB1"/>
    <w:rsid w:val="6CB843CF"/>
    <w:rsid w:val="6CD00EA6"/>
    <w:rsid w:val="6CD26C28"/>
    <w:rsid w:val="6CE6131C"/>
    <w:rsid w:val="6CEB1759"/>
    <w:rsid w:val="6D313420"/>
    <w:rsid w:val="6D54763D"/>
    <w:rsid w:val="6DDB7D5E"/>
    <w:rsid w:val="6DDD5A51"/>
    <w:rsid w:val="6DE51FC5"/>
    <w:rsid w:val="6DED2D3B"/>
    <w:rsid w:val="6E414422"/>
    <w:rsid w:val="6EA15698"/>
    <w:rsid w:val="6EA231BA"/>
    <w:rsid w:val="6F2E742E"/>
    <w:rsid w:val="6F410095"/>
    <w:rsid w:val="6F482D42"/>
    <w:rsid w:val="6FA523D2"/>
    <w:rsid w:val="701045B5"/>
    <w:rsid w:val="703D37EB"/>
    <w:rsid w:val="70C71D41"/>
    <w:rsid w:val="70E21403"/>
    <w:rsid w:val="70FA674D"/>
    <w:rsid w:val="712D6B22"/>
    <w:rsid w:val="714B0D57"/>
    <w:rsid w:val="715959B6"/>
    <w:rsid w:val="715B4B81"/>
    <w:rsid w:val="715F1DCE"/>
    <w:rsid w:val="717B055E"/>
    <w:rsid w:val="71A128C0"/>
    <w:rsid w:val="71F475E4"/>
    <w:rsid w:val="723B701D"/>
    <w:rsid w:val="72872262"/>
    <w:rsid w:val="729E26DA"/>
    <w:rsid w:val="7301390F"/>
    <w:rsid w:val="738549F4"/>
    <w:rsid w:val="73B07EB2"/>
    <w:rsid w:val="73ED585D"/>
    <w:rsid w:val="741E6BF6"/>
    <w:rsid w:val="7471020F"/>
    <w:rsid w:val="747607E0"/>
    <w:rsid w:val="74885165"/>
    <w:rsid w:val="757A7E5C"/>
    <w:rsid w:val="76065B94"/>
    <w:rsid w:val="76110D92"/>
    <w:rsid w:val="768C7E47"/>
    <w:rsid w:val="76D56593"/>
    <w:rsid w:val="77DF59B7"/>
    <w:rsid w:val="78462278"/>
    <w:rsid w:val="78A463ED"/>
    <w:rsid w:val="78AE6557"/>
    <w:rsid w:val="792C3B64"/>
    <w:rsid w:val="798557F2"/>
    <w:rsid w:val="79D25EED"/>
    <w:rsid w:val="79FE1404"/>
    <w:rsid w:val="7A043533"/>
    <w:rsid w:val="7A4B1055"/>
    <w:rsid w:val="7A534C54"/>
    <w:rsid w:val="7ADC47C3"/>
    <w:rsid w:val="7B280FD1"/>
    <w:rsid w:val="7B4B6523"/>
    <w:rsid w:val="7B8A69E6"/>
    <w:rsid w:val="7BD07335"/>
    <w:rsid w:val="7BD227A0"/>
    <w:rsid w:val="7C2D5E41"/>
    <w:rsid w:val="7C907F65"/>
    <w:rsid w:val="7CA010C3"/>
    <w:rsid w:val="7CA34E54"/>
    <w:rsid w:val="7CCE6A29"/>
    <w:rsid w:val="7CF33270"/>
    <w:rsid w:val="7D02603F"/>
    <w:rsid w:val="7D2C2B03"/>
    <w:rsid w:val="7D4A280A"/>
    <w:rsid w:val="7D657644"/>
    <w:rsid w:val="7DDB1C1B"/>
    <w:rsid w:val="7DE94A78"/>
    <w:rsid w:val="7E146C66"/>
    <w:rsid w:val="7E1D3989"/>
    <w:rsid w:val="7E417867"/>
    <w:rsid w:val="7ED61979"/>
    <w:rsid w:val="7F051133"/>
    <w:rsid w:val="7F150C8C"/>
    <w:rsid w:val="7F3948E4"/>
    <w:rsid w:val="7F61079B"/>
    <w:rsid w:val="7F836F37"/>
    <w:rsid w:val="7FCC39AA"/>
    <w:rsid w:val="7FDB19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宋体"/>
      <w:snapToGrid w:val="0"/>
      <w:spacing w:val="-1"/>
      <w:sz w:val="24"/>
      <w:szCs w:val="24"/>
      <w:lang w:val="en-US" w:eastAsia="en-US" w:bidi="ar-SA"/>
    </w:rPr>
  </w:style>
  <w:style w:type="paragraph" w:styleId="2">
    <w:name w:val="heading 1"/>
    <w:basedOn w:val="1"/>
    <w:next w:val="1"/>
    <w:qFormat/>
    <w:uiPriority w:val="0"/>
    <w:pPr>
      <w:keepNext/>
      <w:keepLines/>
      <w:widowControl w:val="0"/>
      <w:spacing w:line="460" w:lineRule="exact"/>
      <w:jc w:val="center"/>
      <w:outlineLvl w:val="0"/>
    </w:pPr>
    <w:rPr>
      <w:rFonts w:ascii="Times New Roman" w:hAnsi="Times New Roman" w:cs="Times New Roman"/>
      <w:b/>
      <w:bCs/>
      <w:kern w:val="44"/>
      <w:sz w:val="32"/>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paragraph" w:styleId="4">
    <w:name w:val="heading 3"/>
    <w:basedOn w:val="1"/>
    <w:next w:val="1"/>
    <w:unhideWhenUsed/>
    <w:qFormat/>
    <w:uiPriority w:val="0"/>
    <w:pPr>
      <w:keepNext/>
      <w:keepLines/>
      <w:kinsoku/>
      <w:spacing w:line="460" w:lineRule="exact"/>
      <w:jc w:val="center"/>
      <w:outlineLvl w:val="2"/>
    </w:pPr>
    <w:rPr>
      <w:rFonts w:ascii="Times New Roman" w:hAnsi="Times New Roman"/>
      <w:b/>
      <w:spacing w:val="0"/>
    </w:rPr>
  </w:style>
  <w:style w:type="paragraph" w:styleId="5">
    <w:name w:val="heading 4"/>
    <w:basedOn w:val="1"/>
    <w:next w:val="1"/>
    <w:link w:val="34"/>
    <w:unhideWhenUsed/>
    <w:qFormat/>
    <w:uiPriority w:val="0"/>
    <w:pPr>
      <w:keepNext/>
      <w:keepLines/>
      <w:spacing w:line="372" w:lineRule="auto"/>
      <w:outlineLvl w:val="3"/>
    </w:pPr>
    <w:rPr>
      <w:rFonts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szCs w:val="21"/>
    </w:rPr>
  </w:style>
  <w:style w:type="paragraph" w:styleId="7">
    <w:name w:val="Document Map"/>
    <w:basedOn w:val="1"/>
    <w:link w:val="50"/>
    <w:qFormat/>
    <w:uiPriority w:val="0"/>
    <w:rPr>
      <w:rFonts w:ascii="宋体"/>
      <w:sz w:val="18"/>
      <w:szCs w:val="18"/>
    </w:rPr>
  </w:style>
  <w:style w:type="paragraph" w:styleId="8">
    <w:name w:val="annotation text"/>
    <w:basedOn w:val="1"/>
    <w:qFormat/>
    <w:uiPriority w:val="0"/>
  </w:style>
  <w:style w:type="paragraph" w:styleId="9">
    <w:name w:val="Body Text"/>
    <w:basedOn w:val="1"/>
    <w:next w:val="1"/>
    <w:qFormat/>
    <w:uiPriority w:val="0"/>
    <w:rPr>
      <w:rFonts w:ascii="仿宋" w:hAnsi="仿宋" w:eastAsia="仿宋" w:cs="仿宋"/>
      <w:sz w:val="30"/>
      <w:szCs w:val="30"/>
    </w:rPr>
  </w:style>
  <w:style w:type="paragraph" w:styleId="10">
    <w:name w:val="Body Text Indent"/>
    <w:basedOn w:val="1"/>
    <w:unhideWhenUsed/>
    <w:qFormat/>
    <w:uiPriority w:val="99"/>
    <w:pPr>
      <w:spacing w:after="120"/>
      <w:ind w:left="420" w:leftChars="200"/>
    </w:pPr>
    <w:rPr>
      <w:rFonts w:eastAsia="微软雅黑"/>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 w:val="20"/>
      <w:szCs w:val="21"/>
    </w:rPr>
  </w:style>
  <w:style w:type="paragraph" w:styleId="13">
    <w:name w:val="Balloon Text"/>
    <w:basedOn w:val="1"/>
    <w:link w:val="49"/>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0"/>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9">
    <w:name w:val="toc 2"/>
    <w:basedOn w:val="1"/>
    <w:next w:val="1"/>
    <w:qFormat/>
    <w:uiPriority w:val="0"/>
    <w:pPr>
      <w:keepNext w:val="0"/>
      <w:keepLines w:val="0"/>
      <w:widowControl w:val="0"/>
      <w:suppressLineNumbers w:val="0"/>
      <w:ind w:left="420" w:leftChars="200" w:right="283" w:rightChars="135"/>
      <w:jc w:val="both"/>
    </w:pPr>
    <w:rPr>
      <w:rFonts w:hint="default" w:ascii="Times New Roman" w:hAnsi="Times New Roman" w:eastAsia="宋体" w:cs="Times New Roman"/>
      <w:kern w:val="2"/>
      <w:sz w:val="21"/>
      <w:szCs w:val="21"/>
      <w:lang w:val="en-US" w:eastAsia="zh-CN" w:bidi="ar"/>
    </w:rPr>
  </w:style>
  <w:style w:type="paragraph" w:styleId="20">
    <w:name w:val="Normal (Web)"/>
    <w:basedOn w:val="1"/>
    <w:qFormat/>
    <w:uiPriority w:val="0"/>
    <w:pPr>
      <w:spacing w:before="100" w:beforeAutospacing="1" w:after="100" w:afterAutospacing="1"/>
    </w:pPr>
    <w:rPr>
      <w:rFonts w:ascii="宋体" w:hAnsi="宋体"/>
    </w:rPr>
  </w:style>
  <w:style w:type="paragraph" w:styleId="21">
    <w:name w:val="Body Text First Indent"/>
    <w:basedOn w:val="9"/>
    <w:qFormat/>
    <w:uiPriority w:val="0"/>
    <w:pPr>
      <w:ind w:firstLine="420" w:firstLineChars="100"/>
    </w:pPr>
  </w:style>
  <w:style w:type="paragraph" w:styleId="22">
    <w:name w:val="Body Text First Indent 2"/>
    <w:basedOn w:val="10"/>
    <w:next w:val="21"/>
    <w:qFormat/>
    <w:uiPriority w:val="0"/>
    <w:pPr>
      <w:keepNext w:val="0"/>
      <w:keepLines w:val="0"/>
      <w:widowControl w:val="0"/>
      <w:suppressLineNumbers w:val="0"/>
      <w:ind w:left="105" w:leftChars="50" w:firstLine="420" w:firstLineChars="200"/>
      <w:jc w:val="both"/>
    </w:pPr>
    <w:rPr>
      <w:rFonts w:hint="eastAsia" w:ascii="宋体" w:hAnsi="宋体" w:eastAsia="宋体" w:cs="Times New Roman"/>
      <w:kern w:val="2"/>
      <w:sz w:val="21"/>
      <w:szCs w:val="21"/>
      <w:lang w:val="en-US" w:eastAsia="zh-CN" w:bidi="ar"/>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rPr>
  </w:style>
  <w:style w:type="character" w:styleId="27">
    <w:name w:val="page number"/>
    <w:basedOn w:val="25"/>
    <w:qFormat/>
    <w:uiPriority w:val="99"/>
    <w:rPr>
      <w:rFonts w:cs="Times New Roman"/>
    </w:rPr>
  </w:style>
  <w:style w:type="character" w:styleId="28">
    <w:name w:val="Emphasis"/>
    <w:qFormat/>
    <w:uiPriority w:val="0"/>
  </w:style>
  <w:style w:type="character" w:styleId="29">
    <w:name w:val="Hyperlink"/>
    <w:basedOn w:val="25"/>
    <w:qFormat/>
    <w:uiPriority w:val="0"/>
    <w:rPr>
      <w:color w:val="0000FF"/>
      <w:u w:val="single"/>
    </w:rPr>
  </w:style>
  <w:style w:type="character" w:styleId="30">
    <w:name w:val="annotation reference"/>
    <w:unhideWhenUsed/>
    <w:qFormat/>
    <w:uiPriority w:val="0"/>
    <w:rPr>
      <w:sz w:val="21"/>
      <w:szCs w:val="21"/>
    </w:rPr>
  </w:style>
  <w:style w:type="paragraph" w:customStyle="1" w:styleId="31">
    <w:name w:val="表格文字"/>
    <w:basedOn w:val="1"/>
    <w:qFormat/>
    <w:uiPriority w:val="0"/>
    <w:pPr>
      <w:spacing w:before="25" w:after="25"/>
      <w:jc w:val="left"/>
    </w:pPr>
    <w:rPr>
      <w:bCs/>
      <w:spacing w:val="10"/>
      <w:kern w:val="0"/>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Normal Indent"/>
    <w:basedOn w:val="1"/>
    <w:qFormat/>
    <w:uiPriority w:val="0"/>
    <w:pPr>
      <w:widowControl/>
      <w:ind w:firstLine="420" w:firstLineChars="200"/>
    </w:pPr>
  </w:style>
  <w:style w:type="character" w:customStyle="1" w:styleId="34">
    <w:name w:val="标题 4 Char"/>
    <w:link w:val="5"/>
    <w:qFormat/>
    <w:uiPriority w:val="0"/>
    <w:rPr>
      <w:rFonts w:ascii="Arial" w:hAnsi="Arial" w:eastAsia="黑体"/>
      <w:b/>
      <w:sz w:val="28"/>
    </w:rPr>
  </w:style>
  <w:style w:type="paragraph" w:customStyle="1" w:styleId="35">
    <w:name w:val="Normal Indent1"/>
    <w:basedOn w:val="1"/>
    <w:qFormat/>
    <w:uiPriority w:val="0"/>
    <w:pPr>
      <w:ind w:firstLine="420" w:firstLineChars="200"/>
    </w:p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style>
  <w:style w:type="paragraph" w:customStyle="1" w:styleId="38">
    <w:name w:val="Heading #2|1"/>
    <w:basedOn w:val="1"/>
    <w:qFormat/>
    <w:uiPriority w:val="0"/>
    <w:pPr>
      <w:widowControl w:val="0"/>
      <w:spacing w:after="580" w:line="634" w:lineRule="exact"/>
      <w:jc w:val="center"/>
      <w:outlineLvl w:val="1"/>
    </w:pPr>
    <w:rPr>
      <w:rFonts w:ascii="宋体" w:hAnsi="宋体"/>
      <w:sz w:val="44"/>
      <w:szCs w:val="44"/>
      <w:lang w:val="zh-TW" w:eastAsia="zh-TW" w:bidi="zh-TW"/>
    </w:rPr>
  </w:style>
  <w:style w:type="paragraph" w:customStyle="1" w:styleId="39">
    <w:name w:val="Body text|1"/>
    <w:basedOn w:val="1"/>
    <w:qFormat/>
    <w:uiPriority w:val="0"/>
    <w:pPr>
      <w:widowControl w:val="0"/>
      <w:spacing w:line="432" w:lineRule="auto"/>
      <w:ind w:firstLine="400"/>
    </w:pPr>
    <w:rPr>
      <w:rFonts w:ascii="宋体" w:hAnsi="宋体"/>
      <w:sz w:val="30"/>
      <w:szCs w:val="30"/>
      <w:lang w:val="zh-TW" w:eastAsia="zh-TW" w:bidi="zh-TW"/>
    </w:rPr>
  </w:style>
  <w:style w:type="paragraph" w:customStyle="1" w:styleId="40">
    <w:name w:val="Body text|2"/>
    <w:basedOn w:val="1"/>
    <w:qFormat/>
    <w:uiPriority w:val="0"/>
    <w:pPr>
      <w:widowControl w:val="0"/>
    </w:pPr>
    <w:rPr>
      <w:rFonts w:ascii="宋体" w:hAnsi="宋体"/>
      <w:sz w:val="26"/>
      <w:szCs w:val="26"/>
      <w:lang w:val="zh-TW" w:eastAsia="zh-TW" w:bidi="zh-TW"/>
    </w:rPr>
  </w:style>
  <w:style w:type="paragraph" w:customStyle="1" w:styleId="41">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样式1"/>
    <w:basedOn w:val="2"/>
    <w:qFormat/>
    <w:uiPriority w:val="0"/>
    <w:pPr>
      <w:spacing w:before="240" w:after="240" w:line="440" w:lineRule="exact"/>
    </w:pPr>
    <w:rPr>
      <w:rFonts w:eastAsia="楷体"/>
      <w:sz w:val="36"/>
      <w:szCs w:val="28"/>
    </w:rPr>
  </w:style>
  <w:style w:type="character" w:customStyle="1" w:styleId="43">
    <w:name w:val="font31"/>
    <w:qFormat/>
    <w:uiPriority w:val="0"/>
    <w:rPr>
      <w:rFonts w:hint="eastAsia" w:ascii="宋体" w:hAnsi="宋体" w:eastAsia="宋体" w:cs="宋体"/>
      <w:color w:val="000000"/>
      <w:sz w:val="21"/>
      <w:szCs w:val="21"/>
      <w:u w:val="none"/>
    </w:rPr>
  </w:style>
  <w:style w:type="paragraph" w:styleId="44">
    <w:name w:val="List Paragraph"/>
    <w:basedOn w:val="1"/>
    <w:qFormat/>
    <w:uiPriority w:val="34"/>
    <w:pPr>
      <w:ind w:firstLine="420" w:firstLineChars="200"/>
    </w:pPr>
    <w:rPr>
      <w:rFonts w:ascii="Times New Roman" w:hAnsi="Times New Roman" w:cs="Times New Roman"/>
    </w:rPr>
  </w:style>
  <w:style w:type="paragraph" w:customStyle="1" w:styleId="45">
    <w:name w:val="缺省文本"/>
    <w:basedOn w:val="1"/>
    <w:qFormat/>
    <w:uiPriority w:val="0"/>
    <w:pPr>
      <w:spacing w:before="20" w:after="20" w:line="400" w:lineRule="exact"/>
      <w:ind w:firstLine="504"/>
    </w:pPr>
    <w:rPr>
      <w:rFonts w:ascii="Times New Roman" w:hAnsi="Times New Roman" w:cs="Times New Roman"/>
      <w:szCs w:val="20"/>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9">
    <w:name w:val="批注框文本 Char"/>
    <w:basedOn w:val="25"/>
    <w:link w:val="13"/>
    <w:qFormat/>
    <w:uiPriority w:val="0"/>
    <w:rPr>
      <w:rFonts w:ascii="Arial" w:hAnsi="Arial" w:cs="宋体"/>
      <w:snapToGrid w:val="0"/>
      <w:spacing w:val="-1"/>
      <w:sz w:val="18"/>
      <w:szCs w:val="18"/>
      <w:lang w:eastAsia="en-US"/>
    </w:rPr>
  </w:style>
  <w:style w:type="character" w:customStyle="1" w:styleId="50">
    <w:name w:val="文档结构图 Char"/>
    <w:basedOn w:val="25"/>
    <w:link w:val="7"/>
    <w:qFormat/>
    <w:uiPriority w:val="0"/>
    <w:rPr>
      <w:rFonts w:ascii="宋体" w:hAnsi="Arial" w:cs="宋体"/>
      <w:snapToGrid w:val="0"/>
      <w:spacing w:val="-1"/>
      <w:sz w:val="18"/>
      <w:szCs w:val="18"/>
      <w:lang w:eastAsia="en-US"/>
    </w:rPr>
  </w:style>
  <w:style w:type="paragraph" w:customStyle="1" w:styleId="51">
    <w:name w:val="正文缩进1"/>
    <w:basedOn w:val="1"/>
    <w:qFormat/>
    <w:uiPriority w:val="0"/>
    <w:pPr>
      <w:ind w:firstLine="420" w:firstLineChars="200"/>
    </w:pPr>
  </w:style>
  <w:style w:type="character" w:customStyle="1" w:styleId="52">
    <w:name w:val="zisiblack2"/>
    <w:qFormat/>
    <w:uiPriority w:val="99"/>
    <w:rPr>
      <w:rFonts w:cs="Times New Roman"/>
    </w:rPr>
  </w:style>
  <w:style w:type="character" w:customStyle="1" w:styleId="53">
    <w:name w:val="16"/>
    <w:basedOn w:val="25"/>
    <w:qFormat/>
    <w:uiPriority w:val="0"/>
    <w:rPr>
      <w:rFonts w:hint="default" w:ascii="Times New Roman" w:hAnsi="Times New Roman" w:cs="Times New Roman"/>
    </w:rPr>
  </w:style>
  <w:style w:type="character" w:customStyle="1" w:styleId="54">
    <w:name w:val="15"/>
    <w:basedOn w:val="25"/>
    <w:qFormat/>
    <w:uiPriority w:val="0"/>
    <w:rPr>
      <w:rFonts w:hint="default" w:ascii="Times New Roman" w:hAnsi="Times New Roman" w:cs="Times New Roman"/>
    </w:rPr>
  </w:style>
  <w:style w:type="character" w:customStyle="1" w:styleId="55">
    <w:name w:val="10"/>
    <w:basedOn w:val="25"/>
    <w:qFormat/>
    <w:uiPriority w:val="0"/>
    <w:rPr>
      <w:rFonts w:hint="default" w:ascii="Times New Roman" w:hAnsi="Times New Roman" w:cs="Times New Roman"/>
    </w:rPr>
  </w:style>
  <w:style w:type="character" w:customStyle="1" w:styleId="56">
    <w:name w:val="fontstyle01"/>
    <w:qFormat/>
    <w:uiPriority w:val="0"/>
    <w:rPr>
      <w:rFonts w:hint="eastAsia" w:ascii="宋体" w:hAnsi="宋体" w:eastAsia="宋体"/>
      <w:color w:val="000000"/>
      <w:sz w:val="24"/>
      <w:szCs w:val="24"/>
    </w:rPr>
  </w:style>
  <w:style w:type="paragraph" w:customStyle="1" w:styleId="57">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58">
    <w:name w:val="首行缩进"/>
    <w:basedOn w:val="1"/>
    <w:qFormat/>
    <w:uiPriority w:val="0"/>
    <w:pPr>
      <w:spacing w:line="300" w:lineRule="auto"/>
      <w:ind w:firstLine="420" w:firstLineChars="200"/>
    </w:pPr>
    <w:rPr>
      <w:rFonts w:eastAsia="方正书宋简体"/>
      <w:kern w:val="0"/>
      <w:sz w:val="20"/>
    </w:rPr>
  </w:style>
  <w:style w:type="paragraph" w:customStyle="1" w:styleId="59">
    <w:name w:val="一级条标题"/>
    <w:basedOn w:val="60"/>
    <w:next w:val="61"/>
    <w:qFormat/>
    <w:uiPriority w:val="0"/>
    <w:pPr>
      <w:outlineLvl w:val="2"/>
    </w:pPr>
    <w:rPr>
      <w:sz w:val="20"/>
    </w:rPr>
  </w:style>
  <w:style w:type="paragraph" w:customStyle="1" w:styleId="60">
    <w:name w:val="章标题"/>
    <w:next w:val="61"/>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61">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62">
    <w:name w:val="Table Paragraph"/>
    <w:basedOn w:val="1"/>
    <w:qFormat/>
    <w:uiPriority w:val="1"/>
    <w:pPr>
      <w:jc w:val="left"/>
    </w:pPr>
    <w:rPr>
      <w:kern w:val="0"/>
      <w:sz w:val="22"/>
      <w:szCs w:val="22"/>
      <w:lang w:eastAsia="en-US"/>
    </w:rPr>
  </w:style>
  <w:style w:type="paragraph" w:customStyle="1" w:styleId="63">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4">
    <w:name w:val="font131"/>
    <w:basedOn w:val="25"/>
    <w:qFormat/>
    <w:uiPriority w:val="0"/>
    <w:rPr>
      <w:rFonts w:hint="default" w:ascii="Times New Roman" w:hAnsi="Times New Roman" w:cs="Times New Roman"/>
      <w:color w:val="000000"/>
      <w:sz w:val="20"/>
      <w:szCs w:val="20"/>
      <w:u w:val="none"/>
    </w:rPr>
  </w:style>
  <w:style w:type="character" w:customStyle="1" w:styleId="65">
    <w:name w:val="font141"/>
    <w:basedOn w:val="25"/>
    <w:qFormat/>
    <w:uiPriority w:val="0"/>
    <w:rPr>
      <w:rFonts w:hint="eastAsia" w:ascii="宋体" w:hAnsi="宋体" w:eastAsia="宋体" w:cs="宋体"/>
      <w:color w:val="000000"/>
      <w:sz w:val="20"/>
      <w:szCs w:val="20"/>
      <w:u w:val="none"/>
    </w:rPr>
  </w:style>
  <w:style w:type="character" w:customStyle="1" w:styleId="66">
    <w:name w:val="font111"/>
    <w:basedOn w:val="25"/>
    <w:qFormat/>
    <w:uiPriority w:val="0"/>
    <w:rPr>
      <w:rFonts w:ascii="Calibri" w:hAnsi="Calibri" w:cs="Calibri"/>
      <w:color w:val="000000"/>
      <w:sz w:val="20"/>
      <w:szCs w:val="20"/>
      <w:u w:val="none"/>
    </w:rPr>
  </w:style>
  <w:style w:type="character" w:customStyle="1" w:styleId="67">
    <w:name w:val="font122"/>
    <w:basedOn w:val="25"/>
    <w:qFormat/>
    <w:uiPriority w:val="0"/>
    <w:rPr>
      <w:rFonts w:hint="eastAsia" w:ascii="宋体" w:hAnsi="宋体" w:eastAsia="宋体" w:cs="宋体"/>
      <w:color w:val="000000"/>
      <w:sz w:val="20"/>
      <w:szCs w:val="20"/>
      <w:u w:val="none"/>
    </w:rPr>
  </w:style>
  <w:style w:type="character" w:customStyle="1" w:styleId="68">
    <w:name w:val="font81"/>
    <w:basedOn w:val="25"/>
    <w:qFormat/>
    <w:uiPriority w:val="0"/>
    <w:rPr>
      <w:rFonts w:hint="eastAsia" w:ascii="宋体" w:hAnsi="宋体" w:eastAsia="宋体" w:cs="宋体"/>
      <w:color w:val="000000"/>
      <w:sz w:val="20"/>
      <w:szCs w:val="20"/>
      <w:u w:val="none"/>
      <w:vertAlign w:val="superscript"/>
    </w:rPr>
  </w:style>
  <w:style w:type="character" w:customStyle="1" w:styleId="69">
    <w:name w:val="font91"/>
    <w:basedOn w:val="25"/>
    <w:qFormat/>
    <w:uiPriority w:val="0"/>
    <w:rPr>
      <w:rFonts w:hint="eastAsia" w:ascii="宋体" w:hAnsi="宋体" w:eastAsia="宋体" w:cs="宋体"/>
      <w:color w:val="000000"/>
      <w:sz w:val="18"/>
      <w:szCs w:val="18"/>
      <w:u w:val="none"/>
      <w:vertAlign w:val="superscript"/>
    </w:rPr>
  </w:style>
  <w:style w:type="character" w:customStyle="1" w:styleId="70">
    <w:name w:val="font01"/>
    <w:basedOn w:val="25"/>
    <w:qFormat/>
    <w:uiPriority w:val="0"/>
    <w:rPr>
      <w:rFonts w:hint="eastAsia" w:ascii="宋体" w:hAnsi="宋体" w:eastAsia="宋体" w:cs="宋体"/>
      <w:color w:val="000000"/>
      <w:sz w:val="24"/>
      <w:szCs w:val="24"/>
      <w:u w:val="none"/>
    </w:rPr>
  </w:style>
  <w:style w:type="paragraph" w:customStyle="1" w:styleId="71">
    <w:name w:val="正文文本缩进1"/>
    <w:basedOn w:val="1"/>
    <w:qFormat/>
    <w:uiPriority w:val="0"/>
    <w:pPr>
      <w:spacing w:line="500" w:lineRule="exact"/>
      <w:ind w:firstLine="880" w:firstLineChars="200"/>
    </w:pPr>
  </w:style>
  <w:style w:type="character" w:customStyle="1" w:styleId="72">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2930</Words>
  <Characters>2987</Characters>
  <Lines>1</Lines>
  <Paragraphs>1</Paragraphs>
  <TotalTime>4</TotalTime>
  <ScaleCrop>false</ScaleCrop>
  <LinksUpToDate>false</LinksUpToDate>
  <CharactersWithSpaces>2988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仰望</dc:creator>
  <cp:lastModifiedBy>娇娇</cp:lastModifiedBy>
  <cp:lastPrinted>2025-03-06T01:18:00Z</cp:lastPrinted>
  <dcterms:modified xsi:type="dcterms:W3CDTF">2025-12-09T09:22:36Z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2052-12.1.0.23542</vt:lpwstr>
  </property>
  <property fmtid="{D5CDD505-2E9C-101B-9397-08002B2CF9AE}" pid="5" name="ICV">
    <vt:lpwstr>2EC909245C1A41DBAA971D6A9481C27E_13</vt:lpwstr>
  </property>
  <property fmtid="{D5CDD505-2E9C-101B-9397-08002B2CF9AE}" pid="6" name="KSOTemplateDocerSaveRecord">
    <vt:lpwstr>eyJoZGlkIjoiMDM3ODVmNjQ1NjQ3ODg4MjEzMTA2ZmFjZTgyOTBhOTkiLCJ1c2VySWQiOiI4Nzc2MTU5MjQifQ==</vt:lpwstr>
  </property>
</Properties>
</file>