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526D1">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微软雅黑" w:hAnsi="微软雅黑" w:eastAsia="微软雅黑"/>
          <w:b w:val="0"/>
          <w:bCs w:val="0"/>
          <w:sz w:val="28"/>
          <w:szCs w:val="32"/>
          <w:lang w:eastAsia="zh-CN"/>
        </w:rPr>
      </w:pPr>
      <w:r>
        <w:rPr>
          <w:rFonts w:hint="eastAsia" w:ascii="微软雅黑" w:hAnsi="微软雅黑" w:eastAsia="微软雅黑"/>
          <w:b w:val="0"/>
          <w:bCs w:val="0"/>
          <w:sz w:val="28"/>
          <w:szCs w:val="32"/>
        </w:rPr>
        <w:t>南昌市</w:t>
      </w:r>
      <w:r>
        <w:rPr>
          <w:rFonts w:hint="eastAsia" w:ascii="微软雅黑" w:hAnsi="微软雅黑" w:eastAsia="微软雅黑"/>
          <w:b w:val="0"/>
          <w:bCs w:val="0"/>
          <w:sz w:val="28"/>
          <w:szCs w:val="32"/>
          <w:lang w:eastAsia="zh-CN"/>
        </w:rPr>
        <w:t>中心</w:t>
      </w:r>
      <w:r>
        <w:rPr>
          <w:rFonts w:hint="eastAsia" w:ascii="微软雅黑" w:hAnsi="微软雅黑" w:eastAsia="微软雅黑"/>
          <w:b w:val="0"/>
          <w:bCs w:val="0"/>
          <w:sz w:val="28"/>
          <w:szCs w:val="32"/>
        </w:rPr>
        <w:t>医院</w:t>
      </w:r>
      <w:r>
        <w:rPr>
          <w:rFonts w:hint="eastAsia" w:ascii="微软雅黑" w:hAnsi="微软雅黑" w:eastAsia="微软雅黑"/>
          <w:b w:val="0"/>
          <w:bCs w:val="0"/>
          <w:sz w:val="28"/>
          <w:szCs w:val="32"/>
          <w:lang w:eastAsia="zh-CN"/>
        </w:rPr>
        <w:t>（瑶湖分院）全自动生化分析仪（门诊检验）</w:t>
      </w:r>
    </w:p>
    <w:p w14:paraId="4C1F015D">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微软雅黑" w:hAnsi="微软雅黑" w:eastAsia="微软雅黑"/>
          <w:b w:val="0"/>
          <w:bCs w:val="0"/>
          <w:sz w:val="28"/>
          <w:szCs w:val="32"/>
        </w:rPr>
      </w:pPr>
      <w:r>
        <w:rPr>
          <w:rFonts w:hint="eastAsia" w:ascii="微软雅黑" w:hAnsi="微软雅黑" w:eastAsia="微软雅黑"/>
          <w:b w:val="0"/>
          <w:bCs w:val="0"/>
          <w:sz w:val="28"/>
          <w:szCs w:val="32"/>
          <w:lang w:val="en-US" w:eastAsia="zh-CN"/>
        </w:rPr>
        <w:t>调研</w:t>
      </w:r>
      <w:r>
        <w:rPr>
          <w:rFonts w:hint="eastAsia" w:ascii="微软雅黑" w:hAnsi="微软雅黑" w:eastAsia="微软雅黑"/>
          <w:b w:val="0"/>
          <w:bCs w:val="0"/>
          <w:sz w:val="28"/>
          <w:szCs w:val="32"/>
        </w:rPr>
        <w:t>需求</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186"/>
      </w:tblGrid>
      <w:tr w14:paraId="59FE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36" w:type="dxa"/>
            <w:vAlign w:val="center"/>
          </w:tcPr>
          <w:p w14:paraId="0B142752">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采购品目</w:t>
            </w:r>
          </w:p>
        </w:tc>
        <w:tc>
          <w:tcPr>
            <w:tcW w:w="7186" w:type="dxa"/>
          </w:tcPr>
          <w:p w14:paraId="3A5F02D8">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需求</w:t>
            </w:r>
          </w:p>
        </w:tc>
      </w:tr>
      <w:tr w14:paraId="7392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36" w:type="dxa"/>
            <w:vAlign w:val="center"/>
          </w:tcPr>
          <w:p w14:paraId="2898ED68">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全自动生化分析仪</w:t>
            </w:r>
          </w:p>
        </w:tc>
        <w:tc>
          <w:tcPr>
            <w:tcW w:w="7186" w:type="dxa"/>
          </w:tcPr>
          <w:p w14:paraId="4B1D94BF">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生化比色检测单元和电解质检测单元均为独立模块化设计具有扩展性，可根据工作量需求升级任选添加生化或电解质模块提高检测速度，所有试剂通道全部开放。</w:t>
            </w:r>
          </w:p>
          <w:p w14:paraId="41A97C58">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检测速度:生化检测模块比色速度≥2000测试/小时；电解质测定为独立的检测单元模块，具有独立的加样装置，电解质检测速度≥</w:t>
            </w:r>
            <w:r>
              <w:rPr>
                <w:rFonts w:hint="eastAsia" w:asciiTheme="minorEastAsia" w:hAnsiTheme="minorEastAsia" w:eastAsiaTheme="minorEastAsia" w:cstheme="minorEastAsia"/>
                <w:sz w:val="24"/>
                <w:szCs w:val="24"/>
                <w:lang w:val="en-US" w:eastAsia="zh-CN"/>
              </w:rPr>
              <w:t>600</w:t>
            </w:r>
            <w:r>
              <w:rPr>
                <w:rFonts w:hint="eastAsia" w:asciiTheme="minorEastAsia" w:hAnsiTheme="minorEastAsia" w:eastAsiaTheme="minorEastAsia" w:cstheme="minorEastAsia"/>
                <w:sz w:val="24"/>
                <w:szCs w:val="24"/>
              </w:rPr>
              <w:t>测试/小时，可根据需求单独添加电解质单元模块。</w:t>
            </w:r>
          </w:p>
          <w:p w14:paraId="450E230C">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试剂通道:≥100个，有冷藏功能，同时检测项目双试剂不少于50项</w:t>
            </w:r>
          </w:p>
          <w:p w14:paraId="3BD795E8">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 试剂加样量范围:10微升-</w:t>
            </w:r>
            <w:r>
              <w:rPr>
                <w:rFonts w:hint="eastAsia" w:asciiTheme="minorEastAsia" w:hAnsiTheme="minorEastAsia" w:eastAsiaTheme="minorEastAsia" w:cstheme="minorEastAsia"/>
                <w:sz w:val="24"/>
                <w:szCs w:val="24"/>
                <w:lang w:val="en-US" w:eastAsia="zh-CN"/>
              </w:rPr>
              <w:t>200</w:t>
            </w:r>
            <w:r>
              <w:rPr>
                <w:rFonts w:hint="eastAsia" w:asciiTheme="minorEastAsia" w:hAnsiTheme="minorEastAsia" w:eastAsiaTheme="minorEastAsia" w:cstheme="minorEastAsia"/>
                <w:sz w:val="24"/>
                <w:szCs w:val="24"/>
              </w:rPr>
              <w:t>微升</w:t>
            </w:r>
          </w:p>
          <w:p w14:paraId="16A9AEDB">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最少反应用量:≤</w:t>
            </w: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微升</w:t>
            </w:r>
          </w:p>
          <w:p w14:paraId="2D294820">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最少样品量:≤1.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微升，加样步进0.1微升</w:t>
            </w:r>
          </w:p>
          <w:p w14:paraId="1212B520">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样品加样方式:采用直接样品加样而非预稀释加样方式，且样品针≥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根</w:t>
            </w:r>
          </w:p>
          <w:p w14:paraId="6E3E7270">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测试波长:光栅后分光，波长340~800nm，≥1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个波长</w:t>
            </w:r>
          </w:p>
          <w:p w14:paraId="145DF60D">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 比色控温方式：</w:t>
            </w:r>
            <w:r>
              <w:rPr>
                <w:rFonts w:hint="eastAsia" w:asciiTheme="minorEastAsia" w:hAnsiTheme="minorEastAsia" w:eastAsiaTheme="minorEastAsia" w:cstheme="minorEastAsia"/>
                <w:sz w:val="24"/>
                <w:szCs w:val="24"/>
                <w:lang w:val="en-US" w:eastAsia="zh-CN"/>
              </w:rPr>
              <w:t>恒温控温精度37±0.1℃</w:t>
            </w:r>
            <w:r>
              <w:rPr>
                <w:rFonts w:hint="eastAsia" w:asciiTheme="minorEastAsia" w:hAnsiTheme="minorEastAsia" w:eastAsiaTheme="minorEastAsia" w:cstheme="minorEastAsia"/>
                <w:sz w:val="24"/>
                <w:szCs w:val="24"/>
              </w:rPr>
              <w:t>。</w:t>
            </w:r>
          </w:p>
          <w:p w14:paraId="7EED664C">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 反应杯:石英硬质玻璃杯</w:t>
            </w:r>
            <w:r>
              <w:rPr>
                <w:rFonts w:hint="eastAsia" w:asciiTheme="minorEastAsia" w:hAnsiTheme="minorEastAsia" w:eastAsiaTheme="minorEastAsia" w:cstheme="minorEastAsia"/>
                <w:sz w:val="24"/>
                <w:szCs w:val="24"/>
                <w:lang w:val="en-US" w:eastAsia="zh-CN"/>
              </w:rPr>
              <w:t>或UV塑料杯。</w:t>
            </w:r>
          </w:p>
          <w:p w14:paraId="75C58B5F">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样品位:轨道进样仓可同时放置≥200个病人样本，无须停机可任意装卸样本</w:t>
            </w:r>
            <w:r>
              <w:rPr>
                <w:rFonts w:hint="eastAsia" w:asciiTheme="minorEastAsia" w:hAnsiTheme="minorEastAsia" w:eastAsiaTheme="minorEastAsia" w:cstheme="minorEastAsia"/>
                <w:sz w:val="24"/>
                <w:szCs w:val="24"/>
                <w:lang w:eastAsia="zh-CN"/>
              </w:rPr>
              <w:t>。</w:t>
            </w:r>
          </w:p>
          <w:p w14:paraId="4303AC5C">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条形码识别:具有原装样本条形码识别功能</w:t>
            </w:r>
            <w:r>
              <w:rPr>
                <w:rFonts w:hint="eastAsia" w:asciiTheme="minorEastAsia" w:hAnsiTheme="minorEastAsia" w:eastAsiaTheme="minorEastAsia" w:cstheme="minorEastAsia"/>
                <w:sz w:val="24"/>
                <w:szCs w:val="24"/>
                <w:lang w:eastAsia="zh-CN"/>
              </w:rPr>
              <w:t>。</w:t>
            </w:r>
          </w:p>
          <w:p w14:paraId="5C884D7C">
            <w:pPr>
              <w:pStyle w:val="2"/>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具备联网功能:具备联网功能，接入实验室信息管理系统（LIS）人工、智能双向通讯系统或医院信息管理系统（HIS），为临床医疗提供高效率的信息共享服务，</w:t>
            </w:r>
            <w:r>
              <w:rPr>
                <w:rFonts w:hint="eastAsia" w:asciiTheme="minorEastAsia" w:hAnsiTheme="minorEastAsia" w:eastAsiaTheme="minorEastAsia" w:cstheme="minorEastAsia"/>
                <w:sz w:val="24"/>
                <w:szCs w:val="24"/>
                <w:lang w:eastAsia="zh-CN"/>
              </w:rPr>
              <w:t>并</w:t>
            </w:r>
            <w:r>
              <w:rPr>
                <w:rFonts w:hint="eastAsia" w:asciiTheme="minorEastAsia" w:hAnsiTheme="minorEastAsia" w:eastAsiaTheme="minorEastAsia" w:cstheme="minorEastAsia"/>
                <w:sz w:val="24"/>
                <w:szCs w:val="24"/>
              </w:rPr>
              <w:t>承担LIS，接口费用。</w:t>
            </w:r>
          </w:p>
        </w:tc>
      </w:tr>
    </w:tbl>
    <w:p w14:paraId="316FBE03"/>
    <w:p w14:paraId="7459E2EA">
      <w:pPr>
        <w:rPr>
          <w:rFonts w:hint="eastAsia" w:ascii="宋体" w:hAnsi="宋体" w:eastAsia="宋体" w:cs="宋体"/>
          <w:sz w:val="28"/>
          <w:szCs w:val="28"/>
          <w:lang w:eastAsia="zh-CN"/>
        </w:rPr>
      </w:pPr>
      <w:r>
        <w:rPr>
          <w:rFonts w:hint="eastAsia" w:ascii="宋体" w:hAnsi="宋体" w:eastAsia="宋体" w:cs="宋体"/>
          <w:sz w:val="28"/>
          <w:szCs w:val="28"/>
          <w:lang w:eastAsia="zh-CN"/>
        </w:rPr>
        <w:t>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室：</w:t>
      </w:r>
    </w:p>
    <w:p w14:paraId="247056AE">
      <w:pPr>
        <w:rPr>
          <w:rFonts w:hint="eastAsia" w:ascii="宋体" w:hAnsi="宋体" w:eastAsia="宋体" w:cs="宋体"/>
          <w:sz w:val="28"/>
          <w:szCs w:val="28"/>
          <w:lang w:eastAsia="zh-CN"/>
        </w:rPr>
      </w:pPr>
    </w:p>
    <w:p w14:paraId="27F00B8B">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督</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组</w:t>
      </w:r>
      <w:r>
        <w:rPr>
          <w:rFonts w:hint="eastAsia" w:ascii="宋体" w:hAnsi="宋体" w:eastAsia="宋体" w:cs="宋体"/>
          <w:sz w:val="28"/>
          <w:szCs w:val="28"/>
          <w:lang w:val="en-US" w:eastAsia="zh-CN"/>
        </w:rPr>
        <w:t xml:space="preserve"> :</w:t>
      </w:r>
    </w:p>
    <w:p w14:paraId="1AE14813">
      <w:pPr>
        <w:rPr>
          <w:rFonts w:hint="eastAsia" w:ascii="宋体" w:hAnsi="宋体" w:eastAsia="宋体" w:cs="宋体"/>
          <w:sz w:val="28"/>
          <w:szCs w:val="28"/>
          <w:lang w:val="en-US" w:eastAsia="zh-CN"/>
        </w:rPr>
      </w:pPr>
    </w:p>
    <w:p w14:paraId="4FF46FC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调  研  组 ：</w:t>
      </w:r>
    </w:p>
    <w:p w14:paraId="3FEB0878">
      <w:pPr>
        <w:rPr>
          <w:rFonts w:hint="eastAsia" w:ascii="宋体" w:hAnsi="宋体" w:eastAsia="宋体" w:cs="宋体"/>
          <w:sz w:val="28"/>
          <w:szCs w:val="28"/>
          <w:lang w:val="en-US" w:eastAsia="zh-CN"/>
        </w:rPr>
      </w:pPr>
    </w:p>
    <w:p w14:paraId="22CA1A12">
      <w:pPr>
        <w:rPr>
          <w:rFonts w:hint="eastAsia" w:ascii="宋体" w:hAnsi="宋体" w:eastAsia="宋体" w:cs="宋体"/>
          <w:sz w:val="28"/>
          <w:szCs w:val="28"/>
          <w:lang w:val="en-US" w:eastAsia="zh-CN"/>
        </w:rPr>
      </w:pPr>
    </w:p>
    <w:p w14:paraId="410694C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分 管 领 导：</w:t>
      </w:r>
    </w:p>
    <w:p w14:paraId="6764B84A">
      <w:pPr>
        <w:rPr>
          <w:rFonts w:hint="eastAsia" w:ascii="宋体" w:hAnsi="宋体" w:eastAsia="宋体" w:cs="宋体"/>
          <w:sz w:val="28"/>
          <w:szCs w:val="28"/>
          <w:lang w:val="en-US" w:eastAsia="zh-CN"/>
        </w:rPr>
      </w:pPr>
    </w:p>
    <w:p w14:paraId="3AC6C49E">
      <w:pPr>
        <w:rPr>
          <w:rFonts w:hint="eastAsia" w:ascii="宋体" w:hAnsi="宋体" w:eastAsia="宋体" w:cs="宋体"/>
          <w:sz w:val="28"/>
          <w:szCs w:val="28"/>
          <w:lang w:val="en-US" w:eastAsia="zh-CN"/>
        </w:rPr>
      </w:pPr>
    </w:p>
    <w:p w14:paraId="1894EDB0">
      <w:pPr>
        <w:rPr>
          <w:rFonts w:hint="eastAsia"/>
          <w:sz w:val="28"/>
          <w:szCs w:val="28"/>
          <w:lang w:eastAsia="zh-CN"/>
        </w:rPr>
      </w:pPr>
      <w:r>
        <w:rPr>
          <w:rFonts w:hint="eastAsia" w:ascii="宋体" w:hAnsi="宋体" w:eastAsia="宋体" w:cs="宋体"/>
          <w:sz w:val="28"/>
          <w:szCs w:val="28"/>
          <w:lang w:val="en-US" w:eastAsia="zh-CN"/>
        </w:rPr>
        <w:t>时      间：</w:t>
      </w:r>
    </w:p>
    <w:p w14:paraId="140E7516">
      <w:pPr>
        <w:rPr>
          <w:rFonts w:hint="eastAsia" w:eastAsiaTheme="minorEastAsia"/>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A3E42"/>
    <w:rsid w:val="275A0436"/>
    <w:rsid w:val="29B70697"/>
    <w:rsid w:val="2A2B0037"/>
    <w:rsid w:val="2B60255F"/>
    <w:rsid w:val="2D0B5BE3"/>
    <w:rsid w:val="39A873D1"/>
    <w:rsid w:val="3A592F14"/>
    <w:rsid w:val="3F5C7044"/>
    <w:rsid w:val="51307605"/>
    <w:rsid w:val="5AC00A59"/>
    <w:rsid w:val="61E2202A"/>
    <w:rsid w:val="66FB0072"/>
    <w:rsid w:val="7B32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551</Characters>
  <Lines>0</Lines>
  <Paragraphs>0</Paragraphs>
  <TotalTime>0</TotalTime>
  <ScaleCrop>false</ScaleCrop>
  <LinksUpToDate>false</LinksUpToDate>
  <CharactersWithSpaces>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2025-05-17T12:01:00Z</dcterms:created>
  <dc:creator>Administrator</dc:creator>
  <cp:lastModifiedBy>圳</cp:lastModifiedBy>
  <cp:lastPrinted>2025-09-04T09:33:00Z</cp:lastPrinted>
  <dcterms:modified xsi:type="dcterms:W3CDTF">2025-09-05T05:00:44Z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eyJoZGlkIjoiMTRlY2Y0YjVlYTExOTcyNmE4NGUyNTRiM2JjNzBjYTMiLCJ1c2VySWQiOiI1OTAyOTE1NDgifQ==</vt:lpwstr>
  </property>
  <property fmtid="{D5CDD505-2E9C-101B-9397-08002B2CF9AE}" pid="4" name="ICV">
    <vt:lpwstr>D87D94C35065478FBC68E401EFAAA576_12</vt:lpwstr>
  </property>
</Properties>
</file>