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BB2AF">
      <w:pPr>
        <w:pStyle w:val="9"/>
        <w:numPr>
          <w:ilvl w:val="0"/>
          <w:numId w:val="0"/>
        </w:numPr>
        <w:adjustRightInd w:val="0"/>
        <w:snapToGrid w:val="0"/>
        <w:jc w:val="center"/>
        <w:rPr>
          <w:rFonts w:hint="eastAsia" w:asciiTheme="minorEastAsia" w:hAnsiTheme="minorEastAsia" w:eastAsiaTheme="minorEastAsia" w:cstheme="minorEastAsia"/>
          <w:b/>
          <w:bCs/>
          <w:sz w:val="36"/>
          <w:szCs w:val="36"/>
          <w:u w:val="none"/>
          <w:lang w:val="en-US" w:eastAsia="zh-CN"/>
        </w:rPr>
      </w:pPr>
      <w:r>
        <w:rPr>
          <w:rFonts w:hint="eastAsia" w:asciiTheme="minorEastAsia" w:hAnsiTheme="minorEastAsia" w:eastAsiaTheme="minorEastAsia" w:cstheme="minorEastAsia"/>
          <w:b/>
          <w:bCs/>
          <w:sz w:val="36"/>
          <w:szCs w:val="36"/>
          <w:u w:val="none"/>
          <w:lang w:eastAsia="zh-CN"/>
        </w:rPr>
        <w:t>江西省赣州监狱</w:t>
      </w:r>
      <w:r>
        <w:rPr>
          <w:rFonts w:hint="eastAsia" w:asciiTheme="minorEastAsia" w:hAnsiTheme="minorEastAsia" w:eastAsiaTheme="minorEastAsia" w:cstheme="minorEastAsia"/>
          <w:b/>
          <w:bCs/>
          <w:sz w:val="36"/>
          <w:szCs w:val="36"/>
          <w:u w:val="none"/>
          <w:lang w:val="en-US" w:eastAsia="zh-CN"/>
        </w:rPr>
        <w:t>2025年监狱医院医疗设备采购需求方案</w:t>
      </w:r>
    </w:p>
    <w:p w14:paraId="5ED72A90">
      <w:pPr>
        <w:pStyle w:val="9"/>
        <w:numPr>
          <w:ilvl w:val="0"/>
          <w:numId w:val="0"/>
        </w:numPr>
        <w:adjustRightInd w:val="0"/>
        <w:snapToGrid w:val="0"/>
        <w:ind w:firstLine="723" w:firstLineChars="200"/>
        <w:jc w:val="center"/>
        <w:rPr>
          <w:rFonts w:hint="eastAsia" w:asciiTheme="minorEastAsia" w:hAnsiTheme="minorEastAsia" w:eastAsiaTheme="minorEastAsia" w:cstheme="minorEastAsia"/>
          <w:b/>
          <w:bCs/>
          <w:sz w:val="36"/>
          <w:szCs w:val="36"/>
          <w:u w:val="none"/>
          <w:lang w:val="en-US" w:eastAsia="zh-CN"/>
        </w:rPr>
      </w:pPr>
      <w:r>
        <w:rPr>
          <w:rFonts w:hint="eastAsia" w:asciiTheme="minorEastAsia" w:hAnsiTheme="minorEastAsia" w:eastAsiaTheme="minorEastAsia" w:cstheme="minorEastAsia"/>
          <w:b/>
          <w:bCs/>
          <w:sz w:val="36"/>
          <w:szCs w:val="36"/>
          <w:u w:val="none"/>
          <w:lang w:val="en-US" w:eastAsia="zh-CN"/>
        </w:rPr>
        <w:t>(参考格式）</w:t>
      </w:r>
    </w:p>
    <w:p w14:paraId="3106C3A6">
      <w:pPr>
        <w:pStyle w:val="9"/>
        <w:numPr>
          <w:ilvl w:val="0"/>
          <w:numId w:val="0"/>
        </w:numPr>
        <w:adjustRightInd w:val="0"/>
        <w:snapToGrid w:val="0"/>
        <w:ind w:firstLine="723" w:firstLineChars="200"/>
        <w:jc w:val="center"/>
        <w:rPr>
          <w:rFonts w:hint="eastAsia" w:asciiTheme="minorEastAsia" w:hAnsiTheme="minorEastAsia" w:eastAsiaTheme="minorEastAsia" w:cstheme="minorEastAsia"/>
          <w:b/>
          <w:bCs/>
          <w:sz w:val="36"/>
          <w:szCs w:val="36"/>
          <w:u w:val="none"/>
          <w:lang w:val="en-GB"/>
        </w:rPr>
      </w:pPr>
    </w:p>
    <w:p w14:paraId="117BE4F8">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一、</w:t>
      </w:r>
      <w:r>
        <w:rPr>
          <w:rFonts w:hint="eastAsia" w:asciiTheme="minorEastAsia" w:hAnsiTheme="minorEastAsia" w:eastAsiaTheme="minorEastAsia" w:cstheme="minorEastAsia"/>
          <w:b/>
          <w:bCs/>
          <w:sz w:val="28"/>
          <w:szCs w:val="28"/>
          <w:u w:val="none"/>
          <w:lang w:val="en-GB"/>
        </w:rPr>
        <w:t>采购</w:t>
      </w:r>
      <w:r>
        <w:rPr>
          <w:rFonts w:hint="eastAsia" w:asciiTheme="minorEastAsia" w:hAnsiTheme="minorEastAsia" w:eastAsiaTheme="minorEastAsia" w:cstheme="minorEastAsia"/>
          <w:b/>
          <w:bCs/>
          <w:sz w:val="28"/>
          <w:szCs w:val="28"/>
          <w:u w:val="none"/>
          <w:lang w:val="en-GB" w:eastAsia="zh-CN"/>
        </w:rPr>
        <w:t>内容、预算及其响应要求</w:t>
      </w:r>
    </w:p>
    <w:tbl>
      <w:tblPr>
        <w:tblStyle w:val="15"/>
        <w:tblW w:w="9645" w:type="dxa"/>
        <w:jc w:val="center"/>
        <w:tblLayout w:type="fixed"/>
        <w:tblCellMar>
          <w:top w:w="0" w:type="dxa"/>
          <w:left w:w="108" w:type="dxa"/>
          <w:bottom w:w="0" w:type="dxa"/>
          <w:right w:w="108" w:type="dxa"/>
        </w:tblCellMar>
      </w:tblPr>
      <w:tblGrid>
        <w:gridCol w:w="720"/>
        <w:gridCol w:w="3457"/>
        <w:gridCol w:w="758"/>
        <w:gridCol w:w="787"/>
        <w:gridCol w:w="1305"/>
        <w:gridCol w:w="1230"/>
        <w:gridCol w:w="1388"/>
      </w:tblGrid>
      <w:tr w14:paraId="7E134B32">
        <w:tblPrEx>
          <w:tblCellMar>
            <w:top w:w="0" w:type="dxa"/>
            <w:left w:w="108" w:type="dxa"/>
            <w:bottom w:w="0" w:type="dxa"/>
            <w:right w:w="108" w:type="dxa"/>
          </w:tblCellMar>
        </w:tblPrEx>
        <w:trPr>
          <w:trHeight w:val="92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8BC2">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序号</w:t>
            </w:r>
          </w:p>
        </w:tc>
        <w:tc>
          <w:tcPr>
            <w:tcW w:w="3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F14F">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品  名</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143D">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单位</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CB1F">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6E74">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eastAsia="zh-CN"/>
              </w:rPr>
              <w:t>预算</w:t>
            </w:r>
            <w:r>
              <w:rPr>
                <w:rFonts w:hint="eastAsia" w:asciiTheme="minorEastAsia" w:hAnsiTheme="minorEastAsia" w:eastAsiaTheme="minorEastAsia" w:cstheme="minorEastAsia"/>
                <w:color w:val="auto"/>
                <w:sz w:val="24"/>
                <w:szCs w:val="24"/>
                <w:lang w:val="en-GB"/>
              </w:rPr>
              <w:t>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7166">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eastAsia="zh-CN"/>
              </w:rPr>
              <w:t>预算</w:t>
            </w:r>
            <w:r>
              <w:rPr>
                <w:rFonts w:hint="eastAsia" w:asciiTheme="minorEastAsia" w:hAnsiTheme="minorEastAsia" w:eastAsiaTheme="minorEastAsia" w:cstheme="minorEastAsia"/>
                <w:color w:val="auto"/>
                <w:sz w:val="24"/>
                <w:szCs w:val="24"/>
                <w:lang w:val="en-GB"/>
              </w:rPr>
              <w:t>金额（元）</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1C0E">
            <w:pPr>
              <w:kinsoku/>
              <w:spacing w:line="360" w:lineRule="auto"/>
              <w:jc w:val="center"/>
              <w:rPr>
                <w:rFonts w:hint="eastAsia" w:asciiTheme="minorEastAsia" w:hAnsiTheme="minorEastAsia" w:eastAsiaTheme="minorEastAsia" w:cstheme="minorEastAsia"/>
                <w:color w:val="auto"/>
                <w:sz w:val="24"/>
                <w:szCs w:val="24"/>
                <w:lang w:val="en-GB" w:eastAsia="zh-CN"/>
              </w:rPr>
            </w:pPr>
            <w:r>
              <w:rPr>
                <w:rFonts w:hint="eastAsia" w:asciiTheme="minorEastAsia" w:hAnsiTheme="minorEastAsia" w:eastAsiaTheme="minorEastAsia" w:cstheme="minorEastAsia"/>
                <w:color w:val="auto"/>
                <w:sz w:val="24"/>
                <w:szCs w:val="24"/>
                <w:lang w:val="en-GB" w:eastAsia="zh-CN"/>
              </w:rPr>
              <w:t>合计预算金额（元）</w:t>
            </w:r>
          </w:p>
        </w:tc>
      </w:tr>
      <w:tr w14:paraId="026475DA">
        <w:tblPrEx>
          <w:tblCellMar>
            <w:top w:w="0" w:type="dxa"/>
            <w:left w:w="108" w:type="dxa"/>
            <w:bottom w:w="0" w:type="dxa"/>
            <w:right w:w="108" w:type="dxa"/>
          </w:tblCellMar>
        </w:tblPrEx>
        <w:trPr>
          <w:trHeight w:val="736"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C0A2">
            <w:pPr>
              <w:kinsoku/>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EB2D8">
            <w:pPr>
              <w:kinsoku/>
              <w:spacing w:line="360" w:lineRule="auto"/>
              <w:jc w:val="center"/>
              <w:rPr>
                <w:rFonts w:hint="eastAsia" w:asciiTheme="minorEastAsia" w:hAnsiTheme="minorEastAsia" w:eastAsiaTheme="minorEastAsia" w:cstheme="minorEastAsia"/>
                <w:b w:val="0"/>
                <w:bCs w:val="0"/>
                <w:color w:val="auto"/>
                <w:sz w:val="24"/>
                <w:szCs w:val="24"/>
                <w:lang w:val="en-GB"/>
              </w:rPr>
            </w:pPr>
            <w:r>
              <w:rPr>
                <w:rFonts w:hint="eastAsia" w:asciiTheme="minorEastAsia" w:hAnsiTheme="minorEastAsia" w:eastAsiaTheme="minorEastAsia" w:cstheme="minorEastAsia"/>
                <w:b w:val="0"/>
                <w:bCs w:val="0"/>
                <w:color w:val="auto"/>
                <w:sz w:val="24"/>
                <w:szCs w:val="24"/>
                <w:lang w:val="en-GB" w:eastAsia="zh-CN"/>
              </w:rPr>
              <w:t>全数字彩色多普勒超声诊断仪</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77FDA">
            <w:pPr>
              <w:kinsoku/>
              <w:spacing w:line="360" w:lineRule="auto"/>
              <w:jc w:val="center"/>
              <w:rPr>
                <w:rFonts w:hint="eastAsia" w:asciiTheme="minorEastAsia" w:hAnsiTheme="minorEastAsia" w:eastAsiaTheme="minorEastAsia" w:cstheme="minorEastAsia"/>
                <w:b w:val="0"/>
                <w:bCs w:val="0"/>
                <w:color w:val="auto"/>
                <w:sz w:val="24"/>
                <w:szCs w:val="24"/>
                <w:lang w:val="en-GB"/>
              </w:rPr>
            </w:pPr>
            <w:r>
              <w:rPr>
                <w:rFonts w:hint="eastAsia" w:asciiTheme="minorEastAsia" w:hAnsiTheme="minorEastAsia" w:eastAsiaTheme="minorEastAsia" w:cstheme="minorEastAsia"/>
                <w:b w:val="0"/>
                <w:bCs w:val="0"/>
                <w:color w:val="auto"/>
                <w:sz w:val="24"/>
                <w:szCs w:val="24"/>
                <w:lang w:val="en-GB"/>
              </w:rPr>
              <w:t>台</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297A7">
            <w:pPr>
              <w:kinsoku/>
              <w:spacing w:line="360" w:lineRule="auto"/>
              <w:jc w:val="center"/>
              <w:rPr>
                <w:rFonts w:hint="eastAsia" w:asciiTheme="minorEastAsia" w:hAnsiTheme="minorEastAsia" w:eastAsiaTheme="minorEastAsia" w:cstheme="minorEastAsia"/>
                <w:b w:val="0"/>
                <w:bCs w:val="0"/>
                <w:color w:val="auto"/>
                <w:sz w:val="24"/>
                <w:szCs w:val="24"/>
                <w:lang w:val="en-GB"/>
              </w:rPr>
            </w:pPr>
            <w:r>
              <w:rPr>
                <w:rFonts w:hint="eastAsia" w:asciiTheme="minorEastAsia" w:hAnsiTheme="minorEastAsia" w:eastAsiaTheme="minorEastAsia" w:cstheme="minorEastAsia"/>
                <w:b w:val="0"/>
                <w:bCs w:val="0"/>
                <w:color w:val="auto"/>
                <w:sz w:val="24"/>
                <w:szCs w:val="24"/>
                <w:lang w:val="en-GB"/>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9B210">
            <w:pPr>
              <w:kinsoku/>
              <w:spacing w:line="360" w:lineRule="auto"/>
              <w:jc w:val="center"/>
              <w:rPr>
                <w:rFonts w:hint="eastAsia" w:asciiTheme="minorEastAsia" w:hAnsiTheme="minorEastAsia" w:eastAsiaTheme="minorEastAsia" w:cstheme="minorEastAsia"/>
                <w:b w:val="0"/>
                <w:bCs w:val="0"/>
                <w:color w:val="auto"/>
                <w:sz w:val="24"/>
                <w:szCs w:val="24"/>
                <w:lang w:val="en-GB"/>
              </w:rPr>
            </w:pPr>
            <w:r>
              <w:rPr>
                <w:rFonts w:hint="eastAsia" w:asciiTheme="minorEastAsia" w:hAnsiTheme="minorEastAsia" w:eastAsiaTheme="minorEastAsia" w:cstheme="minorEastAsia"/>
                <w:b w:val="0"/>
                <w:bCs w:val="0"/>
                <w:color w:val="auto"/>
                <w:sz w:val="24"/>
                <w:szCs w:val="24"/>
                <w:lang w:val="en-US" w:eastAsia="zh-CN"/>
              </w:rPr>
              <w:t>522</w:t>
            </w:r>
            <w:r>
              <w:rPr>
                <w:rFonts w:hint="eastAsia" w:asciiTheme="minorEastAsia" w:hAnsiTheme="minorEastAsia" w:eastAsiaTheme="minorEastAsia" w:cstheme="minorEastAsia"/>
                <w:b w:val="0"/>
                <w:bCs w:val="0"/>
                <w:color w:val="auto"/>
                <w:sz w:val="24"/>
                <w:szCs w:val="24"/>
                <w:lang w:val="en-GB"/>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EF0BA">
            <w:pPr>
              <w:kinsoku/>
              <w:spacing w:line="360" w:lineRule="auto"/>
              <w:jc w:val="center"/>
              <w:rPr>
                <w:rFonts w:hint="eastAsia" w:asciiTheme="minorEastAsia" w:hAnsiTheme="minorEastAsia" w:eastAsiaTheme="minorEastAsia" w:cstheme="minorEastAsia"/>
                <w:b w:val="0"/>
                <w:bCs w:val="0"/>
                <w:color w:val="auto"/>
                <w:sz w:val="24"/>
                <w:szCs w:val="24"/>
                <w:lang w:val="en-GB"/>
              </w:rPr>
            </w:pPr>
            <w:r>
              <w:rPr>
                <w:rFonts w:hint="eastAsia" w:asciiTheme="minorEastAsia" w:hAnsiTheme="minorEastAsia" w:eastAsiaTheme="minorEastAsia" w:cstheme="minorEastAsia"/>
                <w:b w:val="0"/>
                <w:bCs w:val="0"/>
                <w:color w:val="auto"/>
                <w:sz w:val="24"/>
                <w:szCs w:val="24"/>
                <w:lang w:val="en-US" w:eastAsia="zh-CN"/>
              </w:rPr>
              <w:t>522</w:t>
            </w:r>
            <w:r>
              <w:rPr>
                <w:rFonts w:hint="eastAsia" w:asciiTheme="minorEastAsia" w:hAnsiTheme="minorEastAsia" w:eastAsiaTheme="minorEastAsia" w:cstheme="minorEastAsia"/>
                <w:b w:val="0"/>
                <w:bCs w:val="0"/>
                <w:color w:val="auto"/>
                <w:sz w:val="24"/>
                <w:szCs w:val="24"/>
                <w:lang w:val="en-GB"/>
              </w:rPr>
              <w:t>000</w:t>
            </w:r>
          </w:p>
        </w:tc>
        <w:tc>
          <w:tcPr>
            <w:tcW w:w="1388" w:type="dxa"/>
            <w:vMerge w:val="restart"/>
            <w:tcBorders>
              <w:top w:val="single" w:color="000000" w:sz="4" w:space="0"/>
              <w:left w:val="single" w:color="000000" w:sz="4" w:space="0"/>
              <w:right w:val="single" w:color="000000" w:sz="4" w:space="0"/>
            </w:tcBorders>
            <w:shd w:val="clear" w:color="auto" w:fill="FFFFFF"/>
            <w:vAlign w:val="center"/>
          </w:tcPr>
          <w:p w14:paraId="1A78648E">
            <w:pPr>
              <w:kinsoku/>
              <w:spacing w:line="360" w:lineRule="auto"/>
              <w:jc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974000</w:t>
            </w:r>
          </w:p>
        </w:tc>
      </w:tr>
      <w:tr w14:paraId="14FFDA80">
        <w:tblPrEx>
          <w:tblCellMar>
            <w:top w:w="0" w:type="dxa"/>
            <w:left w:w="108" w:type="dxa"/>
            <w:bottom w:w="0" w:type="dxa"/>
            <w:right w:w="108" w:type="dxa"/>
          </w:tblCellMar>
        </w:tblPrEx>
        <w:trPr>
          <w:trHeight w:val="69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A43D">
            <w:pPr>
              <w:kinsoku/>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85053">
            <w:pPr>
              <w:kinsoku/>
              <w:spacing w:line="360" w:lineRule="auto"/>
              <w:jc w:val="center"/>
              <w:rPr>
                <w:rFonts w:hint="eastAsia" w:asciiTheme="minorEastAsia" w:hAnsiTheme="minorEastAsia" w:eastAsiaTheme="minorEastAsia" w:cstheme="minorEastAsia"/>
                <w:color w:val="auto"/>
                <w:sz w:val="24"/>
                <w:szCs w:val="24"/>
                <w:lang w:val="en-GB" w:eastAsia="zh-CN"/>
              </w:rPr>
            </w:pPr>
            <w:r>
              <w:rPr>
                <w:rFonts w:hint="eastAsia" w:asciiTheme="minorEastAsia" w:hAnsiTheme="minorEastAsia" w:eastAsiaTheme="minorEastAsia" w:cstheme="minorEastAsia"/>
                <w:color w:val="auto"/>
                <w:sz w:val="24"/>
                <w:szCs w:val="24"/>
                <w:lang w:val="en-GB"/>
              </w:rPr>
              <w:t>全自动</w:t>
            </w:r>
            <w:r>
              <w:rPr>
                <w:rFonts w:hint="eastAsia" w:asciiTheme="minorEastAsia" w:hAnsiTheme="minorEastAsia" w:eastAsiaTheme="minorEastAsia" w:cstheme="minorEastAsia"/>
                <w:color w:val="auto"/>
                <w:sz w:val="24"/>
                <w:szCs w:val="24"/>
                <w:lang w:val="en-GB" w:eastAsia="zh-CN"/>
              </w:rPr>
              <w:t>化学发光免疫</w:t>
            </w:r>
            <w:r>
              <w:rPr>
                <w:rFonts w:hint="eastAsia" w:asciiTheme="minorEastAsia" w:hAnsiTheme="minorEastAsia" w:eastAsiaTheme="minorEastAsia" w:cstheme="minorEastAsia"/>
                <w:color w:val="auto"/>
                <w:sz w:val="24"/>
                <w:szCs w:val="24"/>
                <w:lang w:val="en-GB"/>
              </w:rPr>
              <w:t>分析仪</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75BF8">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台</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685C8">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BFCE4">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US" w:eastAsia="zh-CN"/>
              </w:rPr>
              <w:t>368</w:t>
            </w:r>
            <w:r>
              <w:rPr>
                <w:rFonts w:hint="eastAsia" w:asciiTheme="minorEastAsia" w:hAnsiTheme="minorEastAsia" w:eastAsiaTheme="minorEastAsia" w:cstheme="minorEastAsia"/>
                <w:color w:val="auto"/>
                <w:sz w:val="24"/>
                <w:szCs w:val="24"/>
                <w:lang w:val="en-GB"/>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48371">
            <w:pPr>
              <w:kinsoku/>
              <w:spacing w:line="360" w:lineRule="auto"/>
              <w:jc w:val="center"/>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US" w:eastAsia="zh-CN"/>
              </w:rPr>
              <w:t>368</w:t>
            </w:r>
            <w:r>
              <w:rPr>
                <w:rFonts w:hint="eastAsia" w:asciiTheme="minorEastAsia" w:hAnsiTheme="minorEastAsia" w:eastAsiaTheme="minorEastAsia" w:cstheme="minorEastAsia"/>
                <w:color w:val="auto"/>
                <w:sz w:val="24"/>
                <w:szCs w:val="24"/>
                <w:lang w:val="en-GB"/>
              </w:rPr>
              <w:t>000</w:t>
            </w:r>
          </w:p>
        </w:tc>
        <w:tc>
          <w:tcPr>
            <w:tcW w:w="1388" w:type="dxa"/>
            <w:vMerge w:val="continue"/>
            <w:tcBorders>
              <w:left w:val="single" w:color="000000" w:sz="4" w:space="0"/>
              <w:right w:val="single" w:color="000000" w:sz="4" w:space="0"/>
            </w:tcBorders>
            <w:shd w:val="clear" w:color="auto" w:fill="FFFFFF"/>
            <w:vAlign w:val="center"/>
          </w:tcPr>
          <w:p w14:paraId="275830B5">
            <w:pPr>
              <w:kinsoku/>
              <w:spacing w:line="360" w:lineRule="auto"/>
              <w:jc w:val="center"/>
              <w:rPr>
                <w:rFonts w:hint="eastAsia" w:asciiTheme="minorEastAsia" w:hAnsiTheme="minorEastAsia" w:eastAsiaTheme="minorEastAsia" w:cstheme="minorEastAsia"/>
                <w:color w:val="auto"/>
                <w:sz w:val="24"/>
                <w:szCs w:val="24"/>
                <w:lang w:val="en-GB"/>
              </w:rPr>
            </w:pPr>
          </w:p>
        </w:tc>
      </w:tr>
      <w:tr w14:paraId="72185429">
        <w:tblPrEx>
          <w:tblCellMar>
            <w:top w:w="0" w:type="dxa"/>
            <w:left w:w="108" w:type="dxa"/>
            <w:bottom w:w="0" w:type="dxa"/>
            <w:right w:w="108" w:type="dxa"/>
          </w:tblCellMar>
        </w:tblPrEx>
        <w:trPr>
          <w:trHeight w:val="6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D770">
            <w:pPr>
              <w:kinsoku/>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3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A6E1B">
            <w:pPr>
              <w:kinsoku/>
              <w:spacing w:line="360" w:lineRule="auto"/>
              <w:jc w:val="center"/>
              <w:rPr>
                <w:rFonts w:hint="eastAsia" w:asciiTheme="minorEastAsia" w:hAnsiTheme="minorEastAsia" w:eastAsiaTheme="minorEastAsia" w:cstheme="minorEastAsia"/>
                <w:b/>
                <w:bCs/>
                <w:color w:val="auto"/>
                <w:sz w:val="24"/>
                <w:szCs w:val="24"/>
                <w:lang w:val="en-GB"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电动一体理疗床</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7D826">
            <w:pPr>
              <w:kinsoku/>
              <w:spacing w:line="360" w:lineRule="auto"/>
              <w:jc w:val="center"/>
              <w:rPr>
                <w:rFonts w:hint="eastAsia" w:asciiTheme="minorEastAsia" w:hAnsiTheme="minorEastAsia" w:eastAsiaTheme="minorEastAsia" w:cstheme="minorEastAsia"/>
                <w:color w:val="auto"/>
                <w:sz w:val="24"/>
                <w:szCs w:val="24"/>
                <w:lang w:val="en-GB" w:eastAsia="zh-CN"/>
              </w:rPr>
            </w:pPr>
            <w:r>
              <w:rPr>
                <w:rFonts w:hint="eastAsia" w:asciiTheme="minorEastAsia" w:hAnsiTheme="minorEastAsia" w:eastAsiaTheme="minorEastAsia" w:cstheme="minorEastAsia"/>
                <w:color w:val="auto"/>
                <w:sz w:val="24"/>
                <w:szCs w:val="24"/>
                <w:lang w:val="en-GB" w:eastAsia="zh-CN"/>
              </w:rPr>
              <w:t>张</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0DA1F">
            <w:pPr>
              <w:kinsoku/>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0D12">
            <w:pPr>
              <w:kinsoku/>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42000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BFD7A">
            <w:pPr>
              <w:kinsoku/>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84000</w:t>
            </w:r>
          </w:p>
        </w:tc>
        <w:tc>
          <w:tcPr>
            <w:tcW w:w="1388" w:type="dxa"/>
            <w:vMerge w:val="continue"/>
            <w:tcBorders>
              <w:left w:val="single" w:color="000000" w:sz="4" w:space="0"/>
              <w:bottom w:val="single" w:color="000000" w:sz="4" w:space="0"/>
              <w:right w:val="single" w:color="000000" w:sz="4" w:space="0"/>
            </w:tcBorders>
            <w:shd w:val="clear" w:color="auto" w:fill="FFFFFF"/>
            <w:vAlign w:val="center"/>
          </w:tcPr>
          <w:p w14:paraId="7F9B32BB">
            <w:pPr>
              <w:kinsoku/>
              <w:spacing w:line="360" w:lineRule="auto"/>
              <w:jc w:val="center"/>
              <w:rPr>
                <w:rFonts w:hint="eastAsia" w:asciiTheme="minorEastAsia" w:hAnsiTheme="minorEastAsia" w:eastAsiaTheme="minorEastAsia" w:cstheme="minorEastAsia"/>
                <w:color w:val="auto"/>
                <w:sz w:val="24"/>
                <w:szCs w:val="24"/>
                <w:lang w:eastAsia="zh-CN"/>
              </w:rPr>
            </w:pPr>
          </w:p>
        </w:tc>
      </w:tr>
    </w:tbl>
    <w:p w14:paraId="718FED52">
      <w:pPr>
        <w:pStyle w:val="9"/>
        <w:numPr>
          <w:ilvl w:val="0"/>
          <w:numId w:val="0"/>
        </w:numPr>
        <w:adjustRightInd w:val="0"/>
        <w:snapToGrid w:val="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注：（一）</w:t>
      </w:r>
      <w:r>
        <w:rPr>
          <w:rFonts w:hint="eastAsia" w:asciiTheme="minorEastAsia" w:hAnsiTheme="minorEastAsia" w:eastAsiaTheme="minorEastAsia" w:cstheme="minorEastAsia"/>
          <w:sz w:val="28"/>
          <w:szCs w:val="28"/>
          <w:highlight w:val="none"/>
          <w:u w:val="none"/>
          <w:lang w:eastAsia="zh-CN"/>
        </w:rPr>
        <w:t xml:space="preserve">以上设备的核心产品为： 彩色多普勒超声诊断仪。 </w:t>
      </w:r>
    </w:p>
    <w:p w14:paraId="7F1EE6E7">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eastAsia="zh-CN"/>
        </w:rPr>
      </w:pPr>
      <w:r>
        <w:rPr>
          <w:rFonts w:hint="eastAsia" w:asciiTheme="minorEastAsia" w:hAnsiTheme="minorEastAsia" w:eastAsiaTheme="minorEastAsia" w:cstheme="minorEastAsia"/>
          <w:sz w:val="28"/>
          <w:szCs w:val="28"/>
          <w:u w:val="none"/>
          <w:lang w:eastAsia="zh-CN"/>
        </w:rPr>
        <w:t>（二）供应商以设备品牌名称、规格型号、分项单价及其合计金额报价，响应报价不得超过预算金额，且产品分项单价报价不能超过预算单价，否则视为响应无效。</w:t>
      </w:r>
    </w:p>
    <w:p w14:paraId="2B57E642">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（三）采购清单中未注明进口产品的，均为国产产品，不允许提供进口产品参加投标；</w:t>
      </w:r>
    </w:p>
    <w:p w14:paraId="48D16273">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（四）采购清单中注明进口产品的，属非国家强制性禁止的进口产品及符合条件的国产产品均可以参与投标。</w:t>
      </w:r>
    </w:p>
    <w:p w14:paraId="276A5CA2">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p>
    <w:p w14:paraId="02093187">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二、投标人资格要求</w:t>
      </w:r>
    </w:p>
    <w:p w14:paraId="1E6C6E52">
      <w:pPr>
        <w:pStyle w:val="9"/>
        <w:numPr>
          <w:ilvl w:val="0"/>
          <w:numId w:val="0"/>
        </w:numPr>
        <w:adjustRightInd w:val="0"/>
        <w:snapToGrid w:val="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 xml:space="preserve"> </w:t>
      </w:r>
      <w:r>
        <w:rPr>
          <w:rFonts w:hint="eastAsia" w:asciiTheme="minorEastAsia" w:hAnsiTheme="minorEastAsia" w:eastAsiaTheme="minorEastAsia" w:cstheme="minorEastAsia"/>
          <w:b/>
          <w:bCs/>
          <w:sz w:val="28"/>
          <w:szCs w:val="28"/>
          <w:u w:val="none"/>
          <w:lang w:val="en-US" w:eastAsia="zh-CN"/>
        </w:rPr>
        <w:t xml:space="preserve">   </w:t>
      </w:r>
      <w:r>
        <w:rPr>
          <w:rFonts w:hint="eastAsia" w:asciiTheme="minorEastAsia" w:hAnsiTheme="minorEastAsia" w:eastAsiaTheme="minorEastAsia" w:cstheme="minorEastAsia"/>
          <w:sz w:val="28"/>
          <w:szCs w:val="28"/>
          <w:u w:val="none"/>
          <w:lang w:val="en-GB" w:eastAsia="zh-CN"/>
        </w:rPr>
        <w:t>（一）满足《中华人民共和国政府采购法》第二十二条规定；</w:t>
      </w:r>
    </w:p>
    <w:p w14:paraId="2AB20FCD">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（二）具有独立承担民事责任的能力；</w:t>
      </w:r>
    </w:p>
    <w:p w14:paraId="5DEE470C">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（三）具有良好的商业信誉和健全的财务会计制度；</w:t>
      </w:r>
    </w:p>
    <w:p w14:paraId="4CDB13BC">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（四）具有履行合同所必需的设备和专业技术能力；</w:t>
      </w:r>
    </w:p>
    <w:p w14:paraId="4768B753">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（五）有依法缴纳税收和社会保障资金的良好记录；</w:t>
      </w:r>
    </w:p>
    <w:p w14:paraId="48EA92F8">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（六）参加采购活动前三年内，在经营活动中没有重大违法记录；6）具备法律、行政法规规定的其他条件。</w:t>
      </w:r>
    </w:p>
    <w:p w14:paraId="455FE476">
      <w:pPr>
        <w:pStyle w:val="7"/>
        <w:ind w:firstLine="560" w:firstLineChars="200"/>
        <w:rPr>
          <w:rFonts w:hint="eastAsia"/>
          <w:sz w:val="28"/>
          <w:szCs w:val="28"/>
          <w:lang w:eastAsia="zh-CN"/>
        </w:rPr>
      </w:pPr>
      <w:r>
        <w:rPr>
          <w:rFonts w:hint="eastAsia" w:asciiTheme="minorEastAsia" w:hAnsiTheme="minorEastAsia" w:eastAsiaTheme="minorEastAsia" w:cstheme="minorEastAsia"/>
          <w:sz w:val="28"/>
          <w:szCs w:val="28"/>
          <w:lang w:val="en-US" w:eastAsia="zh-CN"/>
        </w:rPr>
        <w:t>（七）按《医疗器</w:t>
      </w:r>
      <w:r>
        <w:rPr>
          <w:rFonts w:hint="eastAsia" w:asciiTheme="minorEastAsia" w:hAnsiTheme="minorEastAsia" w:eastAsiaTheme="minorEastAsia" w:cstheme="minorEastAsia"/>
          <w:snapToGrid w:val="0"/>
          <w:color w:val="000000"/>
          <w:sz w:val="28"/>
          <w:szCs w:val="28"/>
          <w:u w:val="none"/>
          <w:lang w:val="en-US" w:eastAsia="zh-CN" w:bidi="ar-SA"/>
        </w:rPr>
        <w:t>械监督管理条例》医疗器械分类管理要求:</w:t>
      </w:r>
      <w:r>
        <w:rPr>
          <w:rFonts w:hint="eastAsia" w:asciiTheme="minorEastAsia" w:hAnsiTheme="minorEastAsia" w:eastAsiaTheme="minorEastAsia" w:cstheme="minorEastAsia"/>
          <w:snapToGrid w:val="0"/>
          <w:color w:val="000000"/>
          <w:sz w:val="28"/>
          <w:szCs w:val="28"/>
          <w:u w:val="none"/>
          <w:lang w:val="en-GB" w:eastAsia="zh-CN" w:bidi="ar-SA"/>
        </w:rPr>
        <w:t>(</w:t>
      </w:r>
      <w:r>
        <w:rPr>
          <w:rFonts w:hint="eastAsia" w:asciiTheme="minorEastAsia" w:hAnsiTheme="minorEastAsia" w:eastAsiaTheme="minorEastAsia" w:cstheme="minorEastAsia"/>
          <w:snapToGrid w:val="0"/>
          <w:color w:val="000000"/>
          <w:sz w:val="28"/>
          <w:szCs w:val="28"/>
          <w:u w:val="none"/>
          <w:lang w:val="en-US" w:eastAsia="zh-CN" w:bidi="ar-SA"/>
        </w:rPr>
        <w:t>1</w:t>
      </w:r>
      <w:r>
        <w:rPr>
          <w:rFonts w:hint="eastAsia" w:asciiTheme="minorEastAsia" w:hAnsiTheme="minorEastAsia" w:eastAsiaTheme="minorEastAsia" w:cstheme="minorEastAsia"/>
          <w:snapToGrid w:val="0"/>
          <w:color w:val="000000"/>
          <w:sz w:val="28"/>
          <w:szCs w:val="28"/>
          <w:u w:val="none"/>
          <w:lang w:val="en-GB" w:eastAsia="zh-CN" w:bidi="ar-SA"/>
        </w:rPr>
        <w:t>）二、三类医疗器械产品须具有医疗器械注册证，一类医疗器械产品须具有产品备案登记凭证； (</w:t>
      </w:r>
      <w:r>
        <w:rPr>
          <w:rFonts w:hint="eastAsia" w:asciiTheme="minorEastAsia" w:hAnsiTheme="minorEastAsia" w:eastAsiaTheme="minorEastAsia" w:cstheme="minorEastAsia"/>
          <w:snapToGrid w:val="0"/>
          <w:color w:val="000000"/>
          <w:sz w:val="28"/>
          <w:szCs w:val="28"/>
          <w:u w:val="none"/>
          <w:lang w:val="en-US" w:eastAsia="zh-CN" w:bidi="ar-SA"/>
        </w:rPr>
        <w:t>2</w:t>
      </w:r>
      <w:r>
        <w:rPr>
          <w:rFonts w:hint="eastAsia" w:asciiTheme="minorEastAsia" w:hAnsiTheme="minorEastAsia" w:eastAsiaTheme="minorEastAsia" w:cstheme="minorEastAsia"/>
          <w:snapToGrid w:val="0"/>
          <w:color w:val="000000"/>
          <w:sz w:val="28"/>
          <w:szCs w:val="28"/>
          <w:u w:val="none"/>
          <w:lang w:val="en-GB" w:eastAsia="zh-CN" w:bidi="ar-SA"/>
        </w:rPr>
        <w:t>)在中华人民共和国境内生产的二、三类医疗器械产品的须具有医疗器械生产许可证,一类医疗器械产品须具有医疗器械生产备案凭证； (</w:t>
      </w:r>
      <w:r>
        <w:rPr>
          <w:rFonts w:hint="eastAsia" w:asciiTheme="minorEastAsia" w:hAnsiTheme="minorEastAsia" w:eastAsiaTheme="minorEastAsia" w:cstheme="minorEastAsia"/>
          <w:snapToGrid w:val="0"/>
          <w:color w:val="000000"/>
          <w:sz w:val="28"/>
          <w:szCs w:val="28"/>
          <w:u w:val="none"/>
          <w:lang w:val="en-US" w:eastAsia="zh-CN" w:bidi="ar-SA"/>
        </w:rPr>
        <w:t>3</w:t>
      </w:r>
      <w:r>
        <w:rPr>
          <w:rFonts w:hint="eastAsia" w:asciiTheme="minorEastAsia" w:hAnsiTheme="minorEastAsia" w:eastAsiaTheme="minorEastAsia" w:cstheme="minorEastAsia"/>
          <w:snapToGrid w:val="0"/>
          <w:color w:val="000000"/>
          <w:sz w:val="28"/>
          <w:szCs w:val="28"/>
          <w:u w:val="none"/>
          <w:lang w:val="en-GB" w:eastAsia="zh-CN" w:bidi="ar-SA"/>
        </w:rPr>
        <w:t>)经营三类医疗器械的须具有医疗器械经营企业许可证，二类医疗器械须具有医疗器械经营企业备案登记凭证。</w:t>
      </w:r>
      <w:bookmarkStart w:id="4" w:name="_GoBack"/>
      <w:bookmarkEnd w:id="4"/>
    </w:p>
    <w:p w14:paraId="6BF5927A">
      <w:pPr>
        <w:pStyle w:val="3"/>
        <w:numPr>
          <w:ilvl w:val="0"/>
          <w:numId w:val="0"/>
        </w:numPr>
        <w:ind w:firstLine="560" w:firstLineChars="200"/>
        <w:rPr>
          <w:rFonts w:hint="eastAsia" w:asciiTheme="minorEastAsia" w:hAnsiTheme="minorEastAsia" w:eastAsiaTheme="minorEastAsia" w:cstheme="minorEastAsia"/>
          <w:sz w:val="28"/>
          <w:szCs w:val="28"/>
          <w:lang w:val="en-US" w:eastAsia="zh-CN"/>
        </w:rPr>
      </w:pPr>
    </w:p>
    <w:p w14:paraId="65CD7426">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lang w:val="en-US" w:eastAsia="zh-CN"/>
        </w:rPr>
        <w:t>（八）被“信用中国”网站列入失信被执行人和重大税收违法案件当事人名单的、被“中国政府采购网”网站列入政府采购严重违法失信行为记录名单（处罚期限尚未届满的），不得参与本项目的采购活动。</w:t>
      </w:r>
    </w:p>
    <w:p w14:paraId="2C563F07">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本项目不允许联合体投标。</w:t>
      </w:r>
    </w:p>
    <w:p w14:paraId="336DA6B0">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p>
    <w:p w14:paraId="3D93E3FF">
      <w:pPr>
        <w:pStyle w:val="9"/>
        <w:numPr>
          <w:ilvl w:val="0"/>
          <w:numId w:val="0"/>
        </w:numPr>
        <w:adjustRightInd w:val="0"/>
        <w:snapToGrid w:val="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三、技术要求和标准</w:t>
      </w:r>
    </w:p>
    <w:p w14:paraId="353E6F76">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w:t>
      </w:r>
      <w:r>
        <w:rPr>
          <w:rFonts w:hint="eastAsia" w:asciiTheme="minorEastAsia" w:hAnsiTheme="minorEastAsia" w:eastAsiaTheme="minorEastAsia" w:cstheme="minorEastAsia"/>
          <w:b w:val="0"/>
          <w:bCs w:val="0"/>
          <w:sz w:val="28"/>
          <w:szCs w:val="28"/>
          <w:u w:val="none"/>
          <w:lang w:val="en-GB" w:eastAsia="zh-CN"/>
        </w:rPr>
        <w:t>全数字彩色多普勒超声诊断仪</w:t>
      </w:r>
      <w:r>
        <w:rPr>
          <w:rFonts w:hint="eastAsia" w:asciiTheme="minorEastAsia" w:hAnsiTheme="minorEastAsia" w:eastAsiaTheme="minorEastAsia" w:cstheme="minorEastAsia"/>
          <w:b/>
          <w:bCs/>
          <w:sz w:val="28"/>
          <w:szCs w:val="28"/>
          <w:u w:val="none"/>
          <w:lang w:val="en-GB" w:eastAsia="zh-CN"/>
        </w:rPr>
        <w:t>】</w:t>
      </w:r>
    </w:p>
    <w:p w14:paraId="4C6E74A7">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eastAsia="zh-CN"/>
        </w:rPr>
      </w:pPr>
      <w:r>
        <w:rPr>
          <w:rFonts w:hint="eastAsia" w:asciiTheme="minorEastAsia" w:hAnsiTheme="minorEastAsia" w:eastAsiaTheme="minorEastAsia" w:cstheme="minorEastAsia"/>
          <w:b/>
          <w:bCs/>
          <w:sz w:val="28"/>
          <w:szCs w:val="28"/>
          <w:u w:val="none"/>
          <w:lang w:eastAsia="zh-CN"/>
        </w:rPr>
        <w:t>品牌：</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none"/>
          <w:lang w:val="en-US" w:eastAsia="zh-CN"/>
        </w:rPr>
        <w:t>型号：</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none"/>
          <w:lang w:eastAsia="zh-CN"/>
        </w:rPr>
        <w:t>（请补充）</w:t>
      </w:r>
    </w:p>
    <w:p w14:paraId="20FAD296">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eastAsia="zh-CN"/>
        </w:rPr>
      </w:pPr>
      <w:r>
        <w:rPr>
          <w:rFonts w:hint="eastAsia" w:asciiTheme="minorEastAsia" w:hAnsiTheme="minorEastAsia" w:eastAsiaTheme="minorEastAsia" w:cstheme="minorEastAsia"/>
          <w:sz w:val="28"/>
          <w:szCs w:val="28"/>
          <w:u w:val="none"/>
          <w:lang w:eastAsia="zh-CN"/>
        </w:rPr>
        <w:t>（一）</w:t>
      </w:r>
      <w:r>
        <w:rPr>
          <w:rFonts w:hint="eastAsia" w:asciiTheme="minorEastAsia" w:hAnsiTheme="minorEastAsia" w:eastAsiaTheme="minorEastAsia" w:cstheme="minorEastAsia"/>
          <w:sz w:val="28"/>
          <w:szCs w:val="28"/>
          <w:u w:val="none"/>
        </w:rPr>
        <w:t xml:space="preserve"> 用途说明：腹部、产科、妇科、心脏、小器官、泌尿、血管、儿科、急诊、麻醉、介入、神经、肌骨、颅脑及其它</w:t>
      </w:r>
      <w:r>
        <w:rPr>
          <w:rFonts w:hint="eastAsia" w:asciiTheme="minorEastAsia" w:hAnsiTheme="minorEastAsia" w:eastAsiaTheme="minorEastAsia" w:cstheme="minorEastAsia"/>
          <w:sz w:val="28"/>
          <w:szCs w:val="28"/>
          <w:u w:val="none"/>
          <w:lang w:eastAsia="zh-CN"/>
        </w:rPr>
        <w:t>。</w:t>
      </w:r>
    </w:p>
    <w:p w14:paraId="1A3BD674">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eastAsia="zh-CN"/>
        </w:rPr>
        <w:t>（二）技术参数要求</w:t>
      </w:r>
      <w:r>
        <w:rPr>
          <w:rFonts w:hint="eastAsia" w:asciiTheme="minorEastAsia" w:hAnsiTheme="minorEastAsia" w:eastAsiaTheme="minorEastAsia" w:cstheme="minorEastAsia"/>
          <w:sz w:val="28"/>
          <w:szCs w:val="28"/>
          <w:u w:val="none"/>
        </w:rPr>
        <w:t>：</w:t>
      </w:r>
    </w:p>
    <w:p w14:paraId="1A8D53AC">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eastAsia="zh-CN"/>
        </w:rPr>
      </w:pPr>
      <w:r>
        <w:rPr>
          <w:rFonts w:hint="eastAsia" w:asciiTheme="minorEastAsia" w:hAnsiTheme="minorEastAsia" w:eastAsiaTheme="minorEastAsia" w:cstheme="minorEastAsia"/>
          <w:b/>
          <w:bCs/>
          <w:sz w:val="28"/>
          <w:szCs w:val="28"/>
          <w:u w:val="none"/>
          <w:lang w:eastAsia="zh-CN"/>
        </w:rPr>
        <w:t>（请补充，应为通用参数或基础参数，非品牌、型号所特有参数，</w:t>
      </w:r>
      <w:r>
        <w:rPr>
          <w:rFonts w:hint="eastAsia" w:asciiTheme="minorEastAsia" w:hAnsiTheme="minorEastAsia" w:eastAsiaTheme="minorEastAsia" w:cstheme="minorEastAsia"/>
          <w:b/>
          <w:bCs/>
          <w:sz w:val="28"/>
          <w:szCs w:val="28"/>
          <w:lang w:val="en-GB" w:eastAsia="zh-CN"/>
        </w:rPr>
        <w:t>不得具有倾向性、排他性</w:t>
      </w:r>
      <w:r>
        <w:rPr>
          <w:rFonts w:hint="eastAsia" w:asciiTheme="minorEastAsia" w:hAnsiTheme="minorEastAsia" w:eastAsiaTheme="minorEastAsia" w:cstheme="minorEastAsia"/>
          <w:b/>
          <w:bCs/>
          <w:sz w:val="28"/>
          <w:szCs w:val="28"/>
          <w:u w:val="none"/>
          <w:lang w:eastAsia="zh-CN"/>
        </w:rPr>
        <w:t>）</w:t>
      </w:r>
    </w:p>
    <w:p w14:paraId="2110BB6E">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p>
    <w:p w14:paraId="599FE2F1">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w:t>
      </w:r>
      <w:r>
        <w:rPr>
          <w:rFonts w:hint="eastAsia" w:asciiTheme="minorEastAsia" w:hAnsiTheme="minorEastAsia" w:eastAsiaTheme="minorEastAsia" w:cstheme="minorEastAsia"/>
          <w:b w:val="0"/>
          <w:bCs w:val="0"/>
          <w:sz w:val="28"/>
          <w:szCs w:val="28"/>
          <w:u w:val="none"/>
          <w:lang w:val="en-GB" w:eastAsia="zh-CN"/>
        </w:rPr>
        <w:t>全自动化学发光免疫分析仪</w:t>
      </w:r>
      <w:r>
        <w:rPr>
          <w:rFonts w:hint="eastAsia" w:asciiTheme="minorEastAsia" w:hAnsiTheme="minorEastAsia" w:eastAsiaTheme="minorEastAsia" w:cstheme="minorEastAsia"/>
          <w:b/>
          <w:bCs/>
          <w:sz w:val="28"/>
          <w:szCs w:val="28"/>
          <w:u w:val="none"/>
          <w:lang w:val="en-GB" w:eastAsia="zh-CN"/>
        </w:rPr>
        <w:t>】</w:t>
      </w:r>
    </w:p>
    <w:p w14:paraId="330B5CC6">
      <w:pPr>
        <w:pStyle w:val="9"/>
        <w:numPr>
          <w:ilvl w:val="0"/>
          <w:numId w:val="0"/>
        </w:numPr>
        <w:adjustRightInd w:val="0"/>
        <w:snapToGrid w:val="0"/>
        <w:ind w:firstLine="562" w:firstLineChars="200"/>
        <w:rPr>
          <w:rFonts w:hint="eastAsia" w:asciiTheme="minorEastAsia" w:hAnsiTheme="minorEastAsia" w:eastAsiaTheme="minorEastAsia" w:cstheme="minorEastAsia"/>
          <w:b w:val="0"/>
          <w:bCs w:val="0"/>
          <w:sz w:val="28"/>
          <w:szCs w:val="28"/>
          <w:u w:val="none"/>
          <w:lang w:val="en-GB" w:eastAsia="zh-CN"/>
        </w:rPr>
      </w:pPr>
      <w:r>
        <w:rPr>
          <w:rFonts w:hint="eastAsia" w:asciiTheme="minorEastAsia" w:hAnsiTheme="minorEastAsia" w:eastAsiaTheme="minorEastAsia" w:cstheme="minorEastAsia"/>
          <w:b/>
          <w:bCs/>
          <w:sz w:val="28"/>
          <w:szCs w:val="28"/>
          <w:u w:val="none"/>
          <w:lang w:eastAsia="zh-CN"/>
        </w:rPr>
        <w:t>品牌：</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none"/>
          <w:lang w:val="en-US" w:eastAsia="zh-CN"/>
        </w:rPr>
        <w:t>型号：</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none"/>
          <w:lang w:eastAsia="zh-CN"/>
        </w:rPr>
        <w:t>（请补充）</w:t>
      </w:r>
    </w:p>
    <w:p w14:paraId="23D51725">
      <w:pPr>
        <w:pStyle w:val="9"/>
        <w:numPr>
          <w:ilvl w:val="0"/>
          <w:numId w:val="1"/>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主要功能：可检测血液、尿液等样本中的多种生化指标，如肝功能、肾功能、血脂、血糖等。</w:t>
      </w:r>
    </w:p>
    <w:p w14:paraId="570CE9E7">
      <w:pPr>
        <w:pStyle w:val="9"/>
        <w:numPr>
          <w:ilvl w:val="0"/>
          <w:numId w:val="1"/>
        </w:numPr>
        <w:adjustRightInd w:val="0"/>
        <w:snapToGrid w:val="0"/>
        <w:ind w:left="0" w:leftChars="0"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技术参数要求：</w:t>
      </w:r>
    </w:p>
    <w:p w14:paraId="48CCD438">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eastAsia="zh-CN"/>
        </w:rPr>
      </w:pPr>
      <w:r>
        <w:rPr>
          <w:rFonts w:hint="eastAsia" w:asciiTheme="minorEastAsia" w:hAnsiTheme="minorEastAsia" w:eastAsiaTheme="minorEastAsia" w:cstheme="minorEastAsia"/>
          <w:b/>
          <w:bCs/>
          <w:sz w:val="28"/>
          <w:szCs w:val="28"/>
          <w:u w:val="none"/>
          <w:lang w:eastAsia="zh-CN"/>
        </w:rPr>
        <w:t>（请补充，应为通用参数或基础参数，非品牌、型号所特有参数，</w:t>
      </w:r>
      <w:r>
        <w:rPr>
          <w:rFonts w:hint="eastAsia" w:asciiTheme="minorEastAsia" w:hAnsiTheme="minorEastAsia" w:eastAsiaTheme="minorEastAsia" w:cstheme="minorEastAsia"/>
          <w:b/>
          <w:bCs/>
          <w:sz w:val="28"/>
          <w:szCs w:val="28"/>
          <w:lang w:val="en-GB" w:eastAsia="zh-CN"/>
        </w:rPr>
        <w:t>不得具有倾向性、排他性</w:t>
      </w:r>
      <w:r>
        <w:rPr>
          <w:rFonts w:hint="eastAsia" w:asciiTheme="minorEastAsia" w:hAnsiTheme="minorEastAsia" w:eastAsiaTheme="minorEastAsia" w:cstheme="minorEastAsia"/>
          <w:b/>
          <w:bCs/>
          <w:sz w:val="28"/>
          <w:szCs w:val="28"/>
          <w:u w:val="none"/>
          <w:lang w:eastAsia="zh-CN"/>
        </w:rPr>
        <w:t>）</w:t>
      </w:r>
    </w:p>
    <w:p w14:paraId="616F796B">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US" w:eastAsia="zh-CN"/>
        </w:rPr>
      </w:pPr>
    </w:p>
    <w:p w14:paraId="5DA526DE">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val="0"/>
          <w:bCs w:val="0"/>
          <w:sz w:val="28"/>
          <w:szCs w:val="28"/>
          <w:u w:val="none"/>
          <w:lang w:val="en-US" w:eastAsia="zh-CN"/>
        </w:rPr>
        <w:t>电动一体理疗床</w:t>
      </w:r>
      <w:r>
        <w:rPr>
          <w:rFonts w:hint="eastAsia" w:asciiTheme="minorEastAsia" w:hAnsiTheme="minorEastAsia" w:eastAsiaTheme="minorEastAsia" w:cstheme="minorEastAsia"/>
          <w:b/>
          <w:bCs/>
          <w:sz w:val="28"/>
          <w:szCs w:val="28"/>
          <w:u w:val="none"/>
          <w:lang w:val="en-US" w:eastAsia="zh-CN"/>
        </w:rPr>
        <w:t>】</w:t>
      </w:r>
    </w:p>
    <w:p w14:paraId="59C50736">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eastAsia="zh-CN"/>
        </w:rPr>
        <w:t>品牌：</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none"/>
          <w:lang w:val="en-US" w:eastAsia="zh-CN"/>
        </w:rPr>
        <w:t>型号：</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none"/>
          <w:lang w:eastAsia="zh-CN"/>
        </w:rPr>
        <w:t>（请补充）</w:t>
      </w:r>
    </w:p>
    <w:p w14:paraId="5FB7BB62">
      <w:pPr>
        <w:pStyle w:val="9"/>
        <w:numPr>
          <w:ilvl w:val="0"/>
          <w:numId w:val="2"/>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主要功能：通过音乐、按摩等同时作用，深入内心调整治疗。缓解压力，解除疲劳。排解不良情绪，促进良性情绪发展。提高人体生理机能协调性。提高决策，判断能力等。</w:t>
      </w:r>
    </w:p>
    <w:p w14:paraId="70F5E8C5">
      <w:pPr>
        <w:pStyle w:val="9"/>
        <w:numPr>
          <w:ilvl w:val="0"/>
          <w:numId w:val="2"/>
        </w:numPr>
        <w:adjustRightInd w:val="0"/>
        <w:snapToGrid w:val="0"/>
        <w:ind w:left="0" w:leftChars="0"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技术参数要求：</w:t>
      </w:r>
    </w:p>
    <w:p w14:paraId="0B36715C">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eastAsia="zh-CN"/>
        </w:rPr>
        <w:t>（请补充，应为通用参数或基础参数，非品牌、型号所特有参数，</w:t>
      </w:r>
      <w:r>
        <w:rPr>
          <w:rFonts w:hint="eastAsia" w:asciiTheme="minorEastAsia" w:hAnsiTheme="minorEastAsia" w:eastAsiaTheme="minorEastAsia" w:cstheme="minorEastAsia"/>
          <w:b/>
          <w:bCs/>
          <w:sz w:val="28"/>
          <w:szCs w:val="28"/>
          <w:lang w:val="en-GB" w:eastAsia="zh-CN"/>
        </w:rPr>
        <w:t>不得具有倾向性、排他性</w:t>
      </w:r>
      <w:r>
        <w:rPr>
          <w:rFonts w:hint="eastAsia" w:asciiTheme="minorEastAsia" w:hAnsiTheme="minorEastAsia" w:eastAsiaTheme="minorEastAsia" w:cstheme="minorEastAsia"/>
          <w:b/>
          <w:bCs/>
          <w:sz w:val="28"/>
          <w:szCs w:val="28"/>
          <w:u w:val="none"/>
          <w:lang w:eastAsia="zh-CN"/>
        </w:rPr>
        <w:t>）</w:t>
      </w:r>
    </w:p>
    <w:p w14:paraId="6027788A">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p>
    <w:p w14:paraId="39ADCBDB">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四、商务条件</w:t>
      </w:r>
    </w:p>
    <w:p w14:paraId="336B5C81">
      <w:pPr>
        <w:pStyle w:val="9"/>
        <w:numPr>
          <w:ilvl w:val="0"/>
          <w:numId w:val="0"/>
        </w:numPr>
        <w:adjustRightInd w:val="0"/>
        <w:snapToGrid w:val="0"/>
        <w:ind w:firstLine="562"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一</w:t>
      </w: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报价方式</w:t>
      </w:r>
    </w:p>
    <w:p w14:paraId="60C718DA">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eastAsia="zh-CN"/>
        </w:rPr>
      </w:pPr>
      <w:r>
        <w:rPr>
          <w:rFonts w:hint="eastAsia" w:asciiTheme="minorEastAsia" w:hAnsiTheme="minorEastAsia" w:eastAsiaTheme="minorEastAsia" w:cstheme="minorEastAsia"/>
          <w:sz w:val="28"/>
          <w:szCs w:val="28"/>
          <w:u w:val="none"/>
          <w:lang w:val="en-US" w:eastAsia="zh-CN"/>
        </w:rPr>
        <w:t>1.响应</w:t>
      </w:r>
      <w:r>
        <w:rPr>
          <w:rFonts w:hint="eastAsia" w:asciiTheme="minorEastAsia" w:hAnsiTheme="minorEastAsia" w:eastAsiaTheme="minorEastAsia" w:cstheme="minorEastAsia"/>
          <w:sz w:val="28"/>
          <w:szCs w:val="28"/>
          <w:u w:val="none"/>
          <w:lang w:eastAsia="zh-CN"/>
        </w:rPr>
        <w:t>供应商以设备品牌名称、规格型号、分项单价及其合计金额报价，响应报价不得超过控制金额，且产品分项单价报价不能超过控制单价，否则视为响应无效。</w:t>
      </w:r>
    </w:p>
    <w:p w14:paraId="0480A783">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响应供应商的投标总报价中应包含招标文件规定的货物及附属售后服务伴随的专用工具、安装、调试、检验、培训、技术服务、税费和运至最终目的地的运费、保险费等一切相关费用，采购人无需额外支付任何费用。</w:t>
      </w:r>
    </w:p>
    <w:p w14:paraId="5C4C387C">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eastAsia="zh-CN"/>
        </w:rPr>
        <w:t>注：</w:t>
      </w:r>
      <w:r>
        <w:rPr>
          <w:rFonts w:hint="eastAsia" w:asciiTheme="minorEastAsia" w:hAnsiTheme="minorEastAsia" w:eastAsiaTheme="minorEastAsia" w:cstheme="minorEastAsia"/>
          <w:sz w:val="28"/>
          <w:szCs w:val="28"/>
          <w:u w:val="none"/>
          <w:lang w:val="en-GB" w:eastAsia="zh-CN"/>
        </w:rPr>
        <w:t>响应供应商</w:t>
      </w:r>
      <w:r>
        <w:rPr>
          <w:rFonts w:hint="eastAsia" w:asciiTheme="minorEastAsia" w:hAnsiTheme="minorEastAsia" w:eastAsiaTheme="minorEastAsia" w:cstheme="minorEastAsia"/>
          <w:sz w:val="28"/>
          <w:szCs w:val="28"/>
          <w:u w:val="none"/>
          <w:lang w:eastAsia="zh-CN"/>
        </w:rPr>
        <w:t>在投标报价时应该考虑自身经营成本，在中标后合同履行过</w:t>
      </w:r>
      <w:r>
        <w:rPr>
          <w:rFonts w:hint="eastAsia" w:asciiTheme="minorEastAsia" w:hAnsiTheme="minorEastAsia" w:eastAsiaTheme="minorEastAsia" w:cstheme="minorEastAsia"/>
          <w:sz w:val="28"/>
          <w:szCs w:val="28"/>
          <w:u w:val="none"/>
          <w:lang w:val="en-GB" w:eastAsia="zh-CN"/>
        </w:rPr>
        <w:t>程中不得以任何理由调整投标报价。</w:t>
      </w:r>
    </w:p>
    <w:p w14:paraId="01129073">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3.</w:t>
      </w:r>
      <w:r>
        <w:rPr>
          <w:rFonts w:hint="eastAsia" w:asciiTheme="minorEastAsia" w:hAnsiTheme="minorEastAsia" w:eastAsiaTheme="minorEastAsia" w:cstheme="minorEastAsia"/>
          <w:sz w:val="28"/>
          <w:szCs w:val="28"/>
          <w:u w:val="none"/>
          <w:lang w:val="en-GB" w:eastAsia="zh-CN"/>
        </w:rPr>
        <w:t>其他说明：本项目为交钥匙工程。</w:t>
      </w:r>
    </w:p>
    <w:p w14:paraId="507EA73E">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二</w:t>
      </w: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履约保证金</w:t>
      </w:r>
    </w:p>
    <w:p w14:paraId="31C6DFCE">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en-GB" w:eastAsia="zh-CN"/>
        </w:rPr>
        <w:t>合同签订时成交供应商以银行基本账户转账方式向采购人缴纳合同金额的5%</w:t>
      </w:r>
      <w:r>
        <w:rPr>
          <w:rFonts w:hint="eastAsia" w:asciiTheme="minorEastAsia" w:hAnsiTheme="minorEastAsia" w:eastAsiaTheme="minorEastAsia" w:cstheme="minorEastAsia"/>
          <w:sz w:val="28"/>
          <w:szCs w:val="28"/>
          <w:u w:val="none"/>
        </w:rPr>
        <w:t>作为履约保证金。未按要求缴纳，视为</w:t>
      </w:r>
      <w:r>
        <w:rPr>
          <w:rFonts w:hint="eastAsia" w:asciiTheme="minorEastAsia" w:hAnsiTheme="minorEastAsia" w:eastAsiaTheme="minorEastAsia" w:cstheme="minorEastAsia"/>
          <w:sz w:val="28"/>
          <w:szCs w:val="28"/>
          <w:u w:val="none"/>
          <w:lang w:eastAsia="zh-CN"/>
        </w:rPr>
        <w:t>成交供应商</w:t>
      </w:r>
      <w:r>
        <w:rPr>
          <w:rFonts w:hint="eastAsia" w:asciiTheme="minorEastAsia" w:hAnsiTheme="minorEastAsia" w:eastAsiaTheme="minorEastAsia" w:cstheme="minorEastAsia"/>
          <w:sz w:val="28"/>
          <w:szCs w:val="28"/>
          <w:u w:val="none"/>
        </w:rPr>
        <w:t>放弃履约，</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有权解除合同。</w:t>
      </w:r>
    </w:p>
    <w:p w14:paraId="0DC0C39A">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rPr>
        <w:t>履约保证金用于补偿</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因</w:t>
      </w:r>
      <w:r>
        <w:rPr>
          <w:rFonts w:hint="eastAsia" w:asciiTheme="minorEastAsia" w:hAnsiTheme="minorEastAsia" w:eastAsiaTheme="minorEastAsia" w:cstheme="minorEastAsia"/>
          <w:sz w:val="28"/>
          <w:szCs w:val="28"/>
          <w:u w:val="none"/>
          <w:lang w:eastAsia="zh-CN"/>
        </w:rPr>
        <w:t>成交供应商</w:t>
      </w:r>
      <w:r>
        <w:rPr>
          <w:rFonts w:hint="eastAsia" w:asciiTheme="minorEastAsia" w:hAnsiTheme="minorEastAsia" w:eastAsiaTheme="minorEastAsia" w:cstheme="minorEastAsia"/>
          <w:sz w:val="28"/>
          <w:szCs w:val="28"/>
          <w:u w:val="none"/>
        </w:rPr>
        <w:t>违约而蒙受的损失。履约保证金不足时，</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有权在</w:t>
      </w:r>
      <w:r>
        <w:rPr>
          <w:rFonts w:hint="eastAsia" w:asciiTheme="minorEastAsia" w:hAnsiTheme="minorEastAsia" w:eastAsiaTheme="minorEastAsia" w:cstheme="minorEastAsia"/>
          <w:sz w:val="28"/>
          <w:szCs w:val="28"/>
          <w:u w:val="none"/>
          <w:lang w:val="en-US" w:eastAsia="zh-CN"/>
        </w:rPr>
        <w:t>合同价</w:t>
      </w:r>
      <w:r>
        <w:rPr>
          <w:rFonts w:hint="eastAsia" w:asciiTheme="minorEastAsia" w:hAnsiTheme="minorEastAsia" w:eastAsiaTheme="minorEastAsia" w:cstheme="minorEastAsia"/>
          <w:sz w:val="28"/>
          <w:szCs w:val="28"/>
          <w:u w:val="none"/>
        </w:rPr>
        <w:t>款中扣抵。</w:t>
      </w:r>
    </w:p>
    <w:p w14:paraId="3CD7ABB5">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3.</w:t>
      </w:r>
      <w:r>
        <w:rPr>
          <w:rFonts w:hint="eastAsia" w:asciiTheme="minorEastAsia" w:hAnsiTheme="minorEastAsia" w:eastAsiaTheme="minorEastAsia" w:cstheme="minorEastAsia"/>
          <w:sz w:val="28"/>
          <w:szCs w:val="28"/>
          <w:u w:val="none"/>
        </w:rPr>
        <w:t>在</w:t>
      </w:r>
      <w:r>
        <w:rPr>
          <w:rFonts w:hint="eastAsia" w:asciiTheme="minorEastAsia" w:hAnsiTheme="minorEastAsia" w:eastAsiaTheme="minorEastAsia" w:cstheme="minorEastAsia"/>
          <w:sz w:val="28"/>
          <w:szCs w:val="28"/>
          <w:u w:val="none"/>
          <w:lang w:eastAsia="zh-CN"/>
        </w:rPr>
        <w:t>成交供应商</w:t>
      </w:r>
      <w:r>
        <w:rPr>
          <w:rFonts w:hint="eastAsia" w:asciiTheme="minorEastAsia" w:hAnsiTheme="minorEastAsia" w:eastAsiaTheme="minorEastAsia" w:cstheme="minorEastAsia"/>
          <w:sz w:val="28"/>
          <w:szCs w:val="28"/>
          <w:u w:val="none"/>
        </w:rPr>
        <w:t>无任何违约行为的前提下，</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于</w:t>
      </w:r>
      <w:r>
        <w:rPr>
          <w:rFonts w:hint="eastAsia" w:asciiTheme="minorEastAsia" w:hAnsiTheme="minorEastAsia" w:eastAsiaTheme="minorEastAsia" w:cstheme="minorEastAsia"/>
          <w:sz w:val="28"/>
          <w:szCs w:val="28"/>
          <w:u w:val="none"/>
          <w:lang w:eastAsia="zh-CN"/>
        </w:rPr>
        <w:t>质保期满</w:t>
      </w:r>
      <w:r>
        <w:rPr>
          <w:rFonts w:hint="eastAsia" w:asciiTheme="minorEastAsia" w:hAnsiTheme="minorEastAsia" w:eastAsiaTheme="minorEastAsia" w:cstheme="minorEastAsia"/>
          <w:sz w:val="28"/>
          <w:szCs w:val="28"/>
          <w:u w:val="none"/>
        </w:rPr>
        <w:t>且</w:t>
      </w:r>
      <w:r>
        <w:rPr>
          <w:rFonts w:hint="eastAsia" w:asciiTheme="minorEastAsia" w:hAnsiTheme="minorEastAsia" w:eastAsiaTheme="minorEastAsia" w:cstheme="minorEastAsia"/>
          <w:color w:val="auto"/>
          <w:sz w:val="28"/>
          <w:szCs w:val="28"/>
          <w:lang w:val="en-GB" w:eastAsia="zh-CN"/>
        </w:rPr>
        <w:t>成交供应商履行完合同全部内容无任何质量、服务等方面的问题后</w:t>
      </w:r>
      <w:r>
        <w:rPr>
          <w:rFonts w:hint="eastAsia" w:asciiTheme="minorEastAsia" w:hAnsiTheme="minorEastAsia" w:eastAsiaTheme="minorEastAsia" w:cstheme="minorEastAsia"/>
          <w:sz w:val="28"/>
          <w:szCs w:val="28"/>
          <w:u w:val="none"/>
        </w:rPr>
        <w:t>30日内</w:t>
      </w:r>
      <w:r>
        <w:rPr>
          <w:rFonts w:hint="eastAsia" w:asciiTheme="minorEastAsia" w:hAnsiTheme="minorEastAsia" w:eastAsiaTheme="minorEastAsia" w:cstheme="minorEastAsia"/>
          <w:color w:val="auto"/>
          <w:sz w:val="28"/>
          <w:szCs w:val="28"/>
          <w:lang w:val="en-GB" w:eastAsia="zh-CN"/>
        </w:rPr>
        <w:t>一次性无息退还。</w:t>
      </w:r>
    </w:p>
    <w:p w14:paraId="002D8C93">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eastAsia="zh-CN"/>
        </w:rPr>
      </w:pPr>
      <w:r>
        <w:rPr>
          <w:rFonts w:hint="eastAsia" w:asciiTheme="minorEastAsia" w:hAnsiTheme="minorEastAsia" w:eastAsiaTheme="minorEastAsia" w:cstheme="minorEastAsia"/>
          <w:sz w:val="28"/>
          <w:szCs w:val="28"/>
          <w:u w:val="none"/>
          <w:lang w:eastAsia="zh-CN"/>
        </w:rPr>
        <w:t>履约保证金缴纳账户名称：江西省赣州监狱</w:t>
      </w:r>
    </w:p>
    <w:p w14:paraId="6202AEFD">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rPr>
        <w:t>开户行：工商银行赣州</w:t>
      </w:r>
      <w:r>
        <w:rPr>
          <w:rFonts w:hint="eastAsia" w:asciiTheme="minorEastAsia" w:hAnsiTheme="minorEastAsia" w:eastAsiaTheme="minorEastAsia" w:cstheme="minorEastAsia"/>
          <w:sz w:val="28"/>
          <w:szCs w:val="28"/>
          <w:u w:val="none"/>
          <w:lang w:eastAsia="zh-CN"/>
        </w:rPr>
        <w:t>章贡</w:t>
      </w:r>
      <w:r>
        <w:rPr>
          <w:rFonts w:hint="eastAsia" w:asciiTheme="minorEastAsia" w:hAnsiTheme="minorEastAsia" w:eastAsiaTheme="minorEastAsia" w:cstheme="minorEastAsia"/>
          <w:sz w:val="28"/>
          <w:szCs w:val="28"/>
          <w:u w:val="none"/>
        </w:rPr>
        <w:t xml:space="preserve">支行 </w:t>
      </w:r>
      <w:r>
        <w:rPr>
          <w:rFonts w:hint="eastAsia" w:asciiTheme="minorEastAsia" w:hAnsiTheme="minorEastAsia" w:eastAsiaTheme="minorEastAsia" w:cstheme="minorEastAsia"/>
          <w:sz w:val="28"/>
          <w:szCs w:val="28"/>
          <w:u w:val="none"/>
          <w:lang w:val="en-US" w:eastAsia="zh-CN"/>
        </w:rPr>
        <w:t xml:space="preserve">   </w:t>
      </w:r>
    </w:p>
    <w:p w14:paraId="6C46A31B">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GB" w:eastAsia="zh-CN"/>
        </w:rPr>
        <w:t>帐号：1510</w:t>
      </w:r>
      <w:r>
        <w:rPr>
          <w:rFonts w:hint="eastAsia" w:asciiTheme="minorEastAsia" w:hAnsiTheme="minorEastAsia" w:eastAsiaTheme="minorEastAsia" w:cstheme="minorEastAsia"/>
          <w:sz w:val="28"/>
          <w:szCs w:val="28"/>
          <w:u w:val="none"/>
          <w:lang w:val="en-US" w:eastAsia="zh-CN"/>
        </w:rPr>
        <w:t xml:space="preserve"> </w:t>
      </w:r>
      <w:r>
        <w:rPr>
          <w:rFonts w:hint="eastAsia" w:asciiTheme="minorEastAsia" w:hAnsiTheme="minorEastAsia" w:eastAsiaTheme="minorEastAsia" w:cstheme="minorEastAsia"/>
          <w:sz w:val="28"/>
          <w:szCs w:val="28"/>
          <w:u w:val="none"/>
          <w:lang w:val="en-GB" w:eastAsia="zh-CN"/>
        </w:rPr>
        <w:t>2258</w:t>
      </w:r>
      <w:r>
        <w:rPr>
          <w:rFonts w:hint="eastAsia" w:asciiTheme="minorEastAsia" w:hAnsiTheme="minorEastAsia" w:eastAsiaTheme="minorEastAsia" w:cstheme="minorEastAsia"/>
          <w:sz w:val="28"/>
          <w:szCs w:val="28"/>
          <w:u w:val="none"/>
          <w:lang w:val="en-US" w:eastAsia="zh-CN"/>
        </w:rPr>
        <w:t xml:space="preserve"> </w:t>
      </w:r>
      <w:r>
        <w:rPr>
          <w:rFonts w:hint="eastAsia" w:asciiTheme="minorEastAsia" w:hAnsiTheme="minorEastAsia" w:eastAsiaTheme="minorEastAsia" w:cstheme="minorEastAsia"/>
          <w:sz w:val="28"/>
          <w:szCs w:val="28"/>
          <w:u w:val="none"/>
          <w:lang w:val="en-GB" w:eastAsia="zh-CN"/>
        </w:rPr>
        <w:t>2922</w:t>
      </w:r>
      <w:r>
        <w:rPr>
          <w:rFonts w:hint="eastAsia" w:asciiTheme="minorEastAsia" w:hAnsiTheme="minorEastAsia" w:eastAsiaTheme="minorEastAsia" w:cstheme="minorEastAsia"/>
          <w:sz w:val="28"/>
          <w:szCs w:val="28"/>
          <w:u w:val="none"/>
          <w:lang w:val="en-US" w:eastAsia="zh-CN"/>
        </w:rPr>
        <w:t xml:space="preserve"> </w:t>
      </w:r>
      <w:r>
        <w:rPr>
          <w:rFonts w:hint="eastAsia" w:asciiTheme="minorEastAsia" w:hAnsiTheme="minorEastAsia" w:eastAsiaTheme="minorEastAsia" w:cstheme="minorEastAsia"/>
          <w:sz w:val="28"/>
          <w:szCs w:val="28"/>
          <w:u w:val="none"/>
          <w:lang w:val="en-GB" w:eastAsia="zh-CN"/>
        </w:rPr>
        <w:t>1001</w:t>
      </w:r>
      <w:r>
        <w:rPr>
          <w:rFonts w:hint="eastAsia" w:asciiTheme="minorEastAsia" w:hAnsiTheme="minorEastAsia" w:eastAsiaTheme="minorEastAsia" w:cstheme="minorEastAsia"/>
          <w:sz w:val="28"/>
          <w:szCs w:val="28"/>
          <w:u w:val="none"/>
          <w:lang w:val="en-US" w:eastAsia="zh-CN"/>
        </w:rPr>
        <w:t xml:space="preserve"> </w:t>
      </w:r>
      <w:r>
        <w:rPr>
          <w:rFonts w:hint="eastAsia" w:asciiTheme="minorEastAsia" w:hAnsiTheme="minorEastAsia" w:eastAsiaTheme="minorEastAsia" w:cstheme="minorEastAsia"/>
          <w:sz w:val="28"/>
          <w:szCs w:val="28"/>
          <w:u w:val="none"/>
          <w:lang w:val="en-GB" w:eastAsia="zh-CN"/>
        </w:rPr>
        <w:t xml:space="preserve">380 </w:t>
      </w:r>
    </w:p>
    <w:p w14:paraId="678421A4">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三</w:t>
      </w: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交付</w:t>
      </w:r>
    </w:p>
    <w:p w14:paraId="28206982">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1.交付</w:t>
      </w:r>
      <w:r>
        <w:rPr>
          <w:rFonts w:hint="eastAsia" w:asciiTheme="minorEastAsia" w:hAnsiTheme="minorEastAsia" w:eastAsiaTheme="minorEastAsia" w:cstheme="minorEastAsia"/>
          <w:sz w:val="28"/>
          <w:szCs w:val="28"/>
          <w:u w:val="none"/>
          <w:lang w:val="en-GB" w:eastAsia="zh-CN"/>
        </w:rPr>
        <w:t>时间：自接到采购人要求交货通知之日起于</w:t>
      </w:r>
      <w:r>
        <w:rPr>
          <w:rFonts w:hint="eastAsia" w:asciiTheme="minorEastAsia" w:hAnsiTheme="minorEastAsia" w:eastAsiaTheme="minorEastAsia" w:cstheme="minorEastAsia"/>
          <w:sz w:val="28"/>
          <w:szCs w:val="28"/>
          <w:u w:val="none"/>
          <w:lang w:val="en-US" w:eastAsia="zh-CN"/>
        </w:rPr>
        <w:t>45个工作</w:t>
      </w:r>
      <w:r>
        <w:rPr>
          <w:rFonts w:hint="eastAsia" w:asciiTheme="minorEastAsia" w:hAnsiTheme="minorEastAsia" w:eastAsiaTheme="minorEastAsia" w:cstheme="minorEastAsia"/>
          <w:sz w:val="28"/>
          <w:szCs w:val="28"/>
          <w:u w:val="none"/>
          <w:lang w:val="en-GB" w:eastAsia="zh-CN"/>
        </w:rPr>
        <w:t>日内完成所有设备的交货、安装、调试、试运行和培训工作，且符合国家标准、行业规范和合同等相关文件的要求。成交供应商交货时，必须事先告知采购人，若成交供应商在未告知情况下擅自发货，采购人可拒收该批货物，由此造成的损失和产生的费用由成交供应商负担。</w:t>
      </w:r>
    </w:p>
    <w:p w14:paraId="513CA619">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交货方式：现场交货，并提供安装、调试、试运行和培训工作且符合国家标准、行业规范和合同等相关文件的要求。</w:t>
      </w:r>
    </w:p>
    <w:p w14:paraId="44B531E5">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3.</w:t>
      </w:r>
      <w:r>
        <w:rPr>
          <w:rFonts w:hint="eastAsia" w:asciiTheme="minorEastAsia" w:hAnsiTheme="minorEastAsia" w:eastAsiaTheme="minorEastAsia" w:cstheme="minorEastAsia"/>
          <w:sz w:val="28"/>
          <w:szCs w:val="28"/>
          <w:u w:val="none"/>
          <w:lang w:val="en-GB" w:eastAsia="zh-CN"/>
        </w:rPr>
        <w:t>交货地点：采购人指定地点。由成交供应商负责将货物安全送达，不另收任何费用。</w:t>
      </w:r>
    </w:p>
    <w:p w14:paraId="4ECB1446">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4.</w:t>
      </w:r>
      <w:r>
        <w:rPr>
          <w:rFonts w:hint="eastAsia" w:asciiTheme="minorEastAsia" w:hAnsiTheme="minorEastAsia" w:eastAsiaTheme="minorEastAsia" w:cstheme="minorEastAsia"/>
          <w:sz w:val="28"/>
          <w:szCs w:val="28"/>
          <w:u w:val="none"/>
          <w:lang w:val="en-GB" w:eastAsia="zh-CN"/>
        </w:rPr>
        <w:t>包装与运输</w:t>
      </w:r>
    </w:p>
    <w:p w14:paraId="5096873C">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en-GB" w:eastAsia="zh-CN"/>
        </w:rPr>
        <w:t>本项目下货物均应采用符合有关包装的法律、法规的本行业通用的方式进行包装，包装能适应长距离运输并具有良好的防潮防震和防破损装卸等，确保货物完好无损地运抵采购人指定地点。因包装不符合约定而造成货物损坏、灭失等损失，由成交供应商承担。</w:t>
      </w:r>
    </w:p>
    <w:p w14:paraId="1E1DD1C4">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货物在交货前发生的不可预见的风险均由成交供应商负责。</w:t>
      </w:r>
    </w:p>
    <w:p w14:paraId="7F489A27">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(3)</w:t>
      </w:r>
      <w:r>
        <w:rPr>
          <w:rFonts w:hint="eastAsia" w:asciiTheme="minorEastAsia" w:hAnsiTheme="minorEastAsia" w:eastAsiaTheme="minorEastAsia" w:cstheme="minorEastAsia"/>
          <w:sz w:val="28"/>
          <w:szCs w:val="28"/>
          <w:u w:val="none"/>
          <w:lang w:val="en-GB" w:eastAsia="zh-CN"/>
        </w:rPr>
        <w:t>货物在发运手续办理完毕后24小时内或货到采购人前48小时通知采购人，以准备接货。</w:t>
      </w:r>
    </w:p>
    <w:p w14:paraId="75360776">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(四）</w:t>
      </w:r>
      <w:r>
        <w:rPr>
          <w:rFonts w:hint="eastAsia" w:asciiTheme="minorEastAsia" w:hAnsiTheme="minorEastAsia" w:eastAsiaTheme="minorEastAsia" w:cstheme="minorEastAsia"/>
          <w:b/>
          <w:bCs/>
          <w:sz w:val="28"/>
          <w:szCs w:val="28"/>
          <w:u w:val="none"/>
          <w:lang w:val="en-GB" w:eastAsia="zh-CN"/>
        </w:rPr>
        <w:t>质量保证</w:t>
      </w:r>
    </w:p>
    <w:p w14:paraId="0126DB68">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en-GB" w:eastAsia="zh-CN"/>
        </w:rPr>
        <w:t xml:space="preserve">成交供应商必须提供符合国家技术规格和质量标准的原厂商原装出厂且全新、从未使用、保存完好的合格产品，如发生所供商品与投标时承诺的不符，采购人有权拒收或退货，由此产生的一切责任和后果由成交供应商承担。 </w:t>
      </w:r>
    </w:p>
    <w:p w14:paraId="4E5CD409">
      <w:pPr>
        <w:pStyle w:val="9"/>
        <w:numPr>
          <w:ilvl w:val="0"/>
          <w:numId w:val="0"/>
        </w:numPr>
        <w:adjustRightInd w:val="0"/>
        <w:snapToGrid w:val="0"/>
        <w:ind w:firstLine="560" w:firstLineChars="200"/>
        <w:rPr>
          <w:rFonts w:hint="eastAsia" w:asciiTheme="minorEastAsia" w:hAnsiTheme="minorEastAsia" w:eastAsiaTheme="minorEastAsia" w:cstheme="minorEastAsia"/>
          <w:color w:val="auto"/>
          <w:sz w:val="28"/>
          <w:szCs w:val="28"/>
          <w:u w:val="none"/>
          <w:lang w:val="en-GB" w:eastAsia="zh-CN"/>
        </w:rPr>
      </w:pPr>
      <w:r>
        <w:rPr>
          <w:rFonts w:hint="eastAsia" w:asciiTheme="minorEastAsia" w:hAnsiTheme="minorEastAsia" w:eastAsiaTheme="minorEastAsia" w:cstheme="minorEastAsia"/>
          <w:color w:val="auto"/>
          <w:sz w:val="28"/>
          <w:szCs w:val="28"/>
          <w:u w:val="none"/>
          <w:lang w:val="en-US" w:eastAsia="zh-CN"/>
        </w:rPr>
        <w:t>2.货物</w:t>
      </w:r>
      <w:r>
        <w:rPr>
          <w:rFonts w:hint="eastAsia" w:asciiTheme="minorEastAsia" w:hAnsiTheme="minorEastAsia" w:eastAsiaTheme="minorEastAsia" w:cstheme="minorEastAsia"/>
          <w:color w:val="auto"/>
          <w:sz w:val="28"/>
          <w:szCs w:val="28"/>
          <w:u w:val="none"/>
          <w:lang w:val="en-GB" w:eastAsia="zh-CN"/>
        </w:rPr>
        <w:t>验收合格之日起</w:t>
      </w:r>
      <w:r>
        <w:rPr>
          <w:rFonts w:hint="eastAsia" w:asciiTheme="minorEastAsia" w:hAnsiTheme="minorEastAsia" w:eastAsiaTheme="minorEastAsia" w:cstheme="minorEastAsia"/>
          <w:color w:val="auto"/>
          <w:sz w:val="28"/>
          <w:szCs w:val="28"/>
          <w:u w:val="none"/>
          <w:lang w:val="en-US" w:eastAsia="zh-CN"/>
        </w:rPr>
        <w:t>18</w:t>
      </w:r>
      <w:r>
        <w:rPr>
          <w:rFonts w:hint="eastAsia" w:asciiTheme="minorEastAsia" w:hAnsiTheme="minorEastAsia" w:eastAsiaTheme="minorEastAsia" w:cstheme="minorEastAsia"/>
          <w:color w:val="auto"/>
          <w:sz w:val="28"/>
          <w:szCs w:val="28"/>
          <w:u w:val="none"/>
          <w:lang w:val="en-GB" w:eastAsia="zh-CN"/>
        </w:rPr>
        <w:t xml:space="preserve">0天内，如发现质量问题，成交供应商负责包换。 </w:t>
      </w:r>
    </w:p>
    <w:p w14:paraId="5E0D1B21">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3.</w:t>
      </w:r>
      <w:r>
        <w:rPr>
          <w:rFonts w:hint="eastAsia" w:asciiTheme="minorEastAsia" w:hAnsiTheme="minorEastAsia" w:eastAsiaTheme="minorEastAsia" w:cstheme="minorEastAsia"/>
          <w:sz w:val="28"/>
          <w:szCs w:val="28"/>
          <w:u w:val="none"/>
          <w:lang w:val="en-GB" w:eastAsia="zh-CN"/>
        </w:rPr>
        <w:t>项目货物基础质量保证期为壹年（</w:t>
      </w:r>
      <w:r>
        <w:rPr>
          <w:rFonts w:hint="eastAsia" w:asciiTheme="minorEastAsia" w:hAnsiTheme="minorEastAsia" w:eastAsiaTheme="minorEastAsia" w:cstheme="minorEastAsia"/>
          <w:sz w:val="28"/>
          <w:szCs w:val="28"/>
          <w:u w:val="none"/>
          <w:lang w:val="en-US" w:eastAsia="zh-CN"/>
        </w:rPr>
        <w:t>12个月，</w:t>
      </w:r>
      <w:r>
        <w:rPr>
          <w:rFonts w:hint="eastAsia" w:asciiTheme="minorEastAsia" w:hAnsiTheme="minorEastAsia" w:eastAsiaTheme="minorEastAsia" w:cstheme="minorEastAsia"/>
          <w:sz w:val="28"/>
          <w:szCs w:val="28"/>
          <w:u w:val="none"/>
          <w:lang w:val="en-GB" w:eastAsia="zh-CN"/>
        </w:rPr>
        <w:t>自货物验收合格之日起计算）。在质保期内，凡在正常使用中出现质量问题的，成交供应商按采购人售后服务要求及成交供应商响应售后服务方案提供售后服务，其人员的差旅、食宿等费用和包修、包换所产生的货物包装和往返运费等费用均由成交供应商承担。</w:t>
      </w:r>
    </w:p>
    <w:p w14:paraId="393A1808">
      <w:pPr>
        <w:pStyle w:val="9"/>
        <w:numPr>
          <w:ilvl w:val="0"/>
          <w:numId w:val="0"/>
        </w:numPr>
        <w:adjustRightInd w:val="0"/>
        <w:snapToGrid w:val="0"/>
        <w:ind w:firstLine="562"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(五）</w:t>
      </w:r>
      <w:r>
        <w:rPr>
          <w:rFonts w:hint="eastAsia" w:asciiTheme="minorEastAsia" w:hAnsiTheme="minorEastAsia" w:eastAsiaTheme="minorEastAsia" w:cstheme="minorEastAsia"/>
          <w:b/>
          <w:bCs/>
          <w:sz w:val="28"/>
          <w:szCs w:val="28"/>
          <w:u w:val="none"/>
          <w:lang w:val="en-GB" w:eastAsia="zh-CN"/>
        </w:rPr>
        <w:t>安装调试</w:t>
      </w:r>
    </w:p>
    <w:p w14:paraId="2BB521EB">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en-GB" w:eastAsia="zh-CN"/>
        </w:rPr>
        <w:t>设备的拆箱、安装调试等各项工作由成交供应商负责，但必须在采购人或用户指定人员的参与下进行。成交供应商实施前必须先经采购人或用户同意方可进行。调试的原始记录需经各方签字后作为验收的文件之一。</w:t>
      </w:r>
    </w:p>
    <w:p w14:paraId="00CD44EA">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所有设备、材料均须由成交供应商送货到现场并负责安装调试，必须出示产品合格证和原厂随货清单。成交供应商应派熟练的工程师现场进行安装，若发生任一项指标不符合招标文件技术要求，成交供应商应在3天内免费更换其不合格设备，使之达到招标文件要求，所有费用由成交供应商负担。</w:t>
      </w:r>
    </w:p>
    <w:p w14:paraId="0B67CD24">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(六）</w:t>
      </w:r>
      <w:r>
        <w:rPr>
          <w:rFonts w:hint="eastAsia" w:asciiTheme="minorEastAsia" w:hAnsiTheme="minorEastAsia" w:eastAsiaTheme="minorEastAsia" w:cstheme="minorEastAsia"/>
          <w:b/>
          <w:bCs/>
          <w:sz w:val="28"/>
          <w:szCs w:val="28"/>
          <w:u w:val="none"/>
          <w:lang w:val="en-GB" w:eastAsia="zh-CN"/>
        </w:rPr>
        <w:t>培训要求</w:t>
      </w:r>
    </w:p>
    <w:p w14:paraId="57FF0B2D">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zh-CN"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zh-CN" w:eastAsia="zh-CN"/>
        </w:rPr>
        <w:t>为保证设备交付后的正常运行使用，成交供应商须派出具有相应专业资格和实际工作经验的工程师在各设备安装现场对采购人的技术人员进行现场培训，培训时间和培训地点与采购人协商确定，培训费用由成交供应商承担。</w:t>
      </w:r>
    </w:p>
    <w:p w14:paraId="6BF31FF8">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zh-CN"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zh-CN" w:eastAsia="zh-CN"/>
        </w:rPr>
        <w:t>培训要求:通过培训，系统管理操作工作人员对系统各功能模块能比较熟练地掌握并能完成独立操作。</w:t>
      </w:r>
    </w:p>
    <w:p w14:paraId="4B1A7A46">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(七）</w:t>
      </w:r>
      <w:r>
        <w:rPr>
          <w:rFonts w:hint="eastAsia" w:asciiTheme="minorEastAsia" w:hAnsiTheme="minorEastAsia" w:eastAsiaTheme="minorEastAsia" w:cstheme="minorEastAsia"/>
          <w:b/>
          <w:bCs/>
          <w:sz w:val="28"/>
          <w:szCs w:val="28"/>
          <w:u w:val="none"/>
          <w:lang w:val="en-GB" w:eastAsia="zh-CN"/>
        </w:rPr>
        <w:t xml:space="preserve">验收 </w:t>
      </w:r>
    </w:p>
    <w:p w14:paraId="4E00A07D">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en-GB" w:eastAsia="zh-CN"/>
        </w:rPr>
        <w:t>初验：设备送达现场后，成交供应商和采购人共同打开包装验货，如设备质量和技术规格不符合采购人采购要求或成交供应商投报要求，或有明显损坏，采购人不予验收。初验同时，成交供应商须将各设备详细装箱单据及其全部有关技术文件、资料、质量报告等文档汇集成册交付采购人。</w:t>
      </w:r>
    </w:p>
    <w:p w14:paraId="572B96FD">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终验：设备初验合格后，经安装测试后转入试运行。试运行</w:t>
      </w:r>
      <w:r>
        <w:rPr>
          <w:rFonts w:hint="eastAsia" w:asciiTheme="minorEastAsia" w:hAnsiTheme="minorEastAsia" w:eastAsiaTheme="minorEastAsia" w:cstheme="minorEastAsia"/>
          <w:sz w:val="28"/>
          <w:szCs w:val="28"/>
          <w:u w:val="none"/>
          <w:lang w:val="en-US" w:eastAsia="zh-CN"/>
        </w:rPr>
        <w:t>30天</w:t>
      </w:r>
      <w:r>
        <w:rPr>
          <w:rFonts w:hint="eastAsia" w:asciiTheme="minorEastAsia" w:hAnsiTheme="minorEastAsia" w:eastAsiaTheme="minorEastAsia" w:cstheme="minorEastAsia"/>
          <w:sz w:val="28"/>
          <w:szCs w:val="28"/>
          <w:u w:val="none"/>
          <w:lang w:val="en-GB" w:eastAsia="zh-CN"/>
        </w:rPr>
        <w:t>后，成交供应商应向采购人提交试运行记录，出具项目试运行报告，并提出最终验收申请，经采购人同意，采购人组织相关部门及人员成立验收小组，与成交供应商共同按招标文件、</w:t>
      </w:r>
      <w:r>
        <w:rPr>
          <w:rFonts w:hint="eastAsia" w:asciiTheme="minorEastAsia" w:hAnsiTheme="minorEastAsia" w:eastAsiaTheme="minorEastAsia" w:cstheme="minorEastAsia"/>
          <w:sz w:val="28"/>
          <w:szCs w:val="28"/>
          <w:u w:val="none"/>
          <w:lang w:val="zh-CN" w:eastAsia="zh-CN"/>
        </w:rPr>
        <w:t>成交供应商</w:t>
      </w:r>
      <w:r>
        <w:rPr>
          <w:rFonts w:hint="eastAsia" w:asciiTheme="minorEastAsia" w:hAnsiTheme="minorEastAsia" w:eastAsiaTheme="minorEastAsia" w:cstheme="minorEastAsia"/>
          <w:sz w:val="28"/>
          <w:szCs w:val="28"/>
          <w:u w:val="none"/>
          <w:lang w:val="en-GB" w:eastAsia="zh-CN"/>
        </w:rPr>
        <w:t>响应文件、合同等约定内容及国家或行业相关标准进行最终验收。</w:t>
      </w:r>
    </w:p>
    <w:p w14:paraId="359A9994">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3.</w:t>
      </w:r>
      <w:r>
        <w:rPr>
          <w:rFonts w:hint="eastAsia" w:asciiTheme="minorEastAsia" w:hAnsiTheme="minorEastAsia" w:eastAsiaTheme="minorEastAsia" w:cstheme="minorEastAsia"/>
          <w:sz w:val="28"/>
          <w:szCs w:val="28"/>
          <w:u w:val="none"/>
          <w:lang w:val="en-GB" w:eastAsia="zh-CN"/>
        </w:rPr>
        <w:t>如验收未达相应要求，采购人有权要求更换货物或拒绝付款，成交供应商若违约，采购人将依法追究相应法律责任。</w:t>
      </w:r>
    </w:p>
    <w:p w14:paraId="0659F48B">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(八）</w:t>
      </w:r>
      <w:r>
        <w:rPr>
          <w:rFonts w:hint="eastAsia" w:asciiTheme="minorEastAsia" w:hAnsiTheme="minorEastAsia" w:eastAsiaTheme="minorEastAsia" w:cstheme="minorEastAsia"/>
          <w:b/>
          <w:bCs/>
          <w:sz w:val="28"/>
          <w:szCs w:val="28"/>
          <w:u w:val="none"/>
          <w:lang w:val="en-GB" w:eastAsia="zh-CN"/>
        </w:rPr>
        <w:t>付款方式</w:t>
      </w:r>
    </w:p>
    <w:p w14:paraId="76F888CC">
      <w:pPr>
        <w:pStyle w:val="9"/>
        <w:numPr>
          <w:ilvl w:val="0"/>
          <w:numId w:val="0"/>
        </w:numPr>
        <w:adjustRightInd w:val="0"/>
        <w:snapToGrid w:val="0"/>
        <w:ind w:firstLine="560"/>
        <w:rPr>
          <w:rFonts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GB" w:eastAsia="zh-CN"/>
        </w:rPr>
        <w:t>全部设备交货、安装调试、试运行和培训等履约内容经验收完毕且合格后，成交供应商开具符合</w:t>
      </w:r>
      <w:r>
        <w:rPr>
          <w:rFonts w:asciiTheme="minorEastAsia" w:hAnsiTheme="minorEastAsia" w:eastAsiaTheme="minorEastAsia" w:cstheme="minorEastAsia"/>
          <w:sz w:val="28"/>
          <w:szCs w:val="28"/>
          <w:u w:val="none"/>
        </w:rPr>
        <w:t>法律法规和</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财务要求的</w:t>
      </w:r>
      <w:r>
        <w:rPr>
          <w:rFonts w:hint="eastAsia" w:asciiTheme="minorEastAsia" w:hAnsiTheme="minorEastAsia" w:eastAsiaTheme="minorEastAsia" w:cstheme="minorEastAsia"/>
          <w:sz w:val="28"/>
          <w:szCs w:val="28"/>
          <w:u w:val="none"/>
          <w:lang w:eastAsia="zh-CN"/>
        </w:rPr>
        <w:t>全额</w:t>
      </w:r>
      <w:r>
        <w:rPr>
          <w:rFonts w:asciiTheme="minorEastAsia" w:hAnsiTheme="minorEastAsia" w:eastAsiaTheme="minorEastAsia" w:cstheme="minorEastAsia"/>
          <w:sz w:val="28"/>
          <w:szCs w:val="28"/>
          <w:u w:val="none"/>
        </w:rPr>
        <w:t>增值税普通发票，</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一次性支付</w:t>
      </w:r>
      <w:r>
        <w:rPr>
          <w:rFonts w:hint="eastAsia" w:asciiTheme="minorEastAsia" w:hAnsiTheme="minorEastAsia" w:eastAsiaTheme="minorEastAsia" w:cstheme="minorEastAsia"/>
          <w:sz w:val="28"/>
          <w:szCs w:val="28"/>
          <w:u w:val="none"/>
          <w:lang w:eastAsia="zh-CN"/>
        </w:rPr>
        <w:t>合同款项</w:t>
      </w:r>
      <w:r>
        <w:rPr>
          <w:rFonts w:asciiTheme="minorEastAsia" w:hAnsiTheme="minorEastAsia" w:eastAsiaTheme="minorEastAsia" w:cstheme="minorEastAsia"/>
          <w:sz w:val="28"/>
          <w:szCs w:val="28"/>
          <w:u w:val="none"/>
        </w:rPr>
        <w:t>。</w:t>
      </w:r>
      <w:r>
        <w:rPr>
          <w:rFonts w:hint="eastAsia" w:asciiTheme="minorEastAsia" w:hAnsiTheme="minorEastAsia" w:eastAsiaTheme="minorEastAsia" w:cstheme="minorEastAsia"/>
          <w:sz w:val="28"/>
          <w:szCs w:val="28"/>
          <w:u w:val="none"/>
          <w:lang w:val="en-GB" w:eastAsia="zh-CN"/>
        </w:rPr>
        <w:t>成交供应商</w:t>
      </w:r>
      <w:r>
        <w:rPr>
          <w:rFonts w:asciiTheme="minorEastAsia" w:hAnsiTheme="minorEastAsia" w:eastAsiaTheme="minorEastAsia" w:cstheme="minorEastAsia"/>
          <w:sz w:val="28"/>
          <w:szCs w:val="28"/>
          <w:u w:val="none"/>
        </w:rPr>
        <w:t>对自身提供的增值税发票负全部责任，因提供的增值税发票不合法、不合规或涉嫌虚开而产生的一系列经济、法律后果和纠纷全由</w:t>
      </w:r>
      <w:r>
        <w:rPr>
          <w:rFonts w:hint="eastAsia" w:asciiTheme="minorEastAsia" w:hAnsiTheme="minorEastAsia" w:eastAsiaTheme="minorEastAsia" w:cstheme="minorEastAsia"/>
          <w:sz w:val="28"/>
          <w:szCs w:val="28"/>
          <w:u w:val="none"/>
          <w:lang w:val="en-GB" w:eastAsia="zh-CN"/>
        </w:rPr>
        <w:t>成交供应商</w:t>
      </w:r>
      <w:r>
        <w:rPr>
          <w:rFonts w:asciiTheme="minorEastAsia" w:hAnsiTheme="minorEastAsia" w:eastAsiaTheme="minorEastAsia" w:cstheme="minorEastAsia"/>
          <w:sz w:val="28"/>
          <w:szCs w:val="28"/>
          <w:u w:val="none"/>
        </w:rPr>
        <w:t>承担，</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一概不予负责</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在</w:t>
      </w:r>
      <w:r>
        <w:rPr>
          <w:rFonts w:hint="eastAsia" w:asciiTheme="minorEastAsia" w:hAnsiTheme="minorEastAsia" w:eastAsiaTheme="minorEastAsia" w:cstheme="minorEastAsia"/>
          <w:sz w:val="28"/>
          <w:szCs w:val="28"/>
          <w:u w:val="none"/>
          <w:lang w:val="en-GB" w:eastAsia="zh-CN"/>
        </w:rPr>
        <w:t>成交供应商</w:t>
      </w:r>
      <w:r>
        <w:rPr>
          <w:rFonts w:asciiTheme="minorEastAsia" w:hAnsiTheme="minorEastAsia" w:eastAsiaTheme="minorEastAsia" w:cstheme="minorEastAsia"/>
          <w:sz w:val="28"/>
          <w:szCs w:val="28"/>
          <w:u w:val="none"/>
        </w:rPr>
        <w:t>提供符合法律法规和</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财务要求的增值税发票前，有权暂不付款且不承担任何款项逾期责任。</w:t>
      </w:r>
    </w:p>
    <w:p w14:paraId="2B064116">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（九）售后服务要求</w:t>
      </w:r>
    </w:p>
    <w:p w14:paraId="485DEC2E">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en-GB" w:eastAsia="zh-CN"/>
        </w:rPr>
        <w:t>在质量保证期内，如设备发生故障，成交供应商要调查故障原因并免费修复直至满足设备性能的要求，或者免费更换有缺陷的组件和材料；质保期过后，成交供应商或设备制造商须对设备提供终身维修服务，且提供广泛、即时、优惠的技术支持，并提供质量上乘、价格合理的相关配件。</w:t>
      </w:r>
    </w:p>
    <w:p w14:paraId="75C1760E">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质量保证期内成交供应商应对由于设计、工艺或材料的缺陷而发生的任何不足和故障负责任，提供及时的升级服务。</w:t>
      </w:r>
    </w:p>
    <w:p w14:paraId="33405956">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3.</w:t>
      </w:r>
      <w:r>
        <w:rPr>
          <w:rFonts w:hint="eastAsia" w:asciiTheme="minorEastAsia" w:hAnsiTheme="minorEastAsia" w:eastAsiaTheme="minorEastAsia" w:cstheme="minorEastAsia"/>
          <w:sz w:val="28"/>
          <w:szCs w:val="28"/>
          <w:u w:val="none"/>
          <w:lang w:val="en-GB" w:eastAsia="zh-CN"/>
        </w:rPr>
        <w:t>质保期满后，成交供应商须继续为采购人提供专业维修服务，由此发生的相关服务和备品备件费用由采购人承担。成交供应商须保证提供质保期满后5年内设备所需的备品、备件。</w:t>
      </w:r>
    </w:p>
    <w:p w14:paraId="756FAD81">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4.</w:t>
      </w:r>
      <w:r>
        <w:rPr>
          <w:rFonts w:hint="eastAsia" w:asciiTheme="minorEastAsia" w:hAnsiTheme="minorEastAsia" w:eastAsiaTheme="minorEastAsia" w:cstheme="minorEastAsia"/>
          <w:sz w:val="28"/>
          <w:szCs w:val="28"/>
          <w:u w:val="none"/>
          <w:lang w:val="en-GB" w:eastAsia="zh-CN"/>
        </w:rPr>
        <w:t>成交供应商或设备制造商须提供7x24小时售后服务热线，在接到采购人通知维修后随时响应提供服务。若运用通信工具不能解决问题，成交供应商或设备制造商售后服务人员须于2个工作日内到达采购人现场维修，一般故障应在24小时内修复，重大故障应在72小时内修复或提供备用机更换。如成交供应商或设备制造商未能如上约定提供服务，采购人可自行组织维修，因此发生的全部费用由成交供应商承担，采购人可在履约保证金中予以扣除，履约保证金不足以扣除时，由成交供应商补足。</w:t>
      </w:r>
    </w:p>
    <w:p w14:paraId="29858A11">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5.</w:t>
      </w:r>
      <w:r>
        <w:rPr>
          <w:rFonts w:hint="eastAsia" w:asciiTheme="minorEastAsia" w:hAnsiTheme="minorEastAsia" w:eastAsiaTheme="minorEastAsia" w:cstheme="minorEastAsia"/>
          <w:sz w:val="28"/>
          <w:szCs w:val="28"/>
          <w:u w:val="none"/>
          <w:lang w:val="en-GB" w:eastAsia="zh-CN"/>
        </w:rPr>
        <w:t>成交供应商或设备制造商的其他售后服务承诺属于本合同的一部分，如果有不同约定的，以服务水平和层级更高的为准。</w:t>
      </w:r>
    </w:p>
    <w:p w14:paraId="6CA840CD">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(十）</w:t>
      </w:r>
      <w:r>
        <w:rPr>
          <w:rFonts w:hint="eastAsia" w:asciiTheme="minorEastAsia" w:hAnsiTheme="minorEastAsia" w:eastAsiaTheme="minorEastAsia" w:cstheme="minorEastAsia"/>
          <w:b/>
          <w:bCs/>
          <w:sz w:val="28"/>
          <w:szCs w:val="28"/>
          <w:u w:val="none"/>
          <w:lang w:val="en-GB" w:eastAsia="zh-CN"/>
        </w:rPr>
        <w:t>保险</w:t>
      </w:r>
    </w:p>
    <w:p w14:paraId="54E73CC0">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 xml:space="preserve">成交供应商可根据采购项目需求确定是否购买运输保险并承担由此产生的一切费用。如行业或国家另有规定的从其规定。 </w:t>
      </w:r>
    </w:p>
    <w:p w14:paraId="653025CF">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（十一）其它要求</w:t>
      </w:r>
    </w:p>
    <w:p w14:paraId="25DB4E38">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rPr>
        <w:t>因</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的特殊性，</w:t>
      </w:r>
      <w:r>
        <w:rPr>
          <w:rFonts w:hint="eastAsia" w:asciiTheme="minorEastAsia" w:hAnsiTheme="minorEastAsia" w:eastAsiaTheme="minorEastAsia" w:cstheme="minorEastAsia"/>
          <w:sz w:val="28"/>
          <w:szCs w:val="28"/>
          <w:u w:val="none"/>
          <w:lang w:val="en-GB" w:eastAsia="zh-CN"/>
        </w:rPr>
        <w:t>成交供应商</w:t>
      </w:r>
      <w:r>
        <w:rPr>
          <w:rFonts w:hint="eastAsia" w:asciiTheme="minorEastAsia" w:hAnsiTheme="minorEastAsia" w:eastAsiaTheme="minorEastAsia" w:cstheme="minorEastAsia"/>
          <w:sz w:val="28"/>
          <w:szCs w:val="28"/>
          <w:u w:val="none"/>
        </w:rPr>
        <w:t>送货</w:t>
      </w:r>
      <w:r>
        <w:rPr>
          <w:rFonts w:hint="eastAsia" w:asciiTheme="minorEastAsia" w:hAnsiTheme="minorEastAsia" w:eastAsiaTheme="minorEastAsia" w:cstheme="minorEastAsia"/>
          <w:sz w:val="28"/>
          <w:szCs w:val="28"/>
          <w:u w:val="none"/>
          <w:lang w:eastAsia="zh-CN"/>
        </w:rPr>
        <w:t>、安装调试、培训、技术服务等</w:t>
      </w:r>
      <w:r>
        <w:rPr>
          <w:rFonts w:hint="eastAsia" w:asciiTheme="minorEastAsia" w:hAnsiTheme="minorEastAsia" w:eastAsiaTheme="minorEastAsia" w:cstheme="minorEastAsia"/>
          <w:sz w:val="28"/>
          <w:szCs w:val="28"/>
          <w:u w:val="none"/>
        </w:rPr>
        <w:t>人员及车辆进入监管区必须按照</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的管理规定进行操作，不得违反。</w:t>
      </w:r>
      <w:r>
        <w:rPr>
          <w:rFonts w:hint="eastAsia" w:asciiTheme="minorEastAsia" w:hAnsiTheme="minorEastAsia" w:eastAsiaTheme="minorEastAsia" w:cstheme="minorEastAsia"/>
          <w:sz w:val="28"/>
          <w:szCs w:val="28"/>
          <w:u w:val="none"/>
          <w:lang w:val="en-GB" w:eastAsia="zh-CN"/>
        </w:rPr>
        <w:t>成交供应商</w:t>
      </w:r>
      <w:r>
        <w:rPr>
          <w:rFonts w:hint="eastAsia" w:asciiTheme="minorEastAsia" w:hAnsiTheme="minorEastAsia" w:eastAsiaTheme="minorEastAsia" w:cstheme="minorEastAsia"/>
          <w:sz w:val="28"/>
          <w:szCs w:val="28"/>
          <w:u w:val="none"/>
        </w:rPr>
        <w:t>人员应自觉遵守安全检查、严禁违禁品流入，如果发生为服刑人员提供违禁品（如现金、手机、毒品、酒类、淫秽书等）及进行其他交易等行为的，根据司法部“六个一律”规定，取消</w:t>
      </w:r>
      <w:r>
        <w:rPr>
          <w:rFonts w:hint="eastAsia" w:asciiTheme="minorEastAsia" w:hAnsiTheme="minorEastAsia" w:eastAsiaTheme="minorEastAsia" w:cstheme="minorEastAsia"/>
          <w:sz w:val="28"/>
          <w:szCs w:val="28"/>
          <w:u w:val="none"/>
          <w:lang w:val="en-GB" w:eastAsia="zh-CN"/>
        </w:rPr>
        <w:t>成交供应商</w:t>
      </w:r>
      <w:r>
        <w:rPr>
          <w:rFonts w:hint="eastAsia" w:asciiTheme="minorEastAsia" w:hAnsiTheme="minorEastAsia" w:eastAsiaTheme="minorEastAsia" w:cstheme="minorEastAsia"/>
          <w:sz w:val="28"/>
          <w:szCs w:val="28"/>
          <w:u w:val="none"/>
        </w:rPr>
        <w:t>涉事人员及车辆进入监管区资格，触犯法律的，移送有关部门依法处理。情节严重的，</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有权单方终止合同，并没收全部履约保证金，履约保证金不足以弥补</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损失的，</w:t>
      </w:r>
      <w:r>
        <w:rPr>
          <w:rFonts w:hint="eastAsia" w:asciiTheme="minorEastAsia" w:hAnsiTheme="minorEastAsia" w:eastAsiaTheme="minorEastAsia" w:cstheme="minorEastAsia"/>
          <w:sz w:val="28"/>
          <w:szCs w:val="28"/>
          <w:u w:val="none"/>
          <w:lang w:eastAsia="zh-CN"/>
        </w:rPr>
        <w:t>采购人</w:t>
      </w:r>
      <w:r>
        <w:rPr>
          <w:rFonts w:hint="eastAsia" w:asciiTheme="minorEastAsia" w:hAnsiTheme="minorEastAsia" w:eastAsiaTheme="minorEastAsia" w:cstheme="minorEastAsia"/>
          <w:sz w:val="28"/>
          <w:szCs w:val="28"/>
          <w:u w:val="none"/>
        </w:rPr>
        <w:t>有权从未结货款中扣除。</w:t>
      </w:r>
    </w:p>
    <w:p w14:paraId="7169F9AB">
      <w:pPr>
        <w:pStyle w:val="9"/>
        <w:numPr>
          <w:ilvl w:val="0"/>
          <w:numId w:val="0"/>
        </w:numPr>
        <w:adjustRightInd w:val="0"/>
        <w:snapToGrid w:val="0"/>
        <w:ind w:firstLine="560"/>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成交供应商或设备制造商</w:t>
      </w:r>
      <w:r>
        <w:rPr>
          <w:rFonts w:asciiTheme="minorEastAsia" w:hAnsiTheme="minorEastAsia" w:eastAsiaTheme="minorEastAsia" w:cstheme="minorEastAsia"/>
          <w:sz w:val="28"/>
          <w:szCs w:val="28"/>
          <w:u w:val="none"/>
        </w:rPr>
        <w:t>应当对本项目的内容以及在签订、履行本项目过程中知悉或获得的所有有关</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的秘密信息、客户资料等信息（即“保密信息”）予以保密。</w:t>
      </w:r>
      <w:r>
        <w:rPr>
          <w:rFonts w:hint="eastAsia" w:asciiTheme="minorEastAsia" w:hAnsiTheme="minorEastAsia" w:eastAsiaTheme="minorEastAsia" w:cstheme="minorEastAsia"/>
          <w:sz w:val="28"/>
          <w:szCs w:val="28"/>
          <w:u w:val="none"/>
          <w:lang w:eastAsia="zh-CN"/>
        </w:rPr>
        <w:t>如</w:t>
      </w:r>
      <w:r>
        <w:rPr>
          <w:rFonts w:hint="eastAsia" w:asciiTheme="minorEastAsia" w:hAnsiTheme="minorEastAsia" w:eastAsiaTheme="minorEastAsia" w:cstheme="minorEastAsia"/>
          <w:sz w:val="28"/>
          <w:szCs w:val="28"/>
          <w:u w:val="none"/>
          <w:lang w:val="en-GB" w:eastAsia="zh-CN"/>
        </w:rPr>
        <w:t>成交供应商或设备制造商的</w:t>
      </w:r>
      <w:r>
        <w:rPr>
          <w:rFonts w:asciiTheme="minorEastAsia" w:hAnsiTheme="minorEastAsia" w:eastAsiaTheme="minorEastAsia" w:cstheme="minorEastAsia"/>
          <w:sz w:val="28"/>
          <w:szCs w:val="28"/>
          <w:u w:val="none"/>
        </w:rPr>
        <w:t>雇员（无论该雇员是否已从接受方离职）在本条约定的保密期限内违反保密义务，</w:t>
      </w:r>
      <w:r>
        <w:rPr>
          <w:rFonts w:hint="eastAsia" w:asciiTheme="minorEastAsia" w:hAnsiTheme="minorEastAsia" w:eastAsiaTheme="minorEastAsia" w:cstheme="minorEastAsia"/>
          <w:sz w:val="28"/>
          <w:szCs w:val="28"/>
          <w:u w:val="none"/>
          <w:lang w:val="en-GB" w:eastAsia="zh-CN"/>
        </w:rPr>
        <w:t>成交供应商或设备制造商</w:t>
      </w:r>
      <w:r>
        <w:rPr>
          <w:rFonts w:asciiTheme="minorEastAsia" w:hAnsiTheme="minorEastAsia" w:eastAsiaTheme="minorEastAsia" w:cstheme="minorEastAsia"/>
          <w:sz w:val="28"/>
          <w:szCs w:val="28"/>
          <w:u w:val="none"/>
        </w:rPr>
        <w:t>应当对</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因此所遭受的损失承担赔偿责任。如果</w:t>
      </w:r>
      <w:r>
        <w:rPr>
          <w:rFonts w:hint="eastAsia" w:asciiTheme="minorEastAsia" w:hAnsiTheme="minorEastAsia" w:eastAsiaTheme="minorEastAsia" w:cstheme="minorEastAsia"/>
          <w:sz w:val="28"/>
          <w:szCs w:val="28"/>
          <w:u w:val="none"/>
          <w:lang w:val="en-GB" w:eastAsia="zh-CN"/>
        </w:rPr>
        <w:t>成交供应商或设备制造商</w:t>
      </w:r>
      <w:r>
        <w:rPr>
          <w:rFonts w:asciiTheme="minorEastAsia" w:hAnsiTheme="minorEastAsia" w:eastAsiaTheme="minorEastAsia" w:cstheme="minorEastAsia"/>
          <w:sz w:val="28"/>
          <w:szCs w:val="28"/>
          <w:u w:val="none"/>
        </w:rPr>
        <w:t>在本项目有效期内严重违反保密义务，</w:t>
      </w:r>
      <w:r>
        <w:rPr>
          <w:rFonts w:hint="eastAsia" w:asciiTheme="minorEastAsia" w:hAnsiTheme="minorEastAsia" w:eastAsiaTheme="minorEastAsia" w:cstheme="minorEastAsia"/>
          <w:sz w:val="28"/>
          <w:szCs w:val="28"/>
          <w:u w:val="none"/>
          <w:lang w:eastAsia="zh-CN"/>
        </w:rPr>
        <w:t>采购人</w:t>
      </w:r>
      <w:r>
        <w:rPr>
          <w:rFonts w:asciiTheme="minorEastAsia" w:hAnsiTheme="minorEastAsia" w:eastAsiaTheme="minorEastAsia" w:cstheme="minorEastAsia"/>
          <w:sz w:val="28"/>
          <w:szCs w:val="28"/>
          <w:u w:val="none"/>
        </w:rPr>
        <w:t>同时还有权提前终止本合同。</w:t>
      </w:r>
    </w:p>
    <w:p w14:paraId="0B8DE84C">
      <w:pPr>
        <w:pStyle w:val="9"/>
        <w:numPr>
          <w:ilvl w:val="0"/>
          <w:numId w:val="0"/>
        </w:numPr>
        <w:adjustRightInd w:val="0"/>
        <w:snapToGrid w:val="0"/>
        <w:ind w:firstLine="562"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十二</w:t>
      </w: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违约责任</w:t>
      </w:r>
      <w:r>
        <w:rPr>
          <w:rFonts w:hint="eastAsia" w:asciiTheme="minorEastAsia" w:hAnsiTheme="minorEastAsia" w:eastAsiaTheme="minorEastAsia" w:cstheme="minorEastAsia"/>
          <w:sz w:val="28"/>
          <w:szCs w:val="28"/>
          <w:u w:val="none"/>
          <w:lang w:val="en-GB" w:eastAsia="zh-CN"/>
        </w:rPr>
        <w:t xml:space="preserve"> </w:t>
      </w:r>
    </w:p>
    <w:p w14:paraId="38E6762E">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lang w:val="en-GB" w:eastAsia="zh-CN"/>
        </w:rPr>
        <w:t xml:space="preserve">未经采购人书面同意，如成交供应商将货物的供货转包、分包他人，应向采购人支付合同总价20%的违约金，且采购人有权终止合同及要求成交供应商返还已付货款并没收成交供应商履约保证金。 </w:t>
      </w:r>
    </w:p>
    <w:p w14:paraId="4FE03101">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2.</w:t>
      </w:r>
      <w:r>
        <w:rPr>
          <w:rFonts w:hint="eastAsia" w:asciiTheme="minorEastAsia" w:hAnsiTheme="minorEastAsia" w:eastAsiaTheme="minorEastAsia" w:cstheme="minorEastAsia"/>
          <w:sz w:val="28"/>
          <w:szCs w:val="28"/>
          <w:u w:val="none"/>
          <w:lang w:val="en-GB" w:eastAsia="zh-CN"/>
        </w:rPr>
        <w:t>成交供应商逾期交付货物的，每逾期一日，应当向采购人支付合同总价1‰的违约金。逾期超过10天仍不能交货的，采购人有权解除合同，由此造成的损失由成交供应商承担，且应向采购人支付合同总金额20%的违约金。</w:t>
      </w:r>
    </w:p>
    <w:p w14:paraId="7BB676D7">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4.</w:t>
      </w:r>
      <w:r>
        <w:rPr>
          <w:rFonts w:hint="eastAsia" w:asciiTheme="minorEastAsia" w:hAnsiTheme="minorEastAsia" w:eastAsiaTheme="minorEastAsia" w:cstheme="minorEastAsia"/>
          <w:sz w:val="28"/>
          <w:szCs w:val="28"/>
          <w:u w:val="none"/>
          <w:lang w:val="en-GB" w:eastAsia="zh-CN"/>
        </w:rPr>
        <w:t>成交供应商提前交货的，应与采购人协商收货时间。除不可抗力原因外，因运输原因发生的逾期交货，成交供应商应承担违约责任。</w:t>
      </w:r>
    </w:p>
    <w:p w14:paraId="583CA7D8">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5.</w:t>
      </w:r>
      <w:r>
        <w:rPr>
          <w:rFonts w:hint="eastAsia" w:asciiTheme="minorEastAsia" w:hAnsiTheme="minorEastAsia" w:eastAsiaTheme="minorEastAsia" w:cstheme="minorEastAsia"/>
          <w:sz w:val="28"/>
          <w:szCs w:val="28"/>
          <w:u w:val="none"/>
          <w:lang w:val="en-GB" w:eastAsia="zh-CN"/>
        </w:rPr>
        <w:t>除合同另有规定和不可抗力外，合同一方单方终止合同的，应向另一方支付合同总价20%的违约金。</w:t>
      </w:r>
    </w:p>
    <w:p w14:paraId="5B7B1E58">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US" w:eastAsia="zh-CN"/>
        </w:rPr>
        <w:t>6.</w:t>
      </w:r>
      <w:r>
        <w:rPr>
          <w:rFonts w:hint="eastAsia" w:asciiTheme="minorEastAsia" w:hAnsiTheme="minorEastAsia" w:eastAsiaTheme="minorEastAsia" w:cstheme="minorEastAsia"/>
          <w:sz w:val="28"/>
          <w:szCs w:val="28"/>
          <w:u w:val="none"/>
          <w:lang w:val="en-GB" w:eastAsia="zh-CN"/>
        </w:rPr>
        <w:t>本项目的违约金和采购人损失，采购人均可先行从成交供应商履约保证金中予以扣除，履约保证金不足时，采购人有权从未付合同价款中予以扣减，若仍不足的，成交供应商应继续补足。</w:t>
      </w:r>
    </w:p>
    <w:p w14:paraId="06ACBA04">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十三</w:t>
      </w: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bCs/>
          <w:sz w:val="28"/>
          <w:szCs w:val="28"/>
          <w:u w:val="none"/>
          <w:lang w:val="en-GB" w:eastAsia="zh-CN"/>
        </w:rPr>
        <w:t>知识产权</w:t>
      </w:r>
    </w:p>
    <w:p w14:paraId="41F2D22C">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r>
        <w:rPr>
          <w:rFonts w:hint="eastAsia" w:asciiTheme="minorEastAsia" w:hAnsiTheme="minorEastAsia" w:eastAsiaTheme="minorEastAsia" w:cstheme="minorEastAsia"/>
          <w:sz w:val="28"/>
          <w:szCs w:val="28"/>
          <w:u w:val="none"/>
          <w:lang w:val="en-GB" w:eastAsia="zh-CN"/>
        </w:rPr>
        <w:t>成交供应商或设备制造商应保证采购人在使用成交供应商所供货物时不受任何关于侵犯所有权和工业产权、著作权（版权）等知识产权的指控。如果任何第三方提出侵权指控，成交供应商或设备制造商承担一切与之有关的责任。</w:t>
      </w:r>
    </w:p>
    <w:p w14:paraId="66F0C5EA">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注：以上商务要求供应商必须完全响应，否则作无效标处理。</w:t>
      </w:r>
    </w:p>
    <w:p w14:paraId="3369726A">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p>
    <w:p w14:paraId="638B64DF">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GB" w:eastAsia="zh-CN"/>
        </w:rPr>
      </w:pPr>
      <w:r>
        <w:rPr>
          <w:rFonts w:hint="eastAsia" w:asciiTheme="minorEastAsia" w:hAnsiTheme="minorEastAsia" w:eastAsiaTheme="minorEastAsia" w:cstheme="minorEastAsia"/>
          <w:b/>
          <w:bCs/>
          <w:sz w:val="28"/>
          <w:szCs w:val="28"/>
          <w:u w:val="none"/>
          <w:lang w:val="en-GB" w:eastAsia="zh-CN"/>
        </w:rPr>
        <w:t>五、评审标准</w:t>
      </w:r>
    </w:p>
    <w:p w14:paraId="1C1BC420">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GB" w:eastAsia="zh-CN"/>
        </w:rPr>
      </w:pPr>
      <w:bookmarkStart w:id="0" w:name="_Toc5887"/>
      <w:r>
        <w:rPr>
          <w:rFonts w:hint="eastAsia" w:asciiTheme="minorEastAsia" w:hAnsiTheme="minorEastAsia" w:eastAsiaTheme="minorEastAsia" w:cstheme="minorEastAsia"/>
          <w:sz w:val="28"/>
          <w:szCs w:val="28"/>
          <w:u w:val="none"/>
          <w:lang w:val="en-GB" w:eastAsia="zh-CN"/>
        </w:rPr>
        <w:t>采用综合评分法对符合性审查合格的响应供应商进行综合评分。</w:t>
      </w:r>
      <w:bookmarkEnd w:id="0"/>
      <w:r>
        <w:rPr>
          <w:rFonts w:hint="eastAsia" w:asciiTheme="minorEastAsia" w:hAnsiTheme="minorEastAsia" w:eastAsiaTheme="minorEastAsia" w:cstheme="minorEastAsia"/>
          <w:sz w:val="28"/>
          <w:szCs w:val="28"/>
          <w:u w:val="none"/>
          <w:lang w:val="en-GB" w:eastAsia="zh-CN"/>
        </w:rPr>
        <w:t>采用</w:t>
      </w:r>
      <w:r>
        <w:rPr>
          <w:rFonts w:hint="eastAsia" w:asciiTheme="minorEastAsia" w:hAnsiTheme="minorEastAsia" w:eastAsiaTheme="minorEastAsia" w:cstheme="minorEastAsia"/>
          <w:sz w:val="28"/>
          <w:szCs w:val="28"/>
          <w:u w:val="none"/>
          <w:lang w:val="en-US" w:eastAsia="zh-CN"/>
        </w:rPr>
        <w:t>100</w:t>
      </w:r>
      <w:r>
        <w:rPr>
          <w:rFonts w:hint="eastAsia" w:asciiTheme="minorEastAsia" w:hAnsiTheme="minorEastAsia" w:eastAsiaTheme="minorEastAsia" w:cstheme="minorEastAsia"/>
          <w:sz w:val="28"/>
          <w:szCs w:val="28"/>
          <w:u w:val="none"/>
          <w:lang w:val="en-GB" w:eastAsia="zh-CN"/>
        </w:rPr>
        <w:t>分为满分，各项评审因素分值及评标标准如下：</w:t>
      </w:r>
    </w:p>
    <w:p w14:paraId="4501F365">
      <w:pPr>
        <w:pStyle w:val="9"/>
        <w:numPr>
          <w:ilvl w:val="0"/>
          <w:numId w:val="0"/>
        </w:numPr>
        <w:adjustRightInd w:val="0"/>
        <w:snapToGrid w:val="0"/>
        <w:ind w:firstLine="562"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sz w:val="28"/>
          <w:szCs w:val="28"/>
          <w:lang w:eastAsia="zh-CN"/>
        </w:rPr>
        <w:t>（一）</w:t>
      </w:r>
      <w:r>
        <w:rPr>
          <w:rFonts w:hint="eastAsia" w:asciiTheme="minorEastAsia" w:hAnsiTheme="minorEastAsia" w:eastAsiaTheme="minorEastAsia" w:cstheme="minorEastAsia"/>
          <w:b/>
          <w:bCs/>
          <w:color w:val="auto"/>
          <w:sz w:val="28"/>
          <w:szCs w:val="28"/>
        </w:rPr>
        <w:t>价格评</w:t>
      </w:r>
      <w:r>
        <w:rPr>
          <w:rFonts w:hint="eastAsia" w:asciiTheme="minorEastAsia" w:hAnsiTheme="minorEastAsia" w:eastAsiaTheme="minorEastAsia" w:cstheme="minorEastAsia"/>
          <w:b/>
          <w:bCs/>
          <w:color w:val="auto"/>
          <w:sz w:val="28"/>
          <w:szCs w:val="28"/>
          <w:lang w:eastAsia="zh-CN"/>
        </w:rPr>
        <w:t xml:space="preserve">审（ </w:t>
      </w:r>
      <w:r>
        <w:rPr>
          <w:rFonts w:hint="eastAsia" w:asciiTheme="minorEastAsia" w:hAnsiTheme="minorEastAsia" w:eastAsiaTheme="minorEastAsia" w:cstheme="minorEastAsia"/>
          <w:b/>
          <w:bCs/>
          <w:color w:val="auto"/>
          <w:sz w:val="28"/>
          <w:szCs w:val="28"/>
          <w:lang w:val="en-US" w:eastAsia="zh-CN"/>
        </w:rPr>
        <w:t>30</w:t>
      </w:r>
      <w:r>
        <w:rPr>
          <w:rFonts w:hint="eastAsia" w:asciiTheme="minorEastAsia" w:hAnsiTheme="minorEastAsia" w:eastAsiaTheme="minorEastAsia" w:cstheme="minorEastAsia"/>
          <w:b/>
          <w:bCs/>
          <w:color w:val="auto"/>
          <w:sz w:val="28"/>
          <w:szCs w:val="28"/>
          <w:lang w:eastAsia="zh-CN"/>
        </w:rPr>
        <w:t xml:space="preserve"> </w:t>
      </w:r>
      <w:r>
        <w:rPr>
          <w:rFonts w:hint="eastAsia" w:asciiTheme="minorEastAsia" w:hAnsiTheme="minorEastAsia" w:eastAsiaTheme="minorEastAsia" w:cstheme="minorEastAsia"/>
          <w:b/>
          <w:bCs/>
          <w:color w:val="auto"/>
          <w:sz w:val="28"/>
          <w:szCs w:val="28"/>
        </w:rPr>
        <w:t>分</w:t>
      </w:r>
      <w:r>
        <w:rPr>
          <w:rFonts w:hint="eastAsia" w:asciiTheme="minorEastAsia" w:hAnsiTheme="minorEastAsia" w:eastAsiaTheme="minorEastAsia" w:cstheme="minorEastAsia"/>
          <w:b/>
          <w:bCs/>
          <w:color w:val="auto"/>
          <w:sz w:val="28"/>
          <w:szCs w:val="28"/>
          <w:lang w:eastAsia="zh-CN"/>
        </w:rPr>
        <w:t>）</w:t>
      </w:r>
    </w:p>
    <w:tbl>
      <w:tblPr>
        <w:tblStyle w:val="15"/>
        <w:tblW w:w="9413"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8"/>
        <w:gridCol w:w="975"/>
      </w:tblGrid>
      <w:tr w14:paraId="05E8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8438" w:type="dxa"/>
            <w:vAlign w:val="center"/>
          </w:tcPr>
          <w:p w14:paraId="2B6FB692">
            <w:pPr>
              <w:kinsoku/>
              <w:spacing w:line="440" w:lineRule="exact"/>
              <w:jc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bCs/>
                <w:color w:val="auto"/>
                <w:sz w:val="28"/>
                <w:szCs w:val="28"/>
              </w:rPr>
              <w:t>评审内容</w:t>
            </w:r>
          </w:p>
        </w:tc>
        <w:tc>
          <w:tcPr>
            <w:tcW w:w="975" w:type="dxa"/>
            <w:vAlign w:val="center"/>
          </w:tcPr>
          <w:p w14:paraId="03A553B3">
            <w:pPr>
              <w:kinsoku/>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分值</w:t>
            </w:r>
          </w:p>
        </w:tc>
      </w:tr>
      <w:tr w14:paraId="28E7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8" w:type="dxa"/>
            <w:vAlign w:val="center"/>
          </w:tcPr>
          <w:p w14:paraId="3B7E8C95">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价格得分满分为30分：价格分采用低价优先法计算，即满足招标文件要求且投标价格最低的投标报价为评标基准价，其价格分为满分。其他投标人的价格分统一按下列公式计算：投标报价得分=（评标基准价/投标报价）×30%×100，计算分数时四舍五入取小数点后两位。</w:t>
            </w:r>
          </w:p>
          <w:p w14:paraId="2C322F79">
            <w:pPr>
              <w:pStyle w:val="9"/>
              <w:numPr>
                <w:ilvl w:val="0"/>
                <w:numId w:val="0"/>
              </w:numPr>
              <w:adjustRightInd w:val="0"/>
              <w:snapToGrid w:val="0"/>
              <w:ind w:firstLine="562"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评审依据：最终报价。</w:t>
            </w:r>
          </w:p>
          <w:p w14:paraId="525462DD">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注：投标人的投标报价有下列情形的，不进入评标基准价计算。</w:t>
            </w:r>
          </w:p>
          <w:p w14:paraId="0A53AA3C">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（1）对小型和微型企业产品的价格给予10%的扣除用扣除后的价格参与评审；属于残疾人福利性单位的视同小微企业，给予价格扣除；</w:t>
            </w:r>
          </w:p>
          <w:p w14:paraId="0546A247">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（2）若投标人的报价超过预算单价、项目预算金额，则为无效报价，按无效投标处理；</w:t>
            </w:r>
          </w:p>
          <w:p w14:paraId="4B692923">
            <w:pPr>
              <w:pStyle w:val="9"/>
              <w:numPr>
                <w:ilvl w:val="0"/>
                <w:numId w:val="0"/>
              </w:numPr>
              <w:adjustRightInd w:val="0"/>
              <w:snapToGrid w:val="0"/>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u w:val="none"/>
                <w:lang w:val="en-US" w:eastAsia="zh-CN"/>
              </w:rPr>
              <w:t>（3）投标报价明显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975" w:type="dxa"/>
            <w:vAlign w:val="center"/>
          </w:tcPr>
          <w:p w14:paraId="4707C5D3">
            <w:pPr>
              <w:kinsoku/>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napToGrid w:val="0"/>
                <w:color w:val="000000"/>
                <w:sz w:val="28"/>
                <w:szCs w:val="28"/>
                <w:u w:val="none"/>
                <w:lang w:val="en-US" w:eastAsia="zh-CN" w:bidi="ar-SA"/>
              </w:rPr>
              <w:t>30分</w:t>
            </w:r>
          </w:p>
        </w:tc>
      </w:tr>
    </w:tbl>
    <w:p w14:paraId="2F1DFF21">
      <w:pPr>
        <w:kinsoku/>
        <w:rPr>
          <w:rFonts w:hint="eastAsia" w:asciiTheme="minorEastAsia" w:hAnsiTheme="minorEastAsia" w:eastAsiaTheme="minorEastAsia" w:cstheme="minorEastAsia"/>
          <w:color w:val="auto"/>
          <w:sz w:val="24"/>
          <w:szCs w:val="24"/>
        </w:rPr>
      </w:pPr>
    </w:p>
    <w:p w14:paraId="736E6916">
      <w:pPr>
        <w:kinsoku/>
        <w:spacing w:afterLines="50" w:line="440" w:lineRule="exact"/>
        <w:ind w:firstLine="562"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color w:val="auto"/>
          <w:sz w:val="28"/>
          <w:szCs w:val="28"/>
          <w:lang w:eastAsia="zh-CN"/>
        </w:rPr>
        <w:t>（</w:t>
      </w:r>
      <w:r>
        <w:rPr>
          <w:rFonts w:hint="eastAsia" w:asciiTheme="minorEastAsia" w:hAnsiTheme="minorEastAsia" w:eastAsiaTheme="minorEastAsia" w:cstheme="minorEastAsia"/>
          <w:b/>
          <w:color w:val="auto"/>
          <w:sz w:val="28"/>
          <w:szCs w:val="28"/>
        </w:rPr>
        <w:t>二）</w:t>
      </w:r>
      <w:r>
        <w:rPr>
          <w:rFonts w:hint="eastAsia" w:asciiTheme="minorEastAsia" w:hAnsiTheme="minorEastAsia" w:eastAsiaTheme="minorEastAsia" w:cstheme="minorEastAsia"/>
          <w:b/>
          <w:bCs/>
          <w:color w:val="auto"/>
          <w:sz w:val="28"/>
          <w:szCs w:val="28"/>
        </w:rPr>
        <w:t>技术评</w:t>
      </w:r>
      <w:r>
        <w:rPr>
          <w:rFonts w:hint="eastAsia" w:asciiTheme="minorEastAsia" w:hAnsiTheme="minorEastAsia" w:eastAsiaTheme="minorEastAsia" w:cstheme="minorEastAsia"/>
          <w:b/>
          <w:bCs/>
          <w:color w:val="auto"/>
          <w:sz w:val="28"/>
          <w:szCs w:val="28"/>
          <w:lang w:eastAsia="zh-CN"/>
        </w:rPr>
        <w:t xml:space="preserve">审（ </w:t>
      </w:r>
      <w:r>
        <w:rPr>
          <w:rFonts w:hint="eastAsia" w:asciiTheme="minorEastAsia" w:hAnsiTheme="minorEastAsia" w:eastAsiaTheme="minorEastAsia" w:cstheme="minorEastAsia"/>
          <w:b/>
          <w:bCs/>
          <w:color w:val="auto"/>
          <w:sz w:val="28"/>
          <w:szCs w:val="28"/>
          <w:lang w:val="en-US" w:eastAsia="zh-CN"/>
        </w:rPr>
        <w:t>60</w:t>
      </w:r>
      <w:r>
        <w:rPr>
          <w:rFonts w:hint="eastAsia" w:asciiTheme="minorEastAsia" w:hAnsiTheme="minorEastAsia" w:eastAsiaTheme="minorEastAsia" w:cstheme="minorEastAsia"/>
          <w:b/>
          <w:bCs/>
          <w:color w:val="auto"/>
          <w:sz w:val="28"/>
          <w:szCs w:val="28"/>
          <w:lang w:eastAsia="zh-CN"/>
        </w:rPr>
        <w:t>分）</w:t>
      </w:r>
    </w:p>
    <w:tbl>
      <w:tblPr>
        <w:tblStyle w:val="15"/>
        <w:tblW w:w="939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898"/>
        <w:gridCol w:w="975"/>
      </w:tblGrid>
      <w:tr w14:paraId="55B4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26" w:type="dxa"/>
            <w:vAlign w:val="center"/>
          </w:tcPr>
          <w:p w14:paraId="62789ACD">
            <w:pPr>
              <w:kinsoku/>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评分点</w:t>
            </w:r>
          </w:p>
        </w:tc>
        <w:tc>
          <w:tcPr>
            <w:tcW w:w="6898" w:type="dxa"/>
            <w:vAlign w:val="center"/>
          </w:tcPr>
          <w:p w14:paraId="36FDE1C9">
            <w:pPr>
              <w:kinsoku/>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评审内容</w:t>
            </w:r>
          </w:p>
        </w:tc>
        <w:tc>
          <w:tcPr>
            <w:tcW w:w="975" w:type="dxa"/>
            <w:vAlign w:val="center"/>
          </w:tcPr>
          <w:p w14:paraId="5A8FD7B7">
            <w:pPr>
              <w:kinsoku/>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分值</w:t>
            </w:r>
          </w:p>
        </w:tc>
      </w:tr>
      <w:tr w14:paraId="776B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526" w:type="dxa"/>
            <w:vAlign w:val="center"/>
          </w:tcPr>
          <w:p w14:paraId="5B05A610">
            <w:pPr>
              <w:kinsoku/>
              <w:spacing w:line="500" w:lineRule="atLeast"/>
              <w:jc w:val="center"/>
              <w:rPr>
                <w:rFonts w:hint="eastAsia" w:asciiTheme="minorEastAsia" w:hAnsiTheme="minorEastAsia" w:eastAsiaTheme="minorEastAsia" w:cstheme="minorEastAsia"/>
                <w:b/>
                <w:bCs/>
                <w:color w:val="auto"/>
                <w:kern w:val="2"/>
                <w:sz w:val="28"/>
                <w:szCs w:val="28"/>
                <w:lang w:eastAsia="zh-CN"/>
              </w:rPr>
            </w:pPr>
            <w:r>
              <w:rPr>
                <w:rFonts w:hint="eastAsia" w:asciiTheme="minorEastAsia" w:hAnsiTheme="minorEastAsia" w:eastAsiaTheme="minorEastAsia" w:cstheme="minorEastAsia"/>
                <w:b/>
                <w:bCs/>
                <w:color w:val="auto"/>
                <w:sz w:val="28"/>
                <w:szCs w:val="28"/>
                <w:lang w:eastAsia="zh-CN"/>
              </w:rPr>
              <w:t>符合性审查</w:t>
            </w:r>
          </w:p>
        </w:tc>
        <w:tc>
          <w:tcPr>
            <w:tcW w:w="7873" w:type="dxa"/>
            <w:gridSpan w:val="2"/>
            <w:vAlign w:val="center"/>
          </w:tcPr>
          <w:p w14:paraId="570DACD0">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必须全部满足招标文件中各设备“技术参数要求”中全部要求，任意一条不满足作无效响应处理。</w:t>
            </w:r>
          </w:p>
          <w:p w14:paraId="6EC0FEDB">
            <w:pPr>
              <w:pStyle w:val="9"/>
              <w:numPr>
                <w:ilvl w:val="0"/>
                <w:numId w:val="0"/>
              </w:numPr>
              <w:adjustRightInd w:val="0"/>
              <w:snapToGrid w:val="0"/>
              <w:ind w:firstLine="562" w:firstLineChars="200"/>
              <w:rPr>
                <w:rFonts w:hint="eastAsia" w:asciiTheme="minorEastAsia" w:hAnsiTheme="minorEastAsia" w:eastAsiaTheme="minorEastAsia" w:cstheme="minorEastAsia"/>
                <w:b/>
                <w:bCs/>
                <w:color w:val="auto"/>
                <w:kern w:val="2"/>
                <w:sz w:val="28"/>
                <w:szCs w:val="28"/>
                <w:lang w:val="en-US" w:eastAsia="zh-CN"/>
              </w:rPr>
            </w:pPr>
            <w:r>
              <w:rPr>
                <w:rFonts w:hint="eastAsia" w:asciiTheme="minorEastAsia" w:hAnsiTheme="minorEastAsia" w:eastAsiaTheme="minorEastAsia" w:cstheme="minorEastAsia"/>
                <w:b/>
                <w:bCs/>
                <w:sz w:val="28"/>
                <w:szCs w:val="28"/>
                <w:u w:val="none"/>
                <w:lang w:val="en-US" w:eastAsia="zh-CN"/>
              </w:rPr>
              <w:t>评审依据：投标文件中“技术要求响应/偏离表”。</w:t>
            </w:r>
          </w:p>
        </w:tc>
      </w:tr>
      <w:tr w14:paraId="670E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7" w:hRule="atLeast"/>
        </w:trPr>
        <w:tc>
          <w:tcPr>
            <w:tcW w:w="1526" w:type="dxa"/>
            <w:vAlign w:val="center"/>
          </w:tcPr>
          <w:p w14:paraId="08AC6FDD">
            <w:pPr>
              <w:kinsoku/>
              <w:spacing w:line="60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eastAsia="zh-CN"/>
              </w:rPr>
              <w:t>技术加分</w:t>
            </w:r>
          </w:p>
        </w:tc>
        <w:tc>
          <w:tcPr>
            <w:tcW w:w="6898" w:type="dxa"/>
          </w:tcPr>
          <w:p w14:paraId="2952D47C">
            <w:pPr>
              <w:pStyle w:val="9"/>
              <w:numPr>
                <w:ilvl w:val="0"/>
                <w:numId w:val="0"/>
              </w:numPr>
              <w:adjustRightInd w:val="0"/>
              <w:snapToGrid w:val="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【彩色多普勒超声诊断仪】</w:t>
            </w:r>
          </w:p>
          <w:p w14:paraId="633CA550">
            <w:pPr>
              <w:pStyle w:val="9"/>
              <w:numPr>
                <w:ilvl w:val="0"/>
                <w:numId w:val="0"/>
              </w:numPr>
              <w:adjustRightInd w:val="0"/>
              <w:snapToGrid w:val="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（请补充，按如下格式）</w:t>
            </w:r>
          </w:p>
          <w:p w14:paraId="29952426">
            <w:pPr>
              <w:pStyle w:val="9"/>
              <w:numPr>
                <w:ilvl w:val="0"/>
                <w:numId w:val="0"/>
              </w:numPr>
              <w:adjustRightInd w:val="0"/>
              <w:snapToGrid w:val="0"/>
              <w:rPr>
                <w:rFonts w:hint="eastAsia" w:asciiTheme="minorEastAsia" w:hAnsiTheme="minorEastAsia" w:eastAsiaTheme="minorEastAsia" w:cstheme="minorEastAsia"/>
                <w:sz w:val="28"/>
                <w:szCs w:val="28"/>
                <w:highlight w:val="none"/>
                <w:u w:val="none"/>
                <w:lang w:val="en-US" w:eastAsia="zh-CN"/>
              </w:rPr>
            </w:pPr>
            <w:r>
              <w:rPr>
                <w:rFonts w:hint="eastAsia" w:asciiTheme="minorEastAsia" w:hAnsiTheme="minorEastAsia" w:eastAsiaTheme="minorEastAsia" w:cstheme="minorEastAsia"/>
                <w:sz w:val="28"/>
                <w:szCs w:val="28"/>
                <w:highlight w:val="none"/>
                <w:u w:val="none"/>
                <w:lang w:val="en-US" w:eastAsia="zh-CN"/>
              </w:rPr>
              <w:t>1.......得X分，.......得X分......满分X分。</w:t>
            </w:r>
          </w:p>
          <w:p w14:paraId="6D417662">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评审依据：电子投标文件中需提供该项技术功能的证明图片及技术白皮书并加盖制造商原色公章佐证。</w:t>
            </w:r>
          </w:p>
          <w:p w14:paraId="5BF0F799">
            <w:pPr>
              <w:pStyle w:val="9"/>
              <w:numPr>
                <w:ilvl w:val="0"/>
                <w:numId w:val="0"/>
              </w:numPr>
              <w:adjustRightInd w:val="0"/>
              <w:snapToGrid w:val="0"/>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w:t>
            </w:r>
          </w:p>
          <w:p w14:paraId="5109F941">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US" w:eastAsia="zh-CN"/>
              </w:rPr>
            </w:pPr>
          </w:p>
          <w:p w14:paraId="558980DD">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w:t>
            </w:r>
            <w:r>
              <w:rPr>
                <w:rFonts w:hint="eastAsia" w:asciiTheme="minorEastAsia" w:hAnsiTheme="minorEastAsia" w:eastAsiaTheme="minorEastAsia" w:cstheme="minorEastAsia"/>
                <w:b w:val="0"/>
                <w:bCs w:val="0"/>
                <w:sz w:val="28"/>
                <w:szCs w:val="28"/>
                <w:u w:val="none"/>
                <w:lang w:val="en-US" w:eastAsia="zh-CN"/>
              </w:rPr>
              <w:t>全自动化学发光免疫分析仪</w:t>
            </w:r>
            <w:r>
              <w:rPr>
                <w:rFonts w:hint="eastAsia" w:asciiTheme="minorEastAsia" w:hAnsiTheme="minorEastAsia" w:eastAsiaTheme="minorEastAsia" w:cstheme="minorEastAsia"/>
                <w:b/>
                <w:bCs/>
                <w:sz w:val="28"/>
                <w:szCs w:val="28"/>
                <w:u w:val="none"/>
                <w:lang w:val="en-US" w:eastAsia="zh-CN"/>
              </w:rPr>
              <w:t>】</w:t>
            </w:r>
          </w:p>
          <w:p w14:paraId="1EBDBFC4">
            <w:pPr>
              <w:pStyle w:val="9"/>
              <w:numPr>
                <w:ilvl w:val="0"/>
                <w:numId w:val="0"/>
              </w:numPr>
              <w:adjustRightInd w:val="0"/>
              <w:snapToGrid w:val="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（请补充，按如下格式）</w:t>
            </w:r>
          </w:p>
          <w:p w14:paraId="567CF90D">
            <w:pPr>
              <w:pStyle w:val="9"/>
              <w:numPr>
                <w:ilvl w:val="0"/>
                <w:numId w:val="3"/>
              </w:numPr>
              <w:adjustRightInd w:val="0"/>
              <w:snapToGrid w:val="0"/>
              <w:rPr>
                <w:rFonts w:hint="eastAsia" w:asciiTheme="minorEastAsia" w:hAnsiTheme="minorEastAsia" w:eastAsiaTheme="minorEastAsia" w:cstheme="minorEastAsia"/>
                <w:sz w:val="28"/>
                <w:szCs w:val="28"/>
                <w:highlight w:val="none"/>
                <w:u w:val="none"/>
                <w:lang w:val="en-US" w:eastAsia="zh-CN"/>
              </w:rPr>
            </w:pPr>
            <w:r>
              <w:rPr>
                <w:rFonts w:hint="eastAsia" w:asciiTheme="minorEastAsia" w:hAnsiTheme="minorEastAsia" w:eastAsiaTheme="minorEastAsia" w:cstheme="minorEastAsia"/>
                <w:sz w:val="28"/>
                <w:szCs w:val="28"/>
                <w:highlight w:val="none"/>
                <w:u w:val="none"/>
                <w:lang w:val="en-US" w:eastAsia="zh-CN"/>
              </w:rPr>
              <w:t>......得X分，.......得X分......满分X分。</w:t>
            </w:r>
          </w:p>
          <w:p w14:paraId="431F1855">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评审依据：电子投标文件中需提供该项技术功能的证明图片及技术白皮书并加盖制造商原色公章佐证。</w:t>
            </w:r>
          </w:p>
          <w:p w14:paraId="2DE6BD1A">
            <w:pPr>
              <w:pStyle w:val="9"/>
              <w:numPr>
                <w:ilvl w:val="0"/>
                <w:numId w:val="0"/>
              </w:numPr>
              <w:adjustRightInd w:val="0"/>
              <w:snapToGrid w:val="0"/>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w:t>
            </w:r>
          </w:p>
          <w:p w14:paraId="26077342">
            <w:pPr>
              <w:pStyle w:val="9"/>
              <w:numPr>
                <w:ilvl w:val="0"/>
                <w:numId w:val="0"/>
              </w:numPr>
              <w:adjustRightInd w:val="0"/>
              <w:snapToGrid w:val="0"/>
              <w:rPr>
                <w:rFonts w:hint="eastAsia" w:asciiTheme="minorEastAsia" w:hAnsiTheme="minorEastAsia" w:eastAsiaTheme="minorEastAsia" w:cstheme="minorEastAsia"/>
                <w:b/>
                <w:bCs/>
                <w:sz w:val="28"/>
                <w:szCs w:val="28"/>
                <w:lang w:val="en-US" w:eastAsia="zh-CN"/>
              </w:rPr>
            </w:pPr>
          </w:p>
          <w:p w14:paraId="28E9BC68">
            <w:pPr>
              <w:pStyle w:val="9"/>
              <w:numPr>
                <w:ilvl w:val="0"/>
                <w:numId w:val="0"/>
              </w:numPr>
              <w:adjustRightInd w:val="0"/>
              <w:snapToGrid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b w:val="0"/>
                <w:bCs w:val="0"/>
                <w:sz w:val="28"/>
                <w:szCs w:val="28"/>
                <w:lang w:val="en-US" w:eastAsia="zh-CN"/>
              </w:rPr>
              <w:t>电动一体理疗床</w:t>
            </w:r>
            <w:r>
              <w:rPr>
                <w:rFonts w:hint="eastAsia" w:asciiTheme="minorEastAsia" w:hAnsiTheme="minorEastAsia" w:eastAsiaTheme="minorEastAsia" w:cstheme="minorEastAsia"/>
                <w:b/>
                <w:bCs/>
                <w:sz w:val="28"/>
                <w:szCs w:val="28"/>
                <w:lang w:val="en-US" w:eastAsia="zh-CN"/>
              </w:rPr>
              <w:t>】</w:t>
            </w:r>
          </w:p>
          <w:p w14:paraId="770F2B1D">
            <w:pPr>
              <w:pStyle w:val="9"/>
              <w:numPr>
                <w:ilvl w:val="0"/>
                <w:numId w:val="0"/>
              </w:numPr>
              <w:adjustRightInd w:val="0"/>
              <w:snapToGrid w:val="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（请补充，按如下格式）</w:t>
            </w:r>
          </w:p>
          <w:p w14:paraId="2E10778B">
            <w:pPr>
              <w:pStyle w:val="9"/>
              <w:numPr>
                <w:ilvl w:val="0"/>
                <w:numId w:val="0"/>
              </w:numPr>
              <w:adjustRightInd w:val="0"/>
              <w:snapToGrid w:val="0"/>
              <w:rPr>
                <w:rFonts w:hint="eastAsia" w:asciiTheme="minorEastAsia" w:hAnsiTheme="minorEastAsia" w:eastAsiaTheme="minorEastAsia" w:cstheme="minorEastAsia"/>
                <w:sz w:val="28"/>
                <w:szCs w:val="28"/>
                <w:highlight w:val="none"/>
                <w:u w:val="none"/>
                <w:lang w:val="en-US" w:eastAsia="zh-CN"/>
              </w:rPr>
            </w:pPr>
            <w:r>
              <w:rPr>
                <w:rFonts w:hint="eastAsia" w:asciiTheme="minorEastAsia" w:hAnsiTheme="minorEastAsia" w:eastAsiaTheme="minorEastAsia" w:cstheme="minorEastAsia"/>
                <w:sz w:val="28"/>
                <w:szCs w:val="28"/>
                <w:highlight w:val="none"/>
                <w:u w:val="none"/>
                <w:lang w:val="en-US" w:eastAsia="zh-CN"/>
              </w:rPr>
              <w:t>1.......得X分，.......得X分......满分X分。</w:t>
            </w:r>
          </w:p>
          <w:p w14:paraId="58184A0B">
            <w:pPr>
              <w:pStyle w:val="9"/>
              <w:numPr>
                <w:ilvl w:val="0"/>
                <w:numId w:val="0"/>
              </w:numPr>
              <w:adjustRightInd w:val="0"/>
              <w:snapToGrid w:val="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评审依据：电子投标文件中需提供该项技术功能的证明图片及技术白皮书并加盖制造商原色公章佐证。</w:t>
            </w:r>
          </w:p>
          <w:p w14:paraId="4907363E">
            <w:pPr>
              <w:pStyle w:val="9"/>
              <w:numPr>
                <w:ilvl w:val="0"/>
                <w:numId w:val="0"/>
              </w:numPr>
              <w:adjustRightInd w:val="0"/>
              <w:snapToGrid w:val="0"/>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w:t>
            </w:r>
          </w:p>
          <w:p w14:paraId="6E18B32C">
            <w:pPr>
              <w:pStyle w:val="9"/>
              <w:numPr>
                <w:ilvl w:val="0"/>
                <w:numId w:val="0"/>
              </w:numPr>
              <w:adjustRightInd w:val="0"/>
              <w:snapToGrid w:val="0"/>
              <w:rPr>
                <w:rFonts w:hint="default" w:asciiTheme="minorEastAsia" w:hAnsiTheme="minorEastAsia" w:eastAsiaTheme="minorEastAsia" w:cstheme="minorEastAsia"/>
                <w:sz w:val="28"/>
                <w:szCs w:val="28"/>
                <w:lang w:val="en-US" w:eastAsia="zh-CN"/>
              </w:rPr>
            </w:pPr>
          </w:p>
        </w:tc>
        <w:tc>
          <w:tcPr>
            <w:tcW w:w="975" w:type="dxa"/>
            <w:vAlign w:val="center"/>
          </w:tcPr>
          <w:p w14:paraId="6E3727D3">
            <w:pPr>
              <w:kinsoku/>
              <w:spacing w:line="60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60</w:t>
            </w:r>
            <w:r>
              <w:rPr>
                <w:rFonts w:hint="eastAsia" w:asciiTheme="minorEastAsia" w:hAnsiTheme="minorEastAsia" w:eastAsiaTheme="minorEastAsia" w:cstheme="minorEastAsia"/>
                <w:color w:val="auto"/>
                <w:sz w:val="28"/>
                <w:szCs w:val="28"/>
                <w:lang w:eastAsia="zh-CN"/>
              </w:rPr>
              <w:t>分</w:t>
            </w:r>
          </w:p>
        </w:tc>
      </w:tr>
    </w:tbl>
    <w:p w14:paraId="2097B3BB">
      <w:pPr>
        <w:kinsoku/>
        <w:rPr>
          <w:rFonts w:hint="eastAsia" w:asciiTheme="minorEastAsia" w:hAnsiTheme="minorEastAsia" w:eastAsiaTheme="minorEastAsia" w:cstheme="minorEastAsia"/>
          <w:color w:val="auto"/>
          <w:sz w:val="24"/>
          <w:szCs w:val="24"/>
        </w:rPr>
      </w:pPr>
    </w:p>
    <w:p w14:paraId="29523D3F">
      <w:pPr>
        <w:kinsoku/>
        <w:spacing w:afterLines="50" w:line="440" w:lineRule="exact"/>
        <w:ind w:firstLine="562"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color w:val="auto"/>
          <w:sz w:val="28"/>
          <w:szCs w:val="28"/>
        </w:rPr>
        <w:t>（三）</w:t>
      </w:r>
      <w:r>
        <w:rPr>
          <w:rFonts w:hint="eastAsia" w:asciiTheme="minorEastAsia" w:hAnsiTheme="minorEastAsia" w:eastAsiaTheme="minorEastAsia" w:cstheme="minorEastAsia"/>
          <w:b/>
          <w:bCs/>
          <w:color w:val="auto"/>
          <w:sz w:val="28"/>
          <w:szCs w:val="28"/>
        </w:rPr>
        <w:t>商务评</w:t>
      </w:r>
      <w:r>
        <w:rPr>
          <w:rFonts w:hint="eastAsia" w:asciiTheme="minorEastAsia" w:hAnsiTheme="minorEastAsia" w:eastAsiaTheme="minorEastAsia" w:cstheme="minorEastAsia"/>
          <w:b/>
          <w:bCs/>
          <w:color w:val="auto"/>
          <w:sz w:val="28"/>
          <w:szCs w:val="28"/>
          <w:lang w:eastAsia="zh-CN"/>
        </w:rPr>
        <w:t>审 1</w:t>
      </w:r>
      <w:r>
        <w:rPr>
          <w:rFonts w:hint="eastAsia" w:asciiTheme="minorEastAsia" w:hAnsiTheme="minorEastAsia" w:eastAsiaTheme="minorEastAsia" w:cstheme="minorEastAsia"/>
          <w:b/>
          <w:bCs/>
          <w:color w:val="auto"/>
          <w:sz w:val="28"/>
          <w:szCs w:val="28"/>
          <w:lang w:val="en-US" w:eastAsia="zh-CN"/>
        </w:rPr>
        <w:t>0</w:t>
      </w:r>
      <w:r>
        <w:rPr>
          <w:rFonts w:hint="eastAsia" w:asciiTheme="minorEastAsia" w:hAnsiTheme="minorEastAsia" w:eastAsiaTheme="minorEastAsia" w:cstheme="minorEastAsia"/>
          <w:b/>
          <w:bCs/>
          <w:color w:val="auto"/>
          <w:sz w:val="28"/>
          <w:szCs w:val="28"/>
          <w:lang w:eastAsia="zh-CN"/>
        </w:rPr>
        <w:t xml:space="preserve"> 分</w:t>
      </w:r>
    </w:p>
    <w:tbl>
      <w:tblPr>
        <w:tblStyle w:val="15"/>
        <w:tblW w:w="939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6915"/>
        <w:gridCol w:w="975"/>
      </w:tblGrid>
      <w:tr w14:paraId="0F69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09" w:type="dxa"/>
            <w:vAlign w:val="center"/>
          </w:tcPr>
          <w:p w14:paraId="79AB2448">
            <w:pPr>
              <w:kinsoku/>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评分点</w:t>
            </w:r>
          </w:p>
        </w:tc>
        <w:tc>
          <w:tcPr>
            <w:tcW w:w="6915" w:type="dxa"/>
            <w:vAlign w:val="center"/>
          </w:tcPr>
          <w:p w14:paraId="46B8C635">
            <w:pPr>
              <w:kinsoku/>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评审内容</w:t>
            </w:r>
          </w:p>
        </w:tc>
        <w:tc>
          <w:tcPr>
            <w:tcW w:w="975" w:type="dxa"/>
            <w:vAlign w:val="center"/>
          </w:tcPr>
          <w:p w14:paraId="1262B6E9">
            <w:pPr>
              <w:kinsoku/>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分值</w:t>
            </w:r>
          </w:p>
        </w:tc>
      </w:tr>
      <w:tr w14:paraId="4D32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09" w:type="dxa"/>
            <w:vAlign w:val="center"/>
          </w:tcPr>
          <w:p w14:paraId="7CABA29A">
            <w:pPr>
              <w:kinsoku/>
              <w:spacing w:line="500" w:lineRule="atLeas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eastAsia="zh-CN"/>
              </w:rPr>
              <w:t>符合性审查</w:t>
            </w:r>
          </w:p>
        </w:tc>
        <w:tc>
          <w:tcPr>
            <w:tcW w:w="7890" w:type="dxa"/>
            <w:gridSpan w:val="2"/>
            <w:vAlign w:val="center"/>
          </w:tcPr>
          <w:p w14:paraId="5BE7C824">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必须全部满足招标文件“商务条件”全部要求，任意一条不满足作无效响应处理。</w:t>
            </w:r>
          </w:p>
          <w:p w14:paraId="7E4D2728">
            <w:pPr>
              <w:pStyle w:val="9"/>
              <w:numPr>
                <w:ilvl w:val="0"/>
                <w:numId w:val="0"/>
              </w:numPr>
              <w:adjustRightInd w:val="0"/>
              <w:snapToGrid w:val="0"/>
              <w:ind w:firstLine="562"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sz w:val="28"/>
                <w:szCs w:val="28"/>
                <w:u w:val="none"/>
                <w:lang w:val="en-US" w:eastAsia="zh-CN"/>
              </w:rPr>
              <w:t>评审依据：提供商务条件响应/偏离说明表。</w:t>
            </w:r>
          </w:p>
        </w:tc>
      </w:tr>
      <w:tr w14:paraId="0168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09" w:type="dxa"/>
            <w:vAlign w:val="center"/>
          </w:tcPr>
          <w:p w14:paraId="55611C9D">
            <w:pPr>
              <w:kinsoku/>
              <w:spacing w:line="600" w:lineRule="exact"/>
              <w:jc w:val="center"/>
              <w:rPr>
                <w:rFonts w:hint="eastAsia" w:asciiTheme="minorEastAsia" w:hAnsiTheme="minorEastAsia" w:eastAsiaTheme="minorEastAsia" w:cstheme="minorEastAsia"/>
                <w:snapToGrid w:val="0"/>
                <w:color w:val="auto"/>
                <w:sz w:val="28"/>
                <w:szCs w:val="28"/>
                <w:lang w:val="en-US" w:eastAsia="zh-CN" w:bidi="ar-SA"/>
              </w:rPr>
            </w:pPr>
            <w:r>
              <w:rPr>
                <w:rFonts w:hint="eastAsia" w:asciiTheme="minorEastAsia" w:hAnsiTheme="minorEastAsia" w:eastAsiaTheme="minorEastAsia" w:cstheme="minorEastAsia"/>
                <w:b/>
                <w:bCs/>
                <w:color w:val="auto"/>
                <w:sz w:val="28"/>
                <w:szCs w:val="28"/>
              </w:rPr>
              <w:t>项目实施</w:t>
            </w:r>
          </w:p>
        </w:tc>
        <w:tc>
          <w:tcPr>
            <w:tcW w:w="6915" w:type="dxa"/>
            <w:vAlign w:val="top"/>
          </w:tcPr>
          <w:p w14:paraId="1B53FDCA">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供应商针对本项目提供实施方案，方案包括不限于：①货源组织方案；②供货进度计划及保证措施；③质量保障措施；④安装人员安排及安装进度安排。每满足上述内容中一项得 0.5 分，本项最多得 2 分，未提供或提供不全、不符合采购需求的不得分。</w:t>
            </w:r>
          </w:p>
          <w:p w14:paraId="3CC41ACC">
            <w:pPr>
              <w:pStyle w:val="9"/>
              <w:numPr>
                <w:ilvl w:val="0"/>
                <w:numId w:val="0"/>
              </w:numPr>
              <w:adjustRightInd w:val="0"/>
              <w:snapToGrid w:val="0"/>
              <w:ind w:firstLine="562" w:firstLineChars="200"/>
              <w:rPr>
                <w:rFonts w:hint="eastAsia" w:asciiTheme="minorEastAsia" w:hAnsiTheme="minorEastAsia" w:eastAsiaTheme="minorEastAsia" w:cstheme="minorEastAsia"/>
                <w:snapToGrid w:val="0"/>
                <w:color w:val="auto"/>
                <w:sz w:val="28"/>
                <w:szCs w:val="28"/>
                <w:lang w:val="en-US" w:eastAsia="zh-CN" w:bidi="ar-SA"/>
              </w:rPr>
            </w:pPr>
            <w:r>
              <w:rPr>
                <w:rFonts w:hint="eastAsia" w:asciiTheme="minorEastAsia" w:hAnsiTheme="minorEastAsia" w:eastAsiaTheme="minorEastAsia" w:cstheme="minorEastAsia"/>
                <w:b/>
                <w:bCs/>
                <w:sz w:val="28"/>
                <w:szCs w:val="28"/>
                <w:u w:val="none"/>
                <w:lang w:val="en-US" w:eastAsia="zh-CN"/>
              </w:rPr>
              <w:t>评审依据：提供项目实施方案。</w:t>
            </w:r>
          </w:p>
        </w:tc>
        <w:tc>
          <w:tcPr>
            <w:tcW w:w="975" w:type="dxa"/>
            <w:vAlign w:val="center"/>
          </w:tcPr>
          <w:p w14:paraId="638806B9">
            <w:pPr>
              <w:kinsoku/>
              <w:spacing w:line="600" w:lineRule="exact"/>
              <w:jc w:val="center"/>
              <w:rPr>
                <w:rFonts w:hint="eastAsia" w:asciiTheme="minorEastAsia" w:hAnsiTheme="minorEastAsia" w:eastAsiaTheme="minorEastAsia" w:cstheme="minorEastAsia"/>
                <w:snapToGrid w:val="0"/>
                <w:color w:val="auto"/>
                <w:sz w:val="28"/>
                <w:szCs w:val="28"/>
                <w:lang w:val="en-US" w:eastAsia="zh-CN" w:bidi="ar-SA"/>
              </w:rPr>
            </w:pPr>
            <w:r>
              <w:rPr>
                <w:rFonts w:hint="eastAsia" w:asciiTheme="minorEastAsia" w:hAnsiTheme="minorEastAsia" w:eastAsiaTheme="minorEastAsia" w:cstheme="minorEastAsia"/>
                <w:color w:val="auto"/>
                <w:sz w:val="28"/>
                <w:szCs w:val="28"/>
                <w:lang w:eastAsia="zh-CN"/>
              </w:rPr>
              <w:t>2分</w:t>
            </w:r>
          </w:p>
        </w:tc>
      </w:tr>
      <w:tr w14:paraId="790C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1509" w:type="dxa"/>
            <w:vAlign w:val="center"/>
          </w:tcPr>
          <w:p w14:paraId="06A71B54">
            <w:pPr>
              <w:kinsoku/>
              <w:spacing w:line="60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sz w:val="28"/>
                <w:szCs w:val="28"/>
              </w:rPr>
              <w:t>业绩</w:t>
            </w:r>
          </w:p>
        </w:tc>
        <w:tc>
          <w:tcPr>
            <w:tcW w:w="6915" w:type="dxa"/>
          </w:tcPr>
          <w:p w14:paraId="79DD4161">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供应商自2022年1月1日至今（以合同签订时间为准）具有与本项目类似核心产品（彩色多普勒超声诊断仪）的同类业绩，每提供1份有效的同类业绩合同得1分，本项最高得3分，未提供不得分。</w:t>
            </w:r>
          </w:p>
          <w:p w14:paraId="1E09AB99">
            <w:pPr>
              <w:pStyle w:val="9"/>
              <w:numPr>
                <w:ilvl w:val="0"/>
                <w:numId w:val="0"/>
              </w:numPr>
              <w:adjustRightInd w:val="0"/>
              <w:snapToGrid w:val="0"/>
              <w:ind w:firstLine="562"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sz w:val="28"/>
                <w:szCs w:val="28"/>
                <w:u w:val="none"/>
                <w:lang w:val="en-US" w:eastAsia="zh-CN"/>
              </w:rPr>
              <w:t>评审依据：供应商须提供同类业绩合同关键页的原件扫描件（合同关键页须包含合同的甲乙双方、合同详细标的和双方签章及生效时间）并加盖公章进行佐证，否则不得分。</w:t>
            </w:r>
          </w:p>
        </w:tc>
        <w:tc>
          <w:tcPr>
            <w:tcW w:w="975" w:type="dxa"/>
            <w:vAlign w:val="center"/>
          </w:tcPr>
          <w:p w14:paraId="43D546B9">
            <w:pPr>
              <w:kinsoku/>
              <w:spacing w:line="60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3分</w:t>
            </w:r>
          </w:p>
        </w:tc>
      </w:tr>
      <w:tr w14:paraId="2D48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09" w:type="dxa"/>
            <w:vAlign w:val="center"/>
          </w:tcPr>
          <w:p w14:paraId="2CF145F5">
            <w:pPr>
              <w:kinsoku/>
              <w:spacing w:line="60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val="0"/>
                <w:sz w:val="28"/>
                <w:szCs w:val="28"/>
              </w:rPr>
              <w:t>售后服务</w:t>
            </w:r>
          </w:p>
        </w:tc>
        <w:tc>
          <w:tcPr>
            <w:tcW w:w="6915" w:type="dxa"/>
          </w:tcPr>
          <w:p w14:paraId="40FB8704">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1.供应商针对本项目提供售后服务方案。安排科学合理、切实可行的得1.5分；安排合理、可行的得1分；安排基本合理、可行的得0.5分。本项最高得1.5分。</w:t>
            </w:r>
          </w:p>
          <w:p w14:paraId="15792FDD">
            <w:pPr>
              <w:pStyle w:val="9"/>
              <w:numPr>
                <w:ilvl w:val="0"/>
                <w:numId w:val="0"/>
              </w:numPr>
              <w:adjustRightInd w:val="0"/>
              <w:snapToGrid w:val="0"/>
              <w:ind w:firstLine="562"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评审依据 ：售后服务方案。</w:t>
            </w:r>
          </w:p>
          <w:p w14:paraId="5918614A">
            <w:pPr>
              <w:pStyle w:val="9"/>
              <w:numPr>
                <w:ilvl w:val="0"/>
                <w:numId w:val="0"/>
              </w:numPr>
              <w:adjustRightInd w:val="0"/>
              <w:snapToGrid w:val="0"/>
              <w:rPr>
                <w:rFonts w:hint="eastAsia" w:asciiTheme="minorEastAsia" w:hAnsiTheme="minorEastAsia" w:eastAsiaTheme="minorEastAsia" w:cstheme="minorEastAsia"/>
                <w:sz w:val="28"/>
                <w:szCs w:val="28"/>
                <w:u w:val="none"/>
                <w:lang w:val="en-US" w:eastAsia="zh-CN"/>
              </w:rPr>
            </w:pPr>
          </w:p>
          <w:p w14:paraId="67AEF99D">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2.为保证售后服务质量和及时性，所投彩超产品制造商为本项目提供售后维护工程师≥3名的得0.5分，售后维护工程师≥8名的得1分；售后维护工程师≥14名的得1.5分；不提供的不得分。</w:t>
            </w:r>
          </w:p>
          <w:p w14:paraId="38E5CA10">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评审依据：提供所投彩超产品制造商工程师工作证扫描件及工程师姓名、身份证号、工作证号清单并加盖制造商公章佐证。</w:t>
            </w:r>
          </w:p>
          <w:p w14:paraId="25078DFC">
            <w:pPr>
              <w:pStyle w:val="9"/>
              <w:numPr>
                <w:ilvl w:val="0"/>
                <w:numId w:val="0"/>
              </w:numPr>
              <w:adjustRightInd w:val="0"/>
              <w:snapToGrid w:val="0"/>
              <w:rPr>
                <w:rFonts w:hint="eastAsia" w:asciiTheme="minorEastAsia" w:hAnsiTheme="minorEastAsia" w:eastAsiaTheme="minorEastAsia" w:cstheme="minorEastAsia"/>
                <w:sz w:val="28"/>
                <w:szCs w:val="28"/>
                <w:u w:val="none"/>
                <w:lang w:val="en-US" w:eastAsia="zh-CN"/>
              </w:rPr>
            </w:pPr>
          </w:p>
          <w:p w14:paraId="31B5D100">
            <w:pPr>
              <w:pStyle w:val="9"/>
              <w:numPr>
                <w:ilvl w:val="0"/>
                <w:numId w:val="0"/>
              </w:numPr>
              <w:adjustRightInd w:val="0"/>
              <w:snapToGrid w:val="0"/>
              <w:ind w:firstLine="560" w:firstLineChars="200"/>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3.供应商承诺满足招标文件基础质量保证期1年且承诺延长质量保证期，每延长1年加1分，本项最高加2分。</w:t>
            </w:r>
          </w:p>
          <w:p w14:paraId="53BFC7CC">
            <w:pPr>
              <w:pStyle w:val="9"/>
              <w:numPr>
                <w:ilvl w:val="0"/>
                <w:numId w:val="0"/>
              </w:numPr>
              <w:adjustRightInd w:val="0"/>
              <w:snapToGrid w:val="0"/>
              <w:ind w:firstLine="562"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u w:val="none"/>
                <w:lang w:val="en-US" w:eastAsia="zh-CN"/>
              </w:rPr>
              <w:t>评审依据：供应商须提供的质保期承诺函原件扫描件，承诺内容包含但不限于：在质保期内，凡在正常使用中出现质量问题的，成交供应商应负责免费保修、包换，其人员的差旅、食宿等费用和包修、包换所产生的货物包装和往返运费等费用均由成交供应商承担。未提供或提供不符合要求不得分。</w:t>
            </w:r>
          </w:p>
        </w:tc>
        <w:tc>
          <w:tcPr>
            <w:tcW w:w="975" w:type="dxa"/>
            <w:vAlign w:val="center"/>
          </w:tcPr>
          <w:p w14:paraId="4D7C0A5A">
            <w:pPr>
              <w:kinsoku/>
              <w:spacing w:line="600" w:lineRule="exact"/>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5分</w:t>
            </w:r>
          </w:p>
        </w:tc>
      </w:tr>
    </w:tbl>
    <w:p w14:paraId="7CA5D12B">
      <w:pPr>
        <w:widowControl w:val="0"/>
        <w:kinsoku/>
        <w:ind w:firstLine="562" w:firstLineChars="200"/>
        <w:rPr>
          <w:rFonts w:hint="eastAsia" w:asciiTheme="minorEastAsia" w:hAnsiTheme="minorEastAsia" w:eastAsiaTheme="minorEastAsia" w:cstheme="minorEastAsia"/>
          <w:sz w:val="28"/>
          <w:szCs w:val="28"/>
          <w:u w:val="none"/>
          <w:lang w:val="en-GB" w:eastAsia="zh-CN"/>
        </w:rPr>
        <w:sectPr>
          <w:footerReference r:id="rId3" w:type="default"/>
          <w:pgSz w:w="11906" w:h="16839"/>
          <w:pgMar w:top="1429" w:right="1332" w:bottom="1429" w:left="1332" w:header="0" w:footer="994" w:gutter="0"/>
          <w:cols w:space="720" w:num="1"/>
        </w:sectPr>
      </w:pPr>
      <w:r>
        <w:rPr>
          <w:rFonts w:hint="eastAsia" w:asciiTheme="minorEastAsia" w:hAnsiTheme="minorEastAsia" w:eastAsiaTheme="minorEastAsia" w:cstheme="minorEastAsia"/>
          <w:b/>
          <w:bCs/>
          <w:color w:val="auto"/>
          <w:sz w:val="28"/>
          <w:szCs w:val="28"/>
          <w:lang w:eastAsia="zh-CN"/>
        </w:rPr>
        <w:t>注：合同签订后，采购人有权要求成交供应商提供招标文件中所要求的相关佐证材料原件核查，供应商须保证响应文件中提供的材料均真实有效，如提供虚假证明材料，采购人将依据政府采购法律法规上报监管部门并追究其相应法律责</w:t>
      </w:r>
      <w:bookmarkStart w:id="1" w:name="bookmark82"/>
      <w:bookmarkEnd w:id="1"/>
      <w:bookmarkStart w:id="2" w:name="_Toc505955294"/>
      <w:bookmarkStart w:id="3" w:name="_Toc6480"/>
      <w:r>
        <w:rPr>
          <w:rFonts w:hint="eastAsia" w:asciiTheme="minorEastAsia" w:hAnsiTheme="minorEastAsia" w:eastAsiaTheme="minorEastAsia" w:cstheme="minorEastAsia"/>
          <w:b/>
          <w:bCs/>
          <w:color w:val="auto"/>
          <w:sz w:val="28"/>
          <w:szCs w:val="28"/>
          <w:lang w:eastAsia="zh-CN"/>
        </w:rPr>
        <w:t>任。</w:t>
      </w:r>
    </w:p>
    <w:bookmarkEnd w:id="2"/>
    <w:bookmarkEnd w:id="3"/>
    <w:p w14:paraId="237869DD">
      <w:pPr>
        <w:widowControl w:val="0"/>
        <w:kinsoku/>
        <w:rPr>
          <w:rFonts w:hint="eastAsia" w:asciiTheme="minorEastAsia" w:hAnsiTheme="minorEastAsia" w:eastAsiaTheme="minorEastAsia" w:cstheme="minorEastAsia"/>
          <w:b/>
          <w:bCs/>
          <w:color w:val="auto"/>
          <w:sz w:val="28"/>
          <w:szCs w:val="28"/>
          <w:lang w:eastAsia="zh-CN"/>
        </w:rPr>
        <w:sectPr>
          <w:pgSz w:w="11906" w:h="16839"/>
          <w:pgMar w:top="1429" w:right="1332" w:bottom="1429" w:left="1332" w:header="0" w:footer="994" w:gutter="0"/>
          <w:cols w:space="720" w:num="1"/>
        </w:sectPr>
      </w:pPr>
    </w:p>
    <w:p w14:paraId="130A3840">
      <w:pPr>
        <w:widowControl w:val="0"/>
        <w:kinsoku/>
        <w:rPr>
          <w:rFonts w:hint="eastAsia" w:asciiTheme="minorEastAsia" w:hAnsiTheme="minorEastAsia" w:eastAsiaTheme="minorEastAsia" w:cstheme="minorEastAsia"/>
          <w:color w:val="auto"/>
          <w:sz w:val="24"/>
          <w:szCs w:val="24"/>
          <w:lang w:eastAsia="zh-CN"/>
        </w:rPr>
      </w:pPr>
    </w:p>
    <w:sectPr>
      <w:footerReference r:id="rId4" w:type="default"/>
      <w:pgSz w:w="11906" w:h="16839"/>
      <w:pgMar w:top="1315" w:right="1502" w:bottom="1315" w:left="1502" w:header="0" w:footer="992"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4AE1">
    <w:pPr>
      <w:pStyle w:val="11"/>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FC70">
    <w:pPr>
      <w:pStyle w:val="11"/>
      <w:rPr>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E60C9"/>
    <w:multiLevelType w:val="singleLevel"/>
    <w:tmpl w:val="987E60C9"/>
    <w:lvl w:ilvl="0" w:tentative="0">
      <w:start w:val="1"/>
      <w:numFmt w:val="decimal"/>
      <w:lvlText w:val="%1."/>
      <w:lvlJc w:val="left"/>
      <w:pPr>
        <w:tabs>
          <w:tab w:val="left" w:pos="312"/>
        </w:tabs>
      </w:pPr>
    </w:lvl>
  </w:abstractNum>
  <w:abstractNum w:abstractNumId="1">
    <w:nsid w:val="271DC443"/>
    <w:multiLevelType w:val="singleLevel"/>
    <w:tmpl w:val="271DC443"/>
    <w:lvl w:ilvl="0" w:tentative="0">
      <w:start w:val="1"/>
      <w:numFmt w:val="chineseCounting"/>
      <w:suff w:val="nothing"/>
      <w:lvlText w:val="（%1）"/>
      <w:lvlJc w:val="left"/>
      <w:rPr>
        <w:rFonts w:hint="eastAsia"/>
      </w:rPr>
    </w:lvl>
  </w:abstractNum>
  <w:abstractNum w:abstractNumId="2">
    <w:nsid w:val="458DD71B"/>
    <w:multiLevelType w:val="singleLevel"/>
    <w:tmpl w:val="458DD71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documentProtection w:enforcement="0"/>
  <w:defaultTabStop w:val="421"/>
  <w:noPunctuationKerning w:val="1"/>
  <w:characterSpacingControl w:val="doNotCompress"/>
  <w:compat>
    <w:spaceForUL/>
    <w:ulTrailSpace/>
    <w:doNotExpandShiftReturn/>
    <w:useFELayout/>
    <w:compatSetting w:name="compatibilityMode" w:uri="http://schemas.microsoft.com/office/word" w:val="12"/>
  </w:compat>
  <w:docVars>
    <w:docVar w:name="commondata" w:val="eyJoZGlkIjoiZWE1MTRjODczMzY4OGIwN2VkMTQ2MGM1MjcxY2M5MjUifQ=="/>
  </w:docVars>
  <w:rsids>
    <w:rsidRoot w:val="00F72BE7"/>
    <w:rsid w:val="002E2700"/>
    <w:rsid w:val="002E3D48"/>
    <w:rsid w:val="0031198B"/>
    <w:rsid w:val="00412A37"/>
    <w:rsid w:val="005C37BC"/>
    <w:rsid w:val="005E2C1C"/>
    <w:rsid w:val="005E794E"/>
    <w:rsid w:val="005F551B"/>
    <w:rsid w:val="006308AB"/>
    <w:rsid w:val="00715CF3"/>
    <w:rsid w:val="00747B2C"/>
    <w:rsid w:val="007F03BC"/>
    <w:rsid w:val="00847DE1"/>
    <w:rsid w:val="00A123ED"/>
    <w:rsid w:val="00CB1EB4"/>
    <w:rsid w:val="00CD47AB"/>
    <w:rsid w:val="00D6521D"/>
    <w:rsid w:val="00EC3893"/>
    <w:rsid w:val="00F72BE7"/>
    <w:rsid w:val="0108798B"/>
    <w:rsid w:val="013D404E"/>
    <w:rsid w:val="014707D5"/>
    <w:rsid w:val="017460A8"/>
    <w:rsid w:val="0183453D"/>
    <w:rsid w:val="01D46B46"/>
    <w:rsid w:val="01E178D6"/>
    <w:rsid w:val="01F176F8"/>
    <w:rsid w:val="025C116B"/>
    <w:rsid w:val="02B73E03"/>
    <w:rsid w:val="02F62DEB"/>
    <w:rsid w:val="03800D34"/>
    <w:rsid w:val="03A14F29"/>
    <w:rsid w:val="042647BA"/>
    <w:rsid w:val="04441D61"/>
    <w:rsid w:val="044D1233"/>
    <w:rsid w:val="044D1E30"/>
    <w:rsid w:val="04B403C6"/>
    <w:rsid w:val="04BA44CE"/>
    <w:rsid w:val="04F64D19"/>
    <w:rsid w:val="052B325D"/>
    <w:rsid w:val="055B2658"/>
    <w:rsid w:val="05F07017"/>
    <w:rsid w:val="062D088E"/>
    <w:rsid w:val="063F594E"/>
    <w:rsid w:val="0666077C"/>
    <w:rsid w:val="076566A7"/>
    <w:rsid w:val="079A2F4B"/>
    <w:rsid w:val="07B64740"/>
    <w:rsid w:val="081F5E69"/>
    <w:rsid w:val="08D800EA"/>
    <w:rsid w:val="08D86F1C"/>
    <w:rsid w:val="098C4275"/>
    <w:rsid w:val="099C2AD0"/>
    <w:rsid w:val="09AA42C7"/>
    <w:rsid w:val="0A422CFE"/>
    <w:rsid w:val="0A5474C3"/>
    <w:rsid w:val="0A5F7AD5"/>
    <w:rsid w:val="0A630BD7"/>
    <w:rsid w:val="0A74166E"/>
    <w:rsid w:val="0A8B4C59"/>
    <w:rsid w:val="0A9065CE"/>
    <w:rsid w:val="0AAA50E9"/>
    <w:rsid w:val="0AB46CFE"/>
    <w:rsid w:val="0ABB6AF5"/>
    <w:rsid w:val="0AC873FE"/>
    <w:rsid w:val="0B5224A3"/>
    <w:rsid w:val="0BBA4A00"/>
    <w:rsid w:val="0BCD656A"/>
    <w:rsid w:val="0BCE5A19"/>
    <w:rsid w:val="0BD25EA5"/>
    <w:rsid w:val="0C027923"/>
    <w:rsid w:val="0C0F4180"/>
    <w:rsid w:val="0C1E16F8"/>
    <w:rsid w:val="0C2A4705"/>
    <w:rsid w:val="0C345014"/>
    <w:rsid w:val="0D8A419C"/>
    <w:rsid w:val="0DB63714"/>
    <w:rsid w:val="0DBF7C0D"/>
    <w:rsid w:val="0DD264ED"/>
    <w:rsid w:val="0DD809E2"/>
    <w:rsid w:val="0E045967"/>
    <w:rsid w:val="0E0571F1"/>
    <w:rsid w:val="0E306947"/>
    <w:rsid w:val="0E722040"/>
    <w:rsid w:val="0E8E1971"/>
    <w:rsid w:val="0EE235F9"/>
    <w:rsid w:val="0F0415AF"/>
    <w:rsid w:val="0F7C7F74"/>
    <w:rsid w:val="0F8346BB"/>
    <w:rsid w:val="0FA80009"/>
    <w:rsid w:val="0FAD17DF"/>
    <w:rsid w:val="10181568"/>
    <w:rsid w:val="107F306E"/>
    <w:rsid w:val="10D80401"/>
    <w:rsid w:val="114948FA"/>
    <w:rsid w:val="126757A9"/>
    <w:rsid w:val="128B5679"/>
    <w:rsid w:val="1292624E"/>
    <w:rsid w:val="129409F9"/>
    <w:rsid w:val="129C0FBA"/>
    <w:rsid w:val="12F13861"/>
    <w:rsid w:val="134850E0"/>
    <w:rsid w:val="139F6FB4"/>
    <w:rsid w:val="141507A2"/>
    <w:rsid w:val="143E0B0F"/>
    <w:rsid w:val="14B561ED"/>
    <w:rsid w:val="14F13A81"/>
    <w:rsid w:val="15003E83"/>
    <w:rsid w:val="1538599A"/>
    <w:rsid w:val="15740EF8"/>
    <w:rsid w:val="15877D00"/>
    <w:rsid w:val="158B0678"/>
    <w:rsid w:val="15A703A2"/>
    <w:rsid w:val="16285EE5"/>
    <w:rsid w:val="16A356CC"/>
    <w:rsid w:val="16E02B0E"/>
    <w:rsid w:val="16FA5928"/>
    <w:rsid w:val="170F4A2E"/>
    <w:rsid w:val="171442DD"/>
    <w:rsid w:val="1716356E"/>
    <w:rsid w:val="173418E5"/>
    <w:rsid w:val="17342109"/>
    <w:rsid w:val="174D6D27"/>
    <w:rsid w:val="17A27BFD"/>
    <w:rsid w:val="17D60801"/>
    <w:rsid w:val="182E6B2B"/>
    <w:rsid w:val="18363C5F"/>
    <w:rsid w:val="18505BE8"/>
    <w:rsid w:val="186009B5"/>
    <w:rsid w:val="18846779"/>
    <w:rsid w:val="18C96716"/>
    <w:rsid w:val="18C97898"/>
    <w:rsid w:val="18E84F59"/>
    <w:rsid w:val="18F26BB6"/>
    <w:rsid w:val="18F643B3"/>
    <w:rsid w:val="19241D0A"/>
    <w:rsid w:val="193E2DCB"/>
    <w:rsid w:val="196206F1"/>
    <w:rsid w:val="19F33BB6"/>
    <w:rsid w:val="1A551963"/>
    <w:rsid w:val="1A730DD9"/>
    <w:rsid w:val="1A8B6099"/>
    <w:rsid w:val="1AD231D6"/>
    <w:rsid w:val="1AF44F33"/>
    <w:rsid w:val="1B1738D4"/>
    <w:rsid w:val="1B4548E5"/>
    <w:rsid w:val="1B6F54BE"/>
    <w:rsid w:val="1B702014"/>
    <w:rsid w:val="1B8F6D81"/>
    <w:rsid w:val="1BD47A17"/>
    <w:rsid w:val="1D085BCA"/>
    <w:rsid w:val="1D326E14"/>
    <w:rsid w:val="1D3F2EDA"/>
    <w:rsid w:val="1D5A2728"/>
    <w:rsid w:val="1D6B06CF"/>
    <w:rsid w:val="1D74500E"/>
    <w:rsid w:val="1DD800C0"/>
    <w:rsid w:val="1E287B89"/>
    <w:rsid w:val="1E43791C"/>
    <w:rsid w:val="1E614342"/>
    <w:rsid w:val="1EE16376"/>
    <w:rsid w:val="1EEE2C2C"/>
    <w:rsid w:val="1F1330A4"/>
    <w:rsid w:val="1F2952CA"/>
    <w:rsid w:val="1F9C0172"/>
    <w:rsid w:val="1FAB6CE1"/>
    <w:rsid w:val="20026D16"/>
    <w:rsid w:val="206155F1"/>
    <w:rsid w:val="20B54DB2"/>
    <w:rsid w:val="21042B4C"/>
    <w:rsid w:val="213A566A"/>
    <w:rsid w:val="214445A3"/>
    <w:rsid w:val="21702AE9"/>
    <w:rsid w:val="2195298B"/>
    <w:rsid w:val="21CE72BA"/>
    <w:rsid w:val="21F4496F"/>
    <w:rsid w:val="22072FB3"/>
    <w:rsid w:val="22112B50"/>
    <w:rsid w:val="22380D16"/>
    <w:rsid w:val="224433AA"/>
    <w:rsid w:val="225E6B4F"/>
    <w:rsid w:val="22791318"/>
    <w:rsid w:val="229E6F8F"/>
    <w:rsid w:val="22A85555"/>
    <w:rsid w:val="22FD3CF7"/>
    <w:rsid w:val="23056708"/>
    <w:rsid w:val="234D0A23"/>
    <w:rsid w:val="23746473"/>
    <w:rsid w:val="239A1546"/>
    <w:rsid w:val="23C04A55"/>
    <w:rsid w:val="23F304BE"/>
    <w:rsid w:val="23F6464D"/>
    <w:rsid w:val="24217571"/>
    <w:rsid w:val="242C226E"/>
    <w:rsid w:val="246F245F"/>
    <w:rsid w:val="24BE0FD7"/>
    <w:rsid w:val="24F03F18"/>
    <w:rsid w:val="25533D7B"/>
    <w:rsid w:val="25823163"/>
    <w:rsid w:val="25E2090D"/>
    <w:rsid w:val="25E7466C"/>
    <w:rsid w:val="25F37706"/>
    <w:rsid w:val="26207919"/>
    <w:rsid w:val="2647305C"/>
    <w:rsid w:val="26BE3321"/>
    <w:rsid w:val="26F970D3"/>
    <w:rsid w:val="2722776F"/>
    <w:rsid w:val="27457A1B"/>
    <w:rsid w:val="274B704D"/>
    <w:rsid w:val="27733462"/>
    <w:rsid w:val="279C2686"/>
    <w:rsid w:val="27E008AF"/>
    <w:rsid w:val="27EF1D1C"/>
    <w:rsid w:val="280660E7"/>
    <w:rsid w:val="28153891"/>
    <w:rsid w:val="28225427"/>
    <w:rsid w:val="28706D19"/>
    <w:rsid w:val="288D0D17"/>
    <w:rsid w:val="28CF7D70"/>
    <w:rsid w:val="28DC3E47"/>
    <w:rsid w:val="290147E9"/>
    <w:rsid w:val="29086724"/>
    <w:rsid w:val="291F3D28"/>
    <w:rsid w:val="297C731B"/>
    <w:rsid w:val="29B43DAF"/>
    <w:rsid w:val="29D23BEF"/>
    <w:rsid w:val="2A071140"/>
    <w:rsid w:val="2A144016"/>
    <w:rsid w:val="2A553627"/>
    <w:rsid w:val="2AAE6793"/>
    <w:rsid w:val="2AC967C3"/>
    <w:rsid w:val="2ADD5507"/>
    <w:rsid w:val="2B0F5B99"/>
    <w:rsid w:val="2B91168E"/>
    <w:rsid w:val="2BDA2720"/>
    <w:rsid w:val="2BE93C1A"/>
    <w:rsid w:val="2BED313B"/>
    <w:rsid w:val="2C036003"/>
    <w:rsid w:val="2C695F59"/>
    <w:rsid w:val="2CA90A4C"/>
    <w:rsid w:val="2CEE2546"/>
    <w:rsid w:val="2CF55C1F"/>
    <w:rsid w:val="2D2F1CD3"/>
    <w:rsid w:val="2D467101"/>
    <w:rsid w:val="2D4F5A62"/>
    <w:rsid w:val="2D665E74"/>
    <w:rsid w:val="2D99286E"/>
    <w:rsid w:val="2DB33B3D"/>
    <w:rsid w:val="2DCA2A28"/>
    <w:rsid w:val="2DED1882"/>
    <w:rsid w:val="2DF41412"/>
    <w:rsid w:val="2E123976"/>
    <w:rsid w:val="2E234DC0"/>
    <w:rsid w:val="2E2B0E5E"/>
    <w:rsid w:val="2E575FCC"/>
    <w:rsid w:val="2E693B84"/>
    <w:rsid w:val="2E8A6368"/>
    <w:rsid w:val="2EA84D9A"/>
    <w:rsid w:val="2EB108A7"/>
    <w:rsid w:val="2F424F98"/>
    <w:rsid w:val="2F5F3B7C"/>
    <w:rsid w:val="2F7C33C4"/>
    <w:rsid w:val="2FB63E0A"/>
    <w:rsid w:val="2FC17E5A"/>
    <w:rsid w:val="30142680"/>
    <w:rsid w:val="305E1890"/>
    <w:rsid w:val="30DD6F38"/>
    <w:rsid w:val="31353885"/>
    <w:rsid w:val="314D409C"/>
    <w:rsid w:val="31526CE7"/>
    <w:rsid w:val="316B62D0"/>
    <w:rsid w:val="318178A1"/>
    <w:rsid w:val="31AC0DC2"/>
    <w:rsid w:val="31C55E0D"/>
    <w:rsid w:val="31E76326"/>
    <w:rsid w:val="31FE5396"/>
    <w:rsid w:val="321C6AB4"/>
    <w:rsid w:val="3233535A"/>
    <w:rsid w:val="329A3D4F"/>
    <w:rsid w:val="32A54BE3"/>
    <w:rsid w:val="32B07A4D"/>
    <w:rsid w:val="32BE2A91"/>
    <w:rsid w:val="32E86094"/>
    <w:rsid w:val="33074498"/>
    <w:rsid w:val="3315558B"/>
    <w:rsid w:val="332350B4"/>
    <w:rsid w:val="334F7BF0"/>
    <w:rsid w:val="33A651CD"/>
    <w:rsid w:val="33AE791F"/>
    <w:rsid w:val="33F26834"/>
    <w:rsid w:val="3408478C"/>
    <w:rsid w:val="34106DFB"/>
    <w:rsid w:val="34325184"/>
    <w:rsid w:val="34580AC6"/>
    <w:rsid w:val="346E1C27"/>
    <w:rsid w:val="34841D6D"/>
    <w:rsid w:val="34996881"/>
    <w:rsid w:val="34D82FC0"/>
    <w:rsid w:val="34DF14AF"/>
    <w:rsid w:val="34F27B67"/>
    <w:rsid w:val="35591BE5"/>
    <w:rsid w:val="36064E50"/>
    <w:rsid w:val="362863AF"/>
    <w:rsid w:val="36597105"/>
    <w:rsid w:val="367B5BEF"/>
    <w:rsid w:val="36844F22"/>
    <w:rsid w:val="36D178DD"/>
    <w:rsid w:val="375720DA"/>
    <w:rsid w:val="380C0970"/>
    <w:rsid w:val="385507AA"/>
    <w:rsid w:val="3899102A"/>
    <w:rsid w:val="38EC2AF6"/>
    <w:rsid w:val="39225E0E"/>
    <w:rsid w:val="39912668"/>
    <w:rsid w:val="39995B0D"/>
    <w:rsid w:val="399A358E"/>
    <w:rsid w:val="39C028EC"/>
    <w:rsid w:val="39D96E5F"/>
    <w:rsid w:val="39F0651B"/>
    <w:rsid w:val="3A1B5E20"/>
    <w:rsid w:val="3A6B125E"/>
    <w:rsid w:val="3AA22974"/>
    <w:rsid w:val="3AA472C4"/>
    <w:rsid w:val="3AA60379"/>
    <w:rsid w:val="3AE122AC"/>
    <w:rsid w:val="3AEA295B"/>
    <w:rsid w:val="3AFD61EB"/>
    <w:rsid w:val="3B163B4E"/>
    <w:rsid w:val="3B715E69"/>
    <w:rsid w:val="3B7E51F7"/>
    <w:rsid w:val="3B8811A4"/>
    <w:rsid w:val="3BAC10D3"/>
    <w:rsid w:val="3BB81B95"/>
    <w:rsid w:val="3BD9187C"/>
    <w:rsid w:val="3BF41AEA"/>
    <w:rsid w:val="3C027C16"/>
    <w:rsid w:val="3C0F220A"/>
    <w:rsid w:val="3C242C38"/>
    <w:rsid w:val="3C267544"/>
    <w:rsid w:val="3C8C6D91"/>
    <w:rsid w:val="3D356685"/>
    <w:rsid w:val="3D36354C"/>
    <w:rsid w:val="3D434FD7"/>
    <w:rsid w:val="3D546BAD"/>
    <w:rsid w:val="3D9170BE"/>
    <w:rsid w:val="3DBB413B"/>
    <w:rsid w:val="3DC93A44"/>
    <w:rsid w:val="3DD11BB1"/>
    <w:rsid w:val="3DED4811"/>
    <w:rsid w:val="3E1F3CAD"/>
    <w:rsid w:val="3E292C29"/>
    <w:rsid w:val="3E78615B"/>
    <w:rsid w:val="3E8E35FE"/>
    <w:rsid w:val="3EB30A25"/>
    <w:rsid w:val="3EBB081C"/>
    <w:rsid w:val="3F19434D"/>
    <w:rsid w:val="3F4B1266"/>
    <w:rsid w:val="3F90296F"/>
    <w:rsid w:val="3F984C13"/>
    <w:rsid w:val="3FA62879"/>
    <w:rsid w:val="3FB37991"/>
    <w:rsid w:val="3FD84811"/>
    <w:rsid w:val="3FFC54A1"/>
    <w:rsid w:val="40D914A8"/>
    <w:rsid w:val="41015B84"/>
    <w:rsid w:val="413B561F"/>
    <w:rsid w:val="41872D8F"/>
    <w:rsid w:val="419B6B13"/>
    <w:rsid w:val="423A3014"/>
    <w:rsid w:val="425424E3"/>
    <w:rsid w:val="428E7BE1"/>
    <w:rsid w:val="42B20B36"/>
    <w:rsid w:val="42FB66C8"/>
    <w:rsid w:val="43016A94"/>
    <w:rsid w:val="43192944"/>
    <w:rsid w:val="43394480"/>
    <w:rsid w:val="43474698"/>
    <w:rsid w:val="44146C41"/>
    <w:rsid w:val="44703ED1"/>
    <w:rsid w:val="447255E6"/>
    <w:rsid w:val="44A1052F"/>
    <w:rsid w:val="44CD7E13"/>
    <w:rsid w:val="453A628D"/>
    <w:rsid w:val="454B2248"/>
    <w:rsid w:val="455A530C"/>
    <w:rsid w:val="455A5C90"/>
    <w:rsid w:val="45B61DB8"/>
    <w:rsid w:val="45B918A8"/>
    <w:rsid w:val="45BF33F9"/>
    <w:rsid w:val="45CC270F"/>
    <w:rsid w:val="45D2152F"/>
    <w:rsid w:val="45EE0F95"/>
    <w:rsid w:val="45F42F70"/>
    <w:rsid w:val="45F85626"/>
    <w:rsid w:val="461775E0"/>
    <w:rsid w:val="462273F5"/>
    <w:rsid w:val="466556B5"/>
    <w:rsid w:val="46710516"/>
    <w:rsid w:val="4692195B"/>
    <w:rsid w:val="470E15D4"/>
    <w:rsid w:val="47234C6F"/>
    <w:rsid w:val="47AD2D46"/>
    <w:rsid w:val="47E36768"/>
    <w:rsid w:val="484162BE"/>
    <w:rsid w:val="48643D4D"/>
    <w:rsid w:val="487D7E3E"/>
    <w:rsid w:val="48967192"/>
    <w:rsid w:val="489A6313"/>
    <w:rsid w:val="48A95C04"/>
    <w:rsid w:val="48CE0A5C"/>
    <w:rsid w:val="48E00EFA"/>
    <w:rsid w:val="48EB6776"/>
    <w:rsid w:val="491F5084"/>
    <w:rsid w:val="493037FF"/>
    <w:rsid w:val="49356332"/>
    <w:rsid w:val="4949445D"/>
    <w:rsid w:val="49B51BAE"/>
    <w:rsid w:val="4A3E54DC"/>
    <w:rsid w:val="4A442B3D"/>
    <w:rsid w:val="4A5E47CC"/>
    <w:rsid w:val="4A7E09CA"/>
    <w:rsid w:val="4A884CC6"/>
    <w:rsid w:val="4A9B7DF4"/>
    <w:rsid w:val="4AA55BC3"/>
    <w:rsid w:val="4ABC7D85"/>
    <w:rsid w:val="4BAF6637"/>
    <w:rsid w:val="4C0D5016"/>
    <w:rsid w:val="4C0E4A76"/>
    <w:rsid w:val="4C254B4B"/>
    <w:rsid w:val="4C780DD5"/>
    <w:rsid w:val="4CAA55D5"/>
    <w:rsid w:val="4D07114B"/>
    <w:rsid w:val="4D403EDA"/>
    <w:rsid w:val="4D954046"/>
    <w:rsid w:val="4DD2490F"/>
    <w:rsid w:val="4DEB17E5"/>
    <w:rsid w:val="4E202AF3"/>
    <w:rsid w:val="4E6D29C4"/>
    <w:rsid w:val="4E9A0D74"/>
    <w:rsid w:val="4EB62E28"/>
    <w:rsid w:val="4EBC5D39"/>
    <w:rsid w:val="4F1B3040"/>
    <w:rsid w:val="4F282F37"/>
    <w:rsid w:val="4F290E6D"/>
    <w:rsid w:val="4F496562"/>
    <w:rsid w:val="4F701691"/>
    <w:rsid w:val="4FAA2095"/>
    <w:rsid w:val="4FC60E49"/>
    <w:rsid w:val="4FD55530"/>
    <w:rsid w:val="4FF17EF4"/>
    <w:rsid w:val="4FF52C71"/>
    <w:rsid w:val="503A7A08"/>
    <w:rsid w:val="5055041F"/>
    <w:rsid w:val="50645796"/>
    <w:rsid w:val="509A51EA"/>
    <w:rsid w:val="509E3ED1"/>
    <w:rsid w:val="50DC56EB"/>
    <w:rsid w:val="51295DBA"/>
    <w:rsid w:val="513801FC"/>
    <w:rsid w:val="514E559A"/>
    <w:rsid w:val="51575BFE"/>
    <w:rsid w:val="518D2206"/>
    <w:rsid w:val="51BF00E0"/>
    <w:rsid w:val="51E113E5"/>
    <w:rsid w:val="51E92988"/>
    <w:rsid w:val="520E62B8"/>
    <w:rsid w:val="52433470"/>
    <w:rsid w:val="528312E8"/>
    <w:rsid w:val="529A4BA7"/>
    <w:rsid w:val="52B23907"/>
    <w:rsid w:val="52B50FFA"/>
    <w:rsid w:val="52C31E67"/>
    <w:rsid w:val="52C84ED8"/>
    <w:rsid w:val="52DA54E7"/>
    <w:rsid w:val="52E468A6"/>
    <w:rsid w:val="52E8669F"/>
    <w:rsid w:val="531F42E7"/>
    <w:rsid w:val="532C2301"/>
    <w:rsid w:val="53D33D94"/>
    <w:rsid w:val="53D6797D"/>
    <w:rsid w:val="53E775E0"/>
    <w:rsid w:val="546148FC"/>
    <w:rsid w:val="54982858"/>
    <w:rsid w:val="54BC690A"/>
    <w:rsid w:val="54C13A1C"/>
    <w:rsid w:val="54FD1A0C"/>
    <w:rsid w:val="54FD5330"/>
    <w:rsid w:val="55132EB9"/>
    <w:rsid w:val="556122A1"/>
    <w:rsid w:val="55705B15"/>
    <w:rsid w:val="55E101CF"/>
    <w:rsid w:val="55F00828"/>
    <w:rsid w:val="56174AC2"/>
    <w:rsid w:val="56431446"/>
    <w:rsid w:val="566156C7"/>
    <w:rsid w:val="56DE42FC"/>
    <w:rsid w:val="56E5591B"/>
    <w:rsid w:val="571A4521"/>
    <w:rsid w:val="57631674"/>
    <w:rsid w:val="5794495B"/>
    <w:rsid w:val="57A500D0"/>
    <w:rsid w:val="57B23E5F"/>
    <w:rsid w:val="57C351F2"/>
    <w:rsid w:val="57D72D8F"/>
    <w:rsid w:val="58532224"/>
    <w:rsid w:val="586903C5"/>
    <w:rsid w:val="58711142"/>
    <w:rsid w:val="588C070C"/>
    <w:rsid w:val="58BA52C3"/>
    <w:rsid w:val="58E135DE"/>
    <w:rsid w:val="593212FE"/>
    <w:rsid w:val="59350668"/>
    <w:rsid w:val="59590F80"/>
    <w:rsid w:val="59A732EE"/>
    <w:rsid w:val="59C3464B"/>
    <w:rsid w:val="59DE2BBE"/>
    <w:rsid w:val="5A410A6F"/>
    <w:rsid w:val="5AB327FB"/>
    <w:rsid w:val="5AC445F6"/>
    <w:rsid w:val="5AC47E7A"/>
    <w:rsid w:val="5AC55338"/>
    <w:rsid w:val="5AF23792"/>
    <w:rsid w:val="5B4A35BB"/>
    <w:rsid w:val="5B726D70"/>
    <w:rsid w:val="5C5C2766"/>
    <w:rsid w:val="5C65447A"/>
    <w:rsid w:val="5CCD039C"/>
    <w:rsid w:val="5CE05C01"/>
    <w:rsid w:val="5D067F46"/>
    <w:rsid w:val="5DBA7232"/>
    <w:rsid w:val="5DEA6484"/>
    <w:rsid w:val="5E2A0506"/>
    <w:rsid w:val="5E323B4E"/>
    <w:rsid w:val="5E94488D"/>
    <w:rsid w:val="5F8A2976"/>
    <w:rsid w:val="5F8B5C0B"/>
    <w:rsid w:val="5FB9070F"/>
    <w:rsid w:val="5FE039CC"/>
    <w:rsid w:val="601C265B"/>
    <w:rsid w:val="60297C51"/>
    <w:rsid w:val="603B4F3C"/>
    <w:rsid w:val="606F137F"/>
    <w:rsid w:val="60787E6E"/>
    <w:rsid w:val="60844B35"/>
    <w:rsid w:val="60D137C0"/>
    <w:rsid w:val="60EB4FAC"/>
    <w:rsid w:val="611C2FBF"/>
    <w:rsid w:val="613D03AF"/>
    <w:rsid w:val="613E3351"/>
    <w:rsid w:val="624C3F75"/>
    <w:rsid w:val="62840C9B"/>
    <w:rsid w:val="629E2BD8"/>
    <w:rsid w:val="62DE1443"/>
    <w:rsid w:val="62E62FCC"/>
    <w:rsid w:val="62E95123"/>
    <w:rsid w:val="631B43BD"/>
    <w:rsid w:val="633D0FCB"/>
    <w:rsid w:val="63531402"/>
    <w:rsid w:val="63753EA0"/>
    <w:rsid w:val="638257CB"/>
    <w:rsid w:val="63923347"/>
    <w:rsid w:val="63A60D41"/>
    <w:rsid w:val="63B8083F"/>
    <w:rsid w:val="63C45248"/>
    <w:rsid w:val="63C6035F"/>
    <w:rsid w:val="64212D54"/>
    <w:rsid w:val="648A6F00"/>
    <w:rsid w:val="64960A56"/>
    <w:rsid w:val="649A1D1D"/>
    <w:rsid w:val="64E04304"/>
    <w:rsid w:val="6542436F"/>
    <w:rsid w:val="657B74E6"/>
    <w:rsid w:val="659B691E"/>
    <w:rsid w:val="65D242C5"/>
    <w:rsid w:val="65F10142"/>
    <w:rsid w:val="66124991"/>
    <w:rsid w:val="66751FDD"/>
    <w:rsid w:val="66770C98"/>
    <w:rsid w:val="66BF6810"/>
    <w:rsid w:val="66E10C4D"/>
    <w:rsid w:val="675A3B42"/>
    <w:rsid w:val="67726944"/>
    <w:rsid w:val="67AF422A"/>
    <w:rsid w:val="6836320A"/>
    <w:rsid w:val="684A4429"/>
    <w:rsid w:val="685D140B"/>
    <w:rsid w:val="68C006D4"/>
    <w:rsid w:val="68D47A7B"/>
    <w:rsid w:val="68DF193E"/>
    <w:rsid w:val="68E84E3F"/>
    <w:rsid w:val="68F76E5C"/>
    <w:rsid w:val="691A347C"/>
    <w:rsid w:val="692B5FE3"/>
    <w:rsid w:val="69455133"/>
    <w:rsid w:val="69937B96"/>
    <w:rsid w:val="69C2222A"/>
    <w:rsid w:val="69D41F5D"/>
    <w:rsid w:val="69E2467A"/>
    <w:rsid w:val="69FA636D"/>
    <w:rsid w:val="6A3757AC"/>
    <w:rsid w:val="6A701523"/>
    <w:rsid w:val="6A7F42D2"/>
    <w:rsid w:val="6AC1406F"/>
    <w:rsid w:val="6B4120C8"/>
    <w:rsid w:val="6B4B6B75"/>
    <w:rsid w:val="6BB256BF"/>
    <w:rsid w:val="6BDD42B9"/>
    <w:rsid w:val="6BE84649"/>
    <w:rsid w:val="6C085287"/>
    <w:rsid w:val="6C401523"/>
    <w:rsid w:val="6C5C7101"/>
    <w:rsid w:val="6C95600E"/>
    <w:rsid w:val="6CD00EA6"/>
    <w:rsid w:val="6CE6131C"/>
    <w:rsid w:val="6D313420"/>
    <w:rsid w:val="6D4D5647"/>
    <w:rsid w:val="6DDB7D5E"/>
    <w:rsid w:val="6DDD5A51"/>
    <w:rsid w:val="6DE51FC5"/>
    <w:rsid w:val="6E1D267F"/>
    <w:rsid w:val="6E8C4383"/>
    <w:rsid w:val="6EA15698"/>
    <w:rsid w:val="6EA231BA"/>
    <w:rsid w:val="6F482D42"/>
    <w:rsid w:val="6F50581C"/>
    <w:rsid w:val="6F6E580C"/>
    <w:rsid w:val="6F9D5C29"/>
    <w:rsid w:val="6FA523D2"/>
    <w:rsid w:val="701045B5"/>
    <w:rsid w:val="703D37EB"/>
    <w:rsid w:val="70787CDC"/>
    <w:rsid w:val="70815BA3"/>
    <w:rsid w:val="70857B7E"/>
    <w:rsid w:val="712D6B22"/>
    <w:rsid w:val="715B4B81"/>
    <w:rsid w:val="7167457E"/>
    <w:rsid w:val="717B055E"/>
    <w:rsid w:val="71E87D6D"/>
    <w:rsid w:val="71FA392D"/>
    <w:rsid w:val="72471637"/>
    <w:rsid w:val="728E539F"/>
    <w:rsid w:val="729E26DA"/>
    <w:rsid w:val="72D4516E"/>
    <w:rsid w:val="72FF663B"/>
    <w:rsid w:val="7301390F"/>
    <w:rsid w:val="73B07EB2"/>
    <w:rsid w:val="73ED585D"/>
    <w:rsid w:val="741E6BF6"/>
    <w:rsid w:val="744743D4"/>
    <w:rsid w:val="74651E49"/>
    <w:rsid w:val="747607E0"/>
    <w:rsid w:val="74885165"/>
    <w:rsid w:val="749347B2"/>
    <w:rsid w:val="74A0585D"/>
    <w:rsid w:val="753B0164"/>
    <w:rsid w:val="757A7E5C"/>
    <w:rsid w:val="75B00123"/>
    <w:rsid w:val="76065B94"/>
    <w:rsid w:val="762B43CD"/>
    <w:rsid w:val="768C7E47"/>
    <w:rsid w:val="76D56593"/>
    <w:rsid w:val="77336515"/>
    <w:rsid w:val="777032C5"/>
    <w:rsid w:val="77B73BDF"/>
    <w:rsid w:val="77D210A2"/>
    <w:rsid w:val="77D31AA6"/>
    <w:rsid w:val="77DF59B7"/>
    <w:rsid w:val="78A526FF"/>
    <w:rsid w:val="78AE6557"/>
    <w:rsid w:val="798D55DD"/>
    <w:rsid w:val="798F5982"/>
    <w:rsid w:val="79921083"/>
    <w:rsid w:val="79B00633"/>
    <w:rsid w:val="79FE1404"/>
    <w:rsid w:val="7A043533"/>
    <w:rsid w:val="7A4B1055"/>
    <w:rsid w:val="7A590988"/>
    <w:rsid w:val="7ADC47C3"/>
    <w:rsid w:val="7B476BAC"/>
    <w:rsid w:val="7B4B6523"/>
    <w:rsid w:val="7B4E6DDA"/>
    <w:rsid w:val="7B8C2D0D"/>
    <w:rsid w:val="7BD07335"/>
    <w:rsid w:val="7BD227A0"/>
    <w:rsid w:val="7C206AF6"/>
    <w:rsid w:val="7C2D5E41"/>
    <w:rsid w:val="7C9B35EA"/>
    <w:rsid w:val="7CA010C3"/>
    <w:rsid w:val="7CA34E54"/>
    <w:rsid w:val="7CCE6A29"/>
    <w:rsid w:val="7CF33270"/>
    <w:rsid w:val="7D02603F"/>
    <w:rsid w:val="7D160944"/>
    <w:rsid w:val="7D2C2B03"/>
    <w:rsid w:val="7D4A280A"/>
    <w:rsid w:val="7D533607"/>
    <w:rsid w:val="7E104987"/>
    <w:rsid w:val="7E112D71"/>
    <w:rsid w:val="7E146C66"/>
    <w:rsid w:val="7E1D3989"/>
    <w:rsid w:val="7E37429F"/>
    <w:rsid w:val="7E466523"/>
    <w:rsid w:val="7ED61979"/>
    <w:rsid w:val="7EEA7F5F"/>
    <w:rsid w:val="7F051133"/>
    <w:rsid w:val="7F10538E"/>
    <w:rsid w:val="7F150C8C"/>
    <w:rsid w:val="7F2C21C7"/>
    <w:rsid w:val="7F6107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1"/>
    <w:basedOn w:val="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24"/>
    </w:rPr>
  </w:style>
  <w:style w:type="paragraph" w:styleId="2">
    <w:name w:val="heading 2"/>
    <w:basedOn w:val="1"/>
    <w:next w:val="3"/>
    <w:qFormat/>
    <w:uiPriority w:val="0"/>
    <w:pPr>
      <w:keepNext/>
      <w:keepLines/>
      <w:spacing w:before="260" w:after="260" w:line="413" w:lineRule="auto"/>
      <w:outlineLvl w:val="1"/>
    </w:pPr>
    <w:rPr>
      <w:rFonts w:eastAsia="黑体"/>
      <w:b/>
      <w:bCs/>
      <w:sz w:val="32"/>
      <w:szCs w:val="32"/>
    </w:rPr>
  </w:style>
  <w:style w:type="paragraph" w:styleId="6">
    <w:name w:val="heading 4"/>
    <w:basedOn w:val="1"/>
    <w:next w:val="1"/>
    <w:link w:val="28"/>
    <w:semiHidden/>
    <w:unhideWhenUsed/>
    <w:qFormat/>
    <w:uiPriority w:val="0"/>
    <w:pPr>
      <w:keepNext/>
      <w:keepLines/>
      <w:spacing w:before="280" w:after="290" w:line="372" w:lineRule="auto"/>
      <w:outlineLvl w:val="3"/>
    </w:pPr>
    <w:rPr>
      <w:rFonts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next w:val="1"/>
    <w:qFormat/>
    <w:uiPriority w:val="0"/>
    <w:pPr>
      <w:ind w:firstLine="420" w:firstLineChars="100"/>
    </w:pPr>
  </w:style>
  <w:style w:type="paragraph" w:styleId="4">
    <w:name w:val="Body Text"/>
    <w:basedOn w:val="1"/>
    <w:next w:val="1"/>
    <w:qFormat/>
    <w:uiPriority w:val="0"/>
    <w:rPr>
      <w:rFonts w:ascii="仿宋" w:hAnsi="仿宋" w:eastAsia="仿宋" w:cs="仿宋"/>
      <w:sz w:val="30"/>
      <w:szCs w:val="30"/>
    </w:rPr>
  </w:style>
  <w:style w:type="paragraph" w:styleId="7">
    <w:name w:val="annotation text"/>
    <w:basedOn w:val="1"/>
    <w:qFormat/>
    <w:uiPriority w:val="0"/>
  </w:style>
  <w:style w:type="paragraph" w:styleId="8">
    <w:name w:val="Body Text Indent"/>
    <w:basedOn w:val="1"/>
    <w:unhideWhenUsed/>
    <w:qFormat/>
    <w:uiPriority w:val="99"/>
    <w:pPr>
      <w:spacing w:after="120"/>
      <w:ind w:left="420" w:leftChars="200"/>
    </w:pPr>
    <w:rPr>
      <w:rFonts w:eastAsia="微软雅黑"/>
      <w:sz w:val="24"/>
      <w:szCs w:val="20"/>
    </w:rPr>
  </w:style>
  <w:style w:type="paragraph" w:styleId="9">
    <w:name w:val="Plain Text"/>
    <w:basedOn w:val="1"/>
    <w:qFormat/>
    <w:uiPriority w:val="0"/>
    <w:rPr>
      <w:rFonts w:ascii="宋体" w:hAnsi="Courier New"/>
      <w:sz w:val="20"/>
    </w:rPr>
  </w:style>
  <w:style w:type="paragraph" w:styleId="10">
    <w:name w:val="Balloon Text"/>
    <w:basedOn w:val="1"/>
    <w:link w:val="41"/>
    <w:qFormat/>
    <w:uiPriority w:val="0"/>
    <w:rPr>
      <w:sz w:val="18"/>
      <w:szCs w:val="18"/>
    </w:r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Normal (Web)"/>
    <w:basedOn w:val="1"/>
    <w:qFormat/>
    <w:uiPriority w:val="0"/>
    <w:pPr>
      <w:spacing w:before="100" w:beforeAutospacing="1" w:after="100" w:afterAutospacing="1"/>
    </w:pPr>
    <w:rPr>
      <w:rFonts w:ascii="宋体" w:hAnsi="宋体" w:eastAsia="宋体" w:cs="宋体"/>
      <w:sz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Emphasis"/>
    <w:qFormat/>
    <w:uiPriority w:val="0"/>
  </w:style>
  <w:style w:type="character" w:styleId="20">
    <w:name w:val="Hyperlink"/>
    <w:basedOn w:val="17"/>
    <w:qFormat/>
    <w:uiPriority w:val="0"/>
    <w:rPr>
      <w:color w:val="0000FF"/>
      <w:u w:val="single"/>
    </w:rPr>
  </w:style>
  <w:style w:type="character" w:styleId="21">
    <w:name w:val="annotation reference"/>
    <w:unhideWhenUsed/>
    <w:qFormat/>
    <w:uiPriority w:val="0"/>
    <w:rPr>
      <w:sz w:val="21"/>
      <w:szCs w:val="21"/>
    </w:rPr>
  </w:style>
  <w:style w:type="paragraph" w:customStyle="1" w:styleId="22">
    <w:name w:val="正文缩进1"/>
    <w:basedOn w:val="1"/>
    <w:qFormat/>
    <w:uiPriority w:val="0"/>
    <w:pPr>
      <w:ind w:firstLine="420" w:firstLineChars="200"/>
    </w:p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style>
  <w:style w:type="paragraph" w:customStyle="1" w:styleId="25">
    <w:name w:val="Heading #2|1"/>
    <w:basedOn w:val="1"/>
    <w:qFormat/>
    <w:uiPriority w:val="0"/>
    <w:pPr>
      <w:widowControl w:val="0"/>
      <w:spacing w:after="580" w:line="634" w:lineRule="exact"/>
      <w:jc w:val="center"/>
      <w:outlineLvl w:val="1"/>
    </w:pPr>
    <w:rPr>
      <w:rFonts w:ascii="宋体" w:hAnsi="宋体" w:eastAsia="宋体" w:cs="宋体"/>
      <w:sz w:val="44"/>
      <w:szCs w:val="44"/>
      <w:lang w:val="zh-TW" w:eastAsia="zh-TW" w:bidi="zh-TW"/>
    </w:rPr>
  </w:style>
  <w:style w:type="paragraph" w:customStyle="1" w:styleId="26">
    <w:name w:val="Body text|1"/>
    <w:basedOn w:val="1"/>
    <w:qFormat/>
    <w:uiPriority w:val="0"/>
    <w:pPr>
      <w:widowControl w:val="0"/>
      <w:spacing w:line="432" w:lineRule="auto"/>
      <w:ind w:firstLine="400"/>
    </w:pPr>
    <w:rPr>
      <w:rFonts w:ascii="宋体" w:hAnsi="宋体" w:eastAsia="宋体" w:cs="宋体"/>
      <w:sz w:val="30"/>
      <w:szCs w:val="30"/>
      <w:lang w:val="zh-TW" w:eastAsia="zh-TW" w:bidi="zh-TW"/>
    </w:rPr>
  </w:style>
  <w:style w:type="paragraph" w:customStyle="1" w:styleId="27">
    <w:name w:val="Body text|2"/>
    <w:basedOn w:val="1"/>
    <w:qFormat/>
    <w:uiPriority w:val="0"/>
    <w:pPr>
      <w:widowControl w:val="0"/>
    </w:pPr>
    <w:rPr>
      <w:rFonts w:ascii="宋体" w:hAnsi="宋体" w:eastAsia="宋体" w:cs="宋体"/>
      <w:sz w:val="26"/>
      <w:szCs w:val="26"/>
      <w:lang w:val="zh-TW" w:eastAsia="zh-TW" w:bidi="zh-TW"/>
    </w:rPr>
  </w:style>
  <w:style w:type="character" w:customStyle="1" w:styleId="28">
    <w:name w:val="标题 4 Char"/>
    <w:link w:val="6"/>
    <w:qFormat/>
    <w:uiPriority w:val="0"/>
    <w:rPr>
      <w:rFonts w:ascii="Arial" w:hAnsi="Arial" w:eastAsia="黑体"/>
      <w:b/>
      <w:sz w:val="28"/>
    </w:rPr>
  </w:style>
  <w:style w:type="paragraph" w:customStyle="1" w:styleId="29">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样式1"/>
    <w:basedOn w:val="5"/>
    <w:qFormat/>
    <w:uiPriority w:val="0"/>
    <w:pPr>
      <w:spacing w:before="240" w:after="240" w:line="440" w:lineRule="exact"/>
      <w:jc w:val="center"/>
    </w:pPr>
    <w:rPr>
      <w:rFonts w:eastAsia="楷体"/>
      <w:sz w:val="36"/>
      <w:szCs w:val="28"/>
    </w:rPr>
  </w:style>
  <w:style w:type="character" w:customStyle="1" w:styleId="31">
    <w:name w:val="font31"/>
    <w:qFormat/>
    <w:uiPriority w:val="0"/>
    <w:rPr>
      <w:rFonts w:hint="eastAsia" w:ascii="宋体" w:hAnsi="宋体" w:eastAsia="宋体" w:cs="宋体"/>
      <w:color w:val="000000"/>
      <w:sz w:val="21"/>
      <w:szCs w:val="21"/>
      <w:u w:val="none"/>
    </w:rPr>
  </w:style>
  <w:style w:type="paragraph" w:customStyle="1" w:styleId="3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6">
    <w:name w:val="正文首行缩进1"/>
    <w:basedOn w:val="37"/>
    <w:qFormat/>
    <w:uiPriority w:val="0"/>
    <w:pPr>
      <w:ind w:firstLine="420" w:firstLineChars="100"/>
    </w:pPr>
  </w:style>
  <w:style w:type="paragraph" w:customStyle="1" w:styleId="37">
    <w:name w:val="正文文本1"/>
    <w:basedOn w:val="1"/>
    <w:qFormat/>
    <w:uiPriority w:val="0"/>
    <w:pPr>
      <w:spacing w:after="120"/>
    </w:pPr>
  </w:style>
  <w:style w:type="character" w:customStyle="1" w:styleId="38">
    <w:name w:val="font41"/>
    <w:basedOn w:val="17"/>
    <w:qFormat/>
    <w:uiPriority w:val="0"/>
    <w:rPr>
      <w:rFonts w:hint="eastAsia" w:ascii="宋体" w:hAnsi="宋体" w:eastAsia="宋体" w:cs="宋体"/>
      <w:b/>
      <w:bCs/>
      <w:color w:val="000000"/>
      <w:sz w:val="24"/>
      <w:szCs w:val="24"/>
      <w:u w:val="none"/>
    </w:rPr>
  </w:style>
  <w:style w:type="character" w:customStyle="1" w:styleId="39">
    <w:name w:val="font01"/>
    <w:basedOn w:val="17"/>
    <w:qFormat/>
    <w:uiPriority w:val="0"/>
    <w:rPr>
      <w:rFonts w:hint="eastAsia" w:ascii="宋体" w:hAnsi="宋体" w:eastAsia="宋体" w:cs="宋体"/>
      <w:b/>
      <w:bCs/>
      <w:color w:val="000000"/>
      <w:sz w:val="20"/>
      <w:szCs w:val="20"/>
      <w:u w:val="none"/>
    </w:rPr>
  </w:style>
  <w:style w:type="paragraph" w:customStyle="1" w:styleId="40">
    <w:name w:val="列表段落1"/>
    <w:basedOn w:val="1"/>
    <w:qFormat/>
    <w:uiPriority w:val="34"/>
    <w:pPr>
      <w:ind w:firstLine="420" w:firstLineChars="200"/>
    </w:pPr>
  </w:style>
  <w:style w:type="character" w:customStyle="1" w:styleId="41">
    <w:name w:val="批注框文本 Char"/>
    <w:basedOn w:val="17"/>
    <w:link w:val="10"/>
    <w:qFormat/>
    <w:uiPriority w:val="0"/>
    <w:rPr>
      <w:rFonts w:ascii="Arial" w:hAnsi="Arial" w:eastAsia="Arial" w:cs="Arial"/>
      <w:snapToGrid w:val="0"/>
      <w:color w:val="000000"/>
      <w:sz w:val="18"/>
      <w:szCs w:val="18"/>
      <w:lang w:eastAsia="en-US"/>
    </w:rPr>
  </w:style>
  <w:style w:type="paragraph" w:styleId="42">
    <w:name w:val="List Paragraph"/>
    <w:basedOn w:val="1"/>
    <w:qFormat/>
    <w:uiPriority w:val="34"/>
    <w:pPr>
      <w:ind w:firstLine="420" w:firstLineChars="200"/>
    </w:pPr>
    <w:rPr>
      <w:szCs w:val="24"/>
    </w:rPr>
  </w:style>
  <w:style w:type="paragraph" w:customStyle="1" w:styleId="43">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6518</Words>
  <Characters>6742</Characters>
  <Lines>55</Lines>
  <Paragraphs>101</Paragraphs>
  <TotalTime>0</TotalTime>
  <ScaleCrop>false</ScaleCrop>
  <LinksUpToDate>false</LinksUpToDate>
  <CharactersWithSpaces>6850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2025-04-26T16:02:00Z</dcterms:created>
  <dc:creator>hxw</dc:creator>
  <cp:lastModifiedBy>Administrator</cp:lastModifiedBy>
  <cp:lastPrinted>2025-04-18T03:38:00Z</cp:lastPrinted>
  <dcterms:modified xsi:type="dcterms:W3CDTF">2025-06-11T03:30:47Z</dcterms:modified>
  <dc:title>政府采购招标文件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2052-12.1.0.21541</vt:lpwstr>
  </property>
  <property fmtid="{D5CDD505-2E9C-101B-9397-08002B2CF9AE}" pid="5" name="ICV">
    <vt:lpwstr>5DD6274E470D46A188DA20924AF51841_13</vt:lpwstr>
  </property>
  <property fmtid="{D5CDD505-2E9C-101B-9397-08002B2CF9AE}" pid="6" name="KSOTemplateDocerSaveRecord">
    <vt:lpwstr>eyJoZGlkIjoiZGMyODlhMjhlMmFkMGNlZDUwNDVlOTRiMmMzOTU0ZjciLCJ1c2VySWQiOiIxMDEzNDI0Nzc5In0=</vt:lpwstr>
  </property>
</Properties>
</file>