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39A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kern w:val="2"/>
          <w:sz w:val="36"/>
          <w:szCs w:val="36"/>
          <w:lang w:eastAsia="zh-CN"/>
        </w:rPr>
      </w:pPr>
      <w:bookmarkStart w:id="0" w:name="OLE_LINK2"/>
      <w:r>
        <w:rPr>
          <w:rFonts w:hint="eastAsia" w:ascii="黑体" w:hAnsi="黑体" w:eastAsia="黑体" w:cs="黑体"/>
          <w:b/>
          <w:bCs/>
          <w:kern w:val="2"/>
          <w:sz w:val="36"/>
          <w:szCs w:val="36"/>
          <w:lang w:eastAsia="zh-CN"/>
        </w:rPr>
        <w:t>南昌市中心血站</w:t>
      </w:r>
      <w:bookmarkStart w:id="1" w:name="OLE_LINK1"/>
      <w:r>
        <w:rPr>
          <w:rFonts w:hint="eastAsia" w:ascii="黑体" w:hAnsi="黑体" w:eastAsia="黑体" w:cs="黑体"/>
          <w:b/>
          <w:bCs/>
          <w:kern w:val="2"/>
          <w:sz w:val="36"/>
          <w:szCs w:val="36"/>
          <w:lang w:eastAsia="zh-CN"/>
        </w:rPr>
        <w:t>网络安全防护升级采购项目</w:t>
      </w:r>
      <w:bookmarkEnd w:id="0"/>
      <w:bookmarkEnd w:id="1"/>
    </w:p>
    <w:p w14:paraId="1C3E0B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rPr>
      </w:pPr>
      <w:r>
        <w:rPr>
          <w:rFonts w:hint="eastAsia" w:ascii="黑体" w:hAnsi="黑体" w:eastAsia="黑体" w:cs="黑体"/>
          <w:b/>
          <w:bCs/>
          <w:sz w:val="36"/>
          <w:szCs w:val="36"/>
        </w:rPr>
        <w:t>技术标准和要求</w:t>
      </w:r>
    </w:p>
    <w:p w14:paraId="0F9B80F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因我站现有的防火墙和上网行为管理等设备由于使用年限较长，目前已无法对特征库和固件进行更新，难以满足现有的网络安全管理需求，特采购相关设备和服务进行升级改造。具体技术标准和要求如下：</w:t>
      </w:r>
    </w:p>
    <w:tbl>
      <w:tblPr>
        <w:tblStyle w:val="4"/>
        <w:tblpPr w:leftFromText="180" w:rightFromText="180" w:vertAnchor="text" w:horzAnchor="page" w:tblpXSpec="center" w:tblpY="19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256"/>
        <w:gridCol w:w="5707"/>
        <w:gridCol w:w="829"/>
      </w:tblGrid>
      <w:tr w14:paraId="0F9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shd w:val="clear" w:color="auto" w:fill="BEBEBE" w:themeFill="background1" w:themeFillShade="BF"/>
            <w:vAlign w:val="center"/>
          </w:tcPr>
          <w:p w14:paraId="67F1FB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序号</w:t>
            </w:r>
          </w:p>
        </w:tc>
        <w:tc>
          <w:tcPr>
            <w:tcW w:w="1256" w:type="dxa"/>
            <w:shd w:val="clear" w:color="auto" w:fill="BEBEBE" w:themeFill="background1" w:themeFillShade="BF"/>
            <w:vAlign w:val="center"/>
          </w:tcPr>
          <w:p w14:paraId="11B5A6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产品类型</w:t>
            </w:r>
          </w:p>
        </w:tc>
        <w:tc>
          <w:tcPr>
            <w:tcW w:w="5707" w:type="dxa"/>
            <w:shd w:val="clear" w:color="auto" w:fill="BEBEBE" w:themeFill="background1" w:themeFillShade="BF"/>
            <w:vAlign w:val="center"/>
          </w:tcPr>
          <w:p w14:paraId="755C25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产品规格</w:t>
            </w:r>
          </w:p>
        </w:tc>
        <w:tc>
          <w:tcPr>
            <w:tcW w:w="829" w:type="dxa"/>
            <w:shd w:val="clear" w:color="auto" w:fill="BEBEBE" w:themeFill="background1" w:themeFillShade="BF"/>
            <w:vAlign w:val="center"/>
          </w:tcPr>
          <w:p w14:paraId="73E91D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数量</w:t>
            </w:r>
          </w:p>
        </w:tc>
      </w:tr>
      <w:tr w14:paraId="72FF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5CF7B6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56" w:type="dxa"/>
            <w:vAlign w:val="center"/>
          </w:tcPr>
          <w:p w14:paraId="06F7A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防火墙</w:t>
            </w:r>
          </w:p>
        </w:tc>
        <w:tc>
          <w:tcPr>
            <w:tcW w:w="5707" w:type="dxa"/>
            <w:vAlign w:val="center"/>
          </w:tcPr>
          <w:p w14:paraId="1DF985FD">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机架式独立硬件设备，系统硬件为全内置封闭式结构，多核架构设计MIPS架构</w:t>
            </w:r>
            <w:r>
              <w:rPr>
                <w:rFonts w:hint="eastAsia" w:ascii="仿宋" w:hAnsi="仿宋" w:eastAsia="仿宋" w:cs="仿宋"/>
                <w:b/>
                <w:bCs/>
                <w:sz w:val="24"/>
                <w:szCs w:val="24"/>
              </w:rPr>
              <w:t>（需提供CPU型号、频率）</w:t>
            </w:r>
            <w:r>
              <w:rPr>
                <w:rFonts w:hint="eastAsia" w:ascii="仿宋" w:hAnsi="仿宋" w:eastAsia="仿宋" w:cs="仿宋"/>
                <w:sz w:val="24"/>
                <w:szCs w:val="24"/>
              </w:rPr>
              <w:t>，功能采用模块化结构设计，加电即可运行，启动过程无须人工干预；</w:t>
            </w:r>
          </w:p>
          <w:p w14:paraId="2100E47C">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最大功率</w:t>
            </w:r>
            <w:r>
              <w:rPr>
                <w:rFonts w:hint="eastAsia" w:ascii="仿宋" w:hAnsi="仿宋" w:eastAsia="仿宋" w:cs="仿宋"/>
                <w:sz w:val="24"/>
                <w:szCs w:val="24"/>
                <w:lang w:val="en-US" w:eastAsia="zh-CN"/>
              </w:rPr>
              <w:t>≥</w:t>
            </w:r>
            <w:r>
              <w:rPr>
                <w:rFonts w:hint="eastAsia" w:ascii="仿宋" w:hAnsi="仿宋" w:eastAsia="仿宋" w:cs="仿宋"/>
                <w:sz w:val="24"/>
                <w:szCs w:val="24"/>
              </w:rPr>
              <w:t>25W；内置硬件、软件Bypass机制，在设备流量异常、突增、异常断电、重启等情况时，可自动切换到Bypass状态，当设备恢复时，可自动切换回工作状态；</w:t>
            </w:r>
          </w:p>
          <w:p w14:paraId="42155B24">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标配接口千兆SFP光接口数量</w:t>
            </w:r>
            <w:r>
              <w:rPr>
                <w:rFonts w:hint="eastAsia" w:ascii="仿宋" w:hAnsi="仿宋" w:eastAsia="仿宋" w:cs="仿宋"/>
                <w:sz w:val="24"/>
                <w:szCs w:val="24"/>
                <w:lang w:val="en-US" w:eastAsia="zh-CN"/>
              </w:rPr>
              <w:t>≥</w:t>
            </w:r>
            <w:r>
              <w:rPr>
                <w:rFonts w:hint="eastAsia" w:ascii="仿宋" w:hAnsi="仿宋" w:eastAsia="仿宋" w:cs="仿宋"/>
                <w:sz w:val="24"/>
                <w:szCs w:val="24"/>
              </w:rPr>
              <w:t>4个</w:t>
            </w:r>
            <w:r>
              <w:rPr>
                <w:rFonts w:hint="eastAsia" w:ascii="仿宋" w:hAnsi="仿宋" w:eastAsia="仿宋" w:cs="仿宋"/>
                <w:sz w:val="24"/>
                <w:szCs w:val="24"/>
                <w:lang w:eastAsia="zh-CN"/>
              </w:rPr>
              <w:t>；</w:t>
            </w:r>
            <w:r>
              <w:rPr>
                <w:rFonts w:hint="eastAsia" w:ascii="仿宋" w:hAnsi="仿宋" w:eastAsia="仿宋" w:cs="仿宋"/>
                <w:sz w:val="24"/>
                <w:szCs w:val="24"/>
              </w:rPr>
              <w:t>10M/100M/1000M自适应电接口数量</w:t>
            </w:r>
            <w:r>
              <w:rPr>
                <w:rFonts w:hint="eastAsia" w:ascii="仿宋" w:hAnsi="仿宋" w:eastAsia="仿宋" w:cs="仿宋"/>
                <w:sz w:val="24"/>
                <w:szCs w:val="24"/>
                <w:lang w:val="en-US" w:eastAsia="zh-CN"/>
              </w:rPr>
              <w:t>≥</w:t>
            </w:r>
            <w:r>
              <w:rPr>
                <w:rFonts w:hint="eastAsia" w:ascii="仿宋" w:hAnsi="仿宋" w:eastAsia="仿宋" w:cs="仿宋"/>
                <w:sz w:val="24"/>
                <w:szCs w:val="24"/>
              </w:rPr>
              <w:t>14个；</w:t>
            </w:r>
          </w:p>
          <w:p w14:paraId="42251864">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接口无路由/交换/LAN/WAN等固化区分，均可作为二三层接口使用；</w:t>
            </w:r>
          </w:p>
          <w:p w14:paraId="7D36BC7F">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网络吞吐量不小于9Gbps，IPS、AV、上网行为、WAF等功能开开时应用过滤吞吐不小于500Mbps；</w:t>
            </w:r>
          </w:p>
          <w:p w14:paraId="27E95252">
            <w:pPr>
              <w:numPr>
                <w:ilvl w:val="0"/>
                <w:numId w:val="1"/>
              </w:numPr>
              <w:jc w:val="left"/>
              <w:rPr>
                <w:rFonts w:hint="eastAsia" w:ascii="仿宋" w:hAnsi="仿宋" w:eastAsia="仿宋" w:cs="仿宋"/>
                <w:b/>
                <w:bCs/>
                <w:sz w:val="24"/>
                <w:szCs w:val="24"/>
              </w:rPr>
            </w:pPr>
            <w:r>
              <w:rPr>
                <w:rFonts w:hint="eastAsia" w:ascii="仿宋" w:hAnsi="仿宋" w:eastAsia="仿宋" w:cs="仿宋"/>
                <w:sz w:val="24"/>
                <w:szCs w:val="24"/>
              </w:rPr>
              <w:t>支持接口虚拟化功能，使用VRF功能可以从系统层面隔离不同VRF组里的流量信息和路由信息，使用VRF功能可以作为MPLS组网里的MCE设备。不同VRF下的接口可以配置相同的IP地址；</w:t>
            </w:r>
            <w:r>
              <w:rPr>
                <w:rFonts w:hint="eastAsia" w:ascii="仿宋" w:hAnsi="仿宋" w:eastAsia="仿宋" w:cs="仿宋"/>
                <w:b/>
                <w:bCs/>
                <w:sz w:val="24"/>
                <w:szCs w:val="24"/>
              </w:rPr>
              <w:t>（提</w:t>
            </w:r>
            <w:r>
              <w:rPr>
                <w:rFonts w:hint="eastAsia" w:ascii="仿宋" w:hAnsi="仿宋" w:eastAsia="仿宋" w:cs="仿宋"/>
                <w:b/>
                <w:bCs/>
                <w:sz w:val="24"/>
                <w:szCs w:val="24"/>
                <w:highlight w:val="none"/>
              </w:rPr>
              <w:t>供原厂盖章</w:t>
            </w:r>
            <w:r>
              <w:rPr>
                <w:rFonts w:hint="eastAsia" w:ascii="仿宋" w:hAnsi="仿宋" w:eastAsia="仿宋" w:cs="仿宋"/>
                <w:b/>
                <w:bCs/>
                <w:sz w:val="24"/>
                <w:szCs w:val="24"/>
              </w:rPr>
              <w:t>截图证明）</w:t>
            </w:r>
          </w:p>
          <w:p w14:paraId="37FCDADE">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支持邮箱内容、IM内容、网页访问、外发文件、终端进程列表、USB读写拷贝审计，审计解决数据核心资产泄露问题</w:t>
            </w:r>
            <w:r>
              <w:rPr>
                <w:rFonts w:hint="eastAsia" w:ascii="仿宋" w:hAnsi="仿宋" w:eastAsia="仿宋" w:cs="仿宋"/>
                <w:b/>
                <w:bCs/>
                <w:sz w:val="24"/>
                <w:szCs w:val="24"/>
              </w:rPr>
              <w:t>（提供原厂盖章截图证明）</w:t>
            </w:r>
            <w:r>
              <w:rPr>
                <w:rFonts w:hint="eastAsia" w:ascii="仿宋" w:hAnsi="仿宋" w:eastAsia="仿宋" w:cs="仿宋"/>
                <w:sz w:val="24"/>
                <w:szCs w:val="24"/>
              </w:rPr>
              <w:t>；</w:t>
            </w:r>
          </w:p>
          <w:p w14:paraId="2E6D0BF5">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支持应用模型识别技术，可定义识别模式的宽松程度，有效和准确识别网络应用；检测引擎支持智能、快速和关闭识别模式</w:t>
            </w:r>
            <w:r>
              <w:rPr>
                <w:rFonts w:hint="eastAsia" w:ascii="仿宋" w:hAnsi="仿宋" w:eastAsia="仿宋" w:cs="仿宋"/>
                <w:b/>
                <w:bCs/>
                <w:sz w:val="24"/>
                <w:szCs w:val="24"/>
              </w:rPr>
              <w:t>（提供原厂盖章截图证明）</w:t>
            </w:r>
            <w:r>
              <w:rPr>
                <w:rFonts w:hint="eastAsia" w:ascii="仿宋" w:hAnsi="仿宋" w:eastAsia="仿宋" w:cs="仿宋"/>
                <w:sz w:val="24"/>
                <w:szCs w:val="24"/>
              </w:rPr>
              <w:t>；</w:t>
            </w:r>
          </w:p>
          <w:p w14:paraId="3B61D009">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支持路由模式、透明（网桥）模式、混合模式、旁路模式；旁路部署支持加入多个物理接口；部署模式切换无需重启设备；</w:t>
            </w:r>
          </w:p>
          <w:p w14:paraId="634F6786">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支持7元组的链路负载均衡策略，负载均衡接口支持接口和接口组，支持基于域名进行链路负载，负载算法包括但不少于优先级和权重，负载均衡接口支持pppoe、dhcp、tunnel、物理接口等三层接口；</w:t>
            </w:r>
          </w:p>
          <w:p w14:paraId="481C53A2">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支持IPv6/v4双栈，支持IPv6安全策略；支持IPv6静态路由，IPv6隧道，包括IPv6手工隧道、isatap、6to4等隧道模式；</w:t>
            </w:r>
          </w:p>
          <w:p w14:paraId="50BE0394">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支持自定义应用，包括但不限于数据包方向、协议、端口、IP地址、目标域名、关键字识别等维度，数据包方向包括任意、请求数据、响应数据，关键字匹配模式支持文本或正则表达式；</w:t>
            </w:r>
          </w:p>
          <w:p w14:paraId="50D1EE74">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支持在设备旁路部署时针对违规上网行为进行阻断过滤</w:t>
            </w:r>
            <w:r>
              <w:rPr>
                <w:rFonts w:hint="eastAsia" w:ascii="仿宋" w:hAnsi="仿宋" w:eastAsia="仿宋" w:cs="仿宋"/>
                <w:b/>
                <w:bCs/>
                <w:sz w:val="24"/>
                <w:szCs w:val="24"/>
              </w:rPr>
              <w:t>（提供原厂盖章截图证明）</w:t>
            </w:r>
          </w:p>
          <w:p w14:paraId="31538ADE">
            <w:pPr>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支持防网络共享行为，针对私接路由器和非法无线热点行为进行识别和阻断；</w:t>
            </w:r>
          </w:p>
          <w:p w14:paraId="165E7772">
            <w:pPr>
              <w:numPr>
                <w:ilvl w:val="0"/>
                <w:numId w:val="1"/>
              </w:numPr>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支持IPSec VPN、SSL VPN、Gre VPN，支持手机、平板电脑等移动终端VPN接入。</w:t>
            </w:r>
          </w:p>
        </w:tc>
        <w:tc>
          <w:tcPr>
            <w:tcW w:w="829" w:type="dxa"/>
            <w:vAlign w:val="center"/>
          </w:tcPr>
          <w:p w14:paraId="3A0F32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r>
      <w:tr w14:paraId="02E2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3E4101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56" w:type="dxa"/>
            <w:vAlign w:val="center"/>
          </w:tcPr>
          <w:p w14:paraId="200CDE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日志审计</w:t>
            </w:r>
          </w:p>
        </w:tc>
        <w:tc>
          <w:tcPr>
            <w:tcW w:w="5707" w:type="dxa"/>
            <w:vAlign w:val="center"/>
          </w:tcPr>
          <w:p w14:paraId="63CBA326">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1U标准机架式设备，硬盘：</w:t>
            </w:r>
            <w:r>
              <w:rPr>
                <w:rFonts w:hint="eastAsia" w:ascii="仿宋" w:hAnsi="仿宋" w:eastAsia="仿宋" w:cs="仿宋"/>
                <w:sz w:val="24"/>
                <w:szCs w:val="24"/>
                <w:lang w:val="en-US" w:eastAsia="zh-CN"/>
              </w:rPr>
              <w:t>≥</w:t>
            </w:r>
            <w:r>
              <w:rPr>
                <w:rFonts w:hint="eastAsia" w:ascii="仿宋" w:hAnsi="仿宋" w:eastAsia="仿宋" w:cs="仿宋"/>
                <w:sz w:val="24"/>
                <w:szCs w:val="24"/>
              </w:rPr>
              <w:t>4TB HDD，网口：6*千兆电口，单电源，自带50个日志源的审计；</w:t>
            </w:r>
          </w:p>
          <w:p w14:paraId="3C01B2EB">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提供统计分析功能，包括但不限于日志统计、审计统计、告警统计，能够对审计事件风险等级分布、审计事件风险趋势、审计事件类型占比、审计事件日志源占比等提供详细的图形化统计；</w:t>
            </w:r>
          </w:p>
          <w:p w14:paraId="358C3FA2">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提供日志查阅功能，支持日志合并查阅，可按照一定组合条件将日志进行合并查询，能够查阅事件分类、事件子分类、日志源、主机名、源IP、目的IP等详情；</w:t>
            </w:r>
          </w:p>
          <w:p w14:paraId="01E4D731">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支持审计策略配置，可根据审计对象配置审计策略，默认审计策略全部启用，包括但不限于数据库审计、登录审计、操作系统审计、账户审计等规则分类；</w:t>
            </w:r>
          </w:p>
          <w:p w14:paraId="52182F4D">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提供告警发送记录，能记录每一个告警信息的发送过程，内容包括告警方式、告警时间、告警内容、告警结果、操作等；</w:t>
            </w:r>
          </w:p>
          <w:p w14:paraId="769A4407">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提供通用网络配置，可提供不低于3种DNS服务配置，可同时配置IPv4和IPv6地址，并且能够检测出当前DNS服务的联通性是否正常，保证DNS服务的有效性；</w:t>
            </w:r>
          </w:p>
          <w:p w14:paraId="342F0E2E">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提供系统重启、系统关机、系统复位管理，可提供不低于2种系统复位方式，在复位过程中要求使用登录密码安全保护，避免产生误操作；</w:t>
            </w:r>
          </w:p>
          <w:p w14:paraId="4F5A988C">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支持用户双因子认证，保障用户的安全性</w:t>
            </w:r>
            <w:r>
              <w:rPr>
                <w:rFonts w:hint="eastAsia" w:ascii="仿宋" w:hAnsi="仿宋" w:eastAsia="仿宋" w:cs="仿宋"/>
                <w:b/>
                <w:bCs/>
                <w:sz w:val="24"/>
                <w:szCs w:val="24"/>
              </w:rPr>
              <w:t>（提供原厂盖章截图证明）</w:t>
            </w:r>
            <w:r>
              <w:rPr>
                <w:rFonts w:hint="eastAsia" w:ascii="仿宋" w:hAnsi="仿宋" w:eastAsia="仿宋" w:cs="仿宋"/>
                <w:sz w:val="24"/>
                <w:szCs w:val="24"/>
              </w:rPr>
              <w:t>；</w:t>
            </w:r>
          </w:p>
          <w:p w14:paraId="32E57A73">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支持产品自身防护功能，防止产品被恶意扫描，并锁定恶意IP，阻断恶意IP访问</w:t>
            </w:r>
            <w:r>
              <w:rPr>
                <w:rFonts w:hint="eastAsia" w:ascii="仿宋" w:hAnsi="仿宋" w:eastAsia="仿宋" w:cs="仿宋"/>
                <w:b/>
                <w:bCs/>
                <w:sz w:val="24"/>
                <w:szCs w:val="24"/>
              </w:rPr>
              <w:t>（提供原厂盖章截图证明）</w:t>
            </w:r>
            <w:r>
              <w:rPr>
                <w:rFonts w:hint="eastAsia" w:ascii="仿宋" w:hAnsi="仿宋" w:eastAsia="仿宋" w:cs="仿宋"/>
                <w:sz w:val="24"/>
                <w:szCs w:val="24"/>
              </w:rPr>
              <w:t>；</w:t>
            </w:r>
          </w:p>
          <w:p w14:paraId="366CCD81">
            <w:pPr>
              <w:numPr>
                <w:ilvl w:val="0"/>
                <w:numId w:val="2"/>
              </w:numPr>
              <w:jc w:val="left"/>
              <w:rPr>
                <w:rFonts w:hint="eastAsia" w:ascii="仿宋" w:hAnsi="仿宋" w:eastAsia="仿宋" w:cs="仿宋"/>
                <w:sz w:val="24"/>
                <w:szCs w:val="24"/>
              </w:rPr>
            </w:pPr>
            <w:r>
              <w:rPr>
                <w:rFonts w:hint="eastAsia" w:ascii="仿宋" w:hAnsi="仿宋" w:eastAsia="仿宋" w:cs="仿宋"/>
                <w:sz w:val="24"/>
                <w:szCs w:val="24"/>
              </w:rPr>
              <w:t>提供配置备份和恢复，可提供配置文件本地备份，可详细记录当前备份配置文件的时间、版本、文件大小，可选择对已备份的配置文件进行下载和还原，并且支持对配置文件进行导入操作，在导入过程中要求使用文件密码安全保护，避免产生误操作</w:t>
            </w:r>
            <w:r>
              <w:rPr>
                <w:rFonts w:hint="eastAsia" w:ascii="仿宋" w:hAnsi="仿宋" w:eastAsia="仿宋" w:cs="仿宋"/>
                <w:b/>
                <w:bCs/>
                <w:sz w:val="24"/>
                <w:szCs w:val="24"/>
              </w:rPr>
              <w:t>（提供原厂盖章截图证明）</w:t>
            </w:r>
            <w:r>
              <w:rPr>
                <w:rFonts w:hint="eastAsia" w:ascii="仿宋" w:hAnsi="仿宋" w:eastAsia="仿宋" w:cs="仿宋"/>
                <w:sz w:val="24"/>
                <w:szCs w:val="24"/>
              </w:rPr>
              <w:t>；</w:t>
            </w:r>
          </w:p>
          <w:p w14:paraId="424DDAD1">
            <w:pPr>
              <w:numPr>
                <w:ilvl w:val="0"/>
                <w:numId w:val="2"/>
              </w:numPr>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提供存储管理，可提供新加入磁盘发现，支持识别磁盘类型、序列号、厂家、磁盘状态、磁盘大小，并能够将磁盘加入到当前数据存储中，同时具备数据存储切换能力，将日志数据切换至大容量存储，对数据存储进行动态扩容</w:t>
            </w:r>
            <w:r>
              <w:rPr>
                <w:rFonts w:hint="eastAsia" w:ascii="仿宋" w:hAnsi="仿宋" w:eastAsia="仿宋" w:cs="仿宋"/>
                <w:b/>
                <w:bCs/>
                <w:sz w:val="24"/>
                <w:szCs w:val="24"/>
              </w:rPr>
              <w:t>（提供原厂盖章截图证明）</w:t>
            </w:r>
            <w:r>
              <w:rPr>
                <w:rFonts w:hint="eastAsia" w:ascii="仿宋" w:hAnsi="仿宋" w:eastAsia="仿宋" w:cs="仿宋"/>
                <w:sz w:val="24"/>
                <w:szCs w:val="24"/>
                <w:lang w:eastAsia="zh-CN"/>
              </w:rPr>
              <w:t>。</w:t>
            </w:r>
          </w:p>
        </w:tc>
        <w:tc>
          <w:tcPr>
            <w:tcW w:w="829" w:type="dxa"/>
            <w:vAlign w:val="center"/>
          </w:tcPr>
          <w:p w14:paraId="00AA16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14:paraId="6D9C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0D3395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56" w:type="dxa"/>
            <w:vAlign w:val="center"/>
          </w:tcPr>
          <w:p w14:paraId="399873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威胁发现工具</w:t>
            </w:r>
          </w:p>
        </w:tc>
        <w:tc>
          <w:tcPr>
            <w:tcW w:w="5707" w:type="dxa"/>
            <w:vAlign w:val="center"/>
          </w:tcPr>
          <w:p w14:paraId="7C07EE85">
            <w:pPr>
              <w:numPr>
                <w:ilvl w:val="0"/>
                <w:numId w:val="3"/>
              </w:numPr>
              <w:jc w:val="left"/>
              <w:rPr>
                <w:rFonts w:hint="eastAsia" w:ascii="仿宋" w:hAnsi="仿宋" w:eastAsia="仿宋" w:cs="仿宋"/>
                <w:sz w:val="24"/>
                <w:szCs w:val="24"/>
              </w:rPr>
            </w:pPr>
            <w:r>
              <w:rPr>
                <w:rFonts w:hint="eastAsia" w:ascii="仿宋" w:hAnsi="仿宋" w:eastAsia="仿宋" w:cs="仿宋"/>
                <w:sz w:val="24"/>
                <w:szCs w:val="24"/>
              </w:rPr>
              <w:t>服务工具需具备资产梳理功能</w:t>
            </w:r>
            <w:r>
              <w:rPr>
                <w:rFonts w:hint="eastAsia" w:ascii="仿宋" w:hAnsi="仿宋" w:eastAsia="仿宋" w:cs="仿宋"/>
                <w:b/>
                <w:bCs/>
                <w:sz w:val="24"/>
                <w:szCs w:val="24"/>
              </w:rPr>
              <w:t>（提供原厂盖章截图证明）</w:t>
            </w:r>
            <w:r>
              <w:rPr>
                <w:rFonts w:hint="eastAsia" w:ascii="仿宋" w:hAnsi="仿宋" w:eastAsia="仿宋" w:cs="仿宋"/>
                <w:sz w:val="24"/>
                <w:szCs w:val="24"/>
              </w:rPr>
              <w:t>；</w:t>
            </w:r>
          </w:p>
          <w:p w14:paraId="0E23E439">
            <w:pPr>
              <w:numPr>
                <w:ilvl w:val="0"/>
                <w:numId w:val="3"/>
              </w:numPr>
              <w:jc w:val="left"/>
              <w:rPr>
                <w:rFonts w:hint="eastAsia" w:ascii="仿宋" w:hAnsi="仿宋" w:eastAsia="仿宋" w:cs="仿宋"/>
                <w:sz w:val="24"/>
                <w:szCs w:val="24"/>
              </w:rPr>
            </w:pPr>
            <w:r>
              <w:rPr>
                <w:rFonts w:hint="eastAsia" w:ascii="仿宋" w:hAnsi="仿宋" w:eastAsia="仿宋" w:cs="仿宋"/>
                <w:sz w:val="24"/>
                <w:szCs w:val="24"/>
              </w:rPr>
              <w:t>可主动识别内网资产清单并对访问关系进行梳理，并生成业务流拓扑</w:t>
            </w:r>
            <w:r>
              <w:rPr>
                <w:rFonts w:hint="eastAsia" w:ascii="仿宋" w:hAnsi="仿宋" w:eastAsia="仿宋" w:cs="仿宋"/>
                <w:b/>
                <w:bCs/>
                <w:sz w:val="24"/>
                <w:szCs w:val="24"/>
              </w:rPr>
              <w:t>（提供原厂盖章截图证明）</w:t>
            </w:r>
            <w:r>
              <w:rPr>
                <w:rFonts w:hint="eastAsia" w:ascii="仿宋" w:hAnsi="仿宋" w:eastAsia="仿宋" w:cs="仿宋"/>
                <w:sz w:val="24"/>
                <w:szCs w:val="24"/>
              </w:rPr>
              <w:t>；</w:t>
            </w:r>
          </w:p>
          <w:p w14:paraId="77DAD7AE">
            <w:pPr>
              <w:numPr>
                <w:ilvl w:val="0"/>
                <w:numId w:val="3"/>
              </w:numPr>
              <w:jc w:val="left"/>
              <w:rPr>
                <w:rFonts w:hint="eastAsia" w:ascii="仿宋" w:hAnsi="仿宋" w:eastAsia="仿宋" w:cs="仿宋"/>
                <w:sz w:val="24"/>
                <w:szCs w:val="24"/>
              </w:rPr>
            </w:pPr>
            <w:r>
              <w:rPr>
                <w:rFonts w:hint="eastAsia" w:ascii="仿宋" w:hAnsi="仿宋" w:eastAsia="仿宋" w:cs="仿宋"/>
                <w:sz w:val="24"/>
                <w:szCs w:val="24"/>
              </w:rPr>
              <w:t>工具可在4个VLAN中释放至少128个蜜罐</w:t>
            </w:r>
            <w:r>
              <w:rPr>
                <w:rFonts w:hint="eastAsia" w:ascii="仿宋" w:hAnsi="仿宋" w:eastAsia="仿宋" w:cs="仿宋"/>
                <w:b/>
                <w:bCs/>
                <w:sz w:val="24"/>
                <w:szCs w:val="24"/>
              </w:rPr>
              <w:t>（提供原厂盖章截图证明）</w:t>
            </w:r>
            <w:r>
              <w:rPr>
                <w:rFonts w:hint="eastAsia" w:ascii="仿宋" w:hAnsi="仿宋" w:eastAsia="仿宋" w:cs="仿宋"/>
                <w:sz w:val="24"/>
                <w:szCs w:val="24"/>
              </w:rPr>
              <w:t>；</w:t>
            </w:r>
          </w:p>
          <w:p w14:paraId="4D1C677E">
            <w:pPr>
              <w:numPr>
                <w:ilvl w:val="0"/>
                <w:numId w:val="3"/>
              </w:numPr>
              <w:jc w:val="left"/>
              <w:rPr>
                <w:rFonts w:hint="eastAsia" w:ascii="仿宋" w:hAnsi="仿宋" w:eastAsia="仿宋" w:cs="仿宋"/>
                <w:sz w:val="24"/>
                <w:szCs w:val="24"/>
              </w:rPr>
            </w:pPr>
            <w:r>
              <w:rPr>
                <w:rFonts w:hint="eastAsia" w:ascii="仿宋" w:hAnsi="仿宋" w:eastAsia="仿宋" w:cs="仿宋"/>
                <w:sz w:val="24"/>
                <w:szCs w:val="24"/>
              </w:rPr>
              <w:t>蜜罐类型支持只创建IP与端口的四层蜜罐，也支持可高交互式蜜罐；</w:t>
            </w:r>
          </w:p>
          <w:p w14:paraId="68BECDED">
            <w:pPr>
              <w:numPr>
                <w:ilvl w:val="0"/>
                <w:numId w:val="3"/>
              </w:numPr>
              <w:jc w:val="left"/>
              <w:rPr>
                <w:rFonts w:hint="eastAsia" w:ascii="仿宋" w:hAnsi="仿宋" w:eastAsia="仿宋" w:cs="仿宋"/>
                <w:sz w:val="24"/>
                <w:szCs w:val="24"/>
              </w:rPr>
            </w:pPr>
            <w:r>
              <w:rPr>
                <w:rFonts w:hint="eastAsia" w:ascii="仿宋" w:hAnsi="仿宋" w:eastAsia="仿宋" w:cs="仿宋"/>
                <w:sz w:val="24"/>
                <w:szCs w:val="24"/>
              </w:rPr>
              <w:t>对现有网络拓扑进行深度评估，找出潜在的单点故障、带宽瓶颈等问题。根据评估结果，调整网络架构，合理划分 VLAN，优化网络流量走向，提升网络的可靠性与可用性</w:t>
            </w:r>
            <w:r>
              <w:rPr>
                <w:rFonts w:hint="eastAsia" w:ascii="仿宋" w:hAnsi="仿宋" w:eastAsia="仿宋" w:cs="仿宋"/>
                <w:sz w:val="24"/>
                <w:szCs w:val="24"/>
                <w:lang w:eastAsia="zh-CN"/>
              </w:rPr>
              <w:t>。</w:t>
            </w:r>
          </w:p>
          <w:p w14:paraId="7B2D3360">
            <w:pPr>
              <w:numPr>
                <w:ilvl w:val="0"/>
                <w:numId w:val="3"/>
              </w:numPr>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完成大楼整体无线网络改造，预计材料包含：一套万兆接口无线控制器；49只放装式无线AP（WIFI6，2+2双频）；4只面板式无线AP（WIFI6，2+2双频）；3台24口POE交换机；标准42U网络机柜一台；网线、光纤等辅材若干，并包含施工。</w:t>
            </w:r>
          </w:p>
        </w:tc>
        <w:tc>
          <w:tcPr>
            <w:tcW w:w="829" w:type="dxa"/>
            <w:vAlign w:val="center"/>
          </w:tcPr>
          <w:p w14:paraId="18CE4A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14:paraId="127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46C051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256" w:type="dxa"/>
            <w:vAlign w:val="center"/>
          </w:tcPr>
          <w:p w14:paraId="7690B4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专用翻墙行为监测产品</w:t>
            </w:r>
          </w:p>
        </w:tc>
        <w:tc>
          <w:tcPr>
            <w:tcW w:w="5707" w:type="dxa"/>
            <w:vAlign w:val="center"/>
          </w:tcPr>
          <w:p w14:paraId="0490FF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1、2U机架式设备，配置≥1个console口， ≥2个USB接口， ≥8个千兆电口，≥2个千兆光口， ≥2个万兆光口， 支持≥1对电口Bypass，冗余电源，≥2个扩展槽位,应用层监测带宽：≥600M， 整机网络吞吐量：≥3G；</w:t>
            </w:r>
          </w:p>
          <w:p w14:paraId="20133E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2、支持路由模式，旁路模式、网桥模式、混合模式部署，对可疑翻墙终端实时阻断网络连接；</w:t>
            </w:r>
          </w:p>
          <w:p w14:paraId="079D4C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3、支持http代理、https透明代理、全透明代理、二级代理、DNS代理、dns缓存；</w:t>
            </w:r>
          </w:p>
          <w:p w14:paraId="256EA9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4、对于多IP 的DNS解析，支持根据用户的来路而做出智能化的处理，然后把智能化判断后的 IP 返回给用户，而不需要用户进行选择，以此精准发现并阻断内网中对违规域名的访问；</w:t>
            </w:r>
          </w:p>
          <w:p w14:paraId="4EA503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5、支持IPv4和IPv6在一个系统版本内，同时支持V4和V6网络；支持接口配置ipv6地址、支持ipv6地址簿、支持ipv6策略路由、NAT64、NAT66等相关配置；</w:t>
            </w:r>
          </w:p>
          <w:p w14:paraId="1A29C5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6、支持通过识别翻墙软件流量特征，对翻墙软件进行审计和管控，从而实现审计和管控上网用户的翻墙行为，内置翻墙软件特征支持30种以上；</w:t>
            </w:r>
          </w:p>
          <w:p w14:paraId="2B4606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7、支持通过资产扫描，对网络中的所有资产进行识别和分类，对可疑的翻墙终端快速定位；</w:t>
            </w:r>
          </w:p>
          <w:p w14:paraId="11329D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8、支持通过 ID 磁卡识别用户身份，并可对用户进行流量控制、访问控制、行为审计等</w:t>
            </w:r>
            <w:r>
              <w:rPr>
                <w:rFonts w:hint="eastAsia" w:ascii="仿宋" w:hAnsi="仿宋" w:eastAsia="仿宋" w:cs="仿宋"/>
                <w:b/>
                <w:bCs/>
                <w:sz w:val="24"/>
                <w:szCs w:val="24"/>
                <w:vertAlign w:val="baseline"/>
                <w:lang w:eastAsia="zh-CN"/>
              </w:rPr>
              <w:t>（提供能够证明上述功能的具备 CNAS 或 CMA 标识的检测报告扫描件，并加</w:t>
            </w:r>
            <w:r>
              <w:rPr>
                <w:rFonts w:hint="eastAsia" w:ascii="仿宋" w:hAnsi="仿宋" w:eastAsia="仿宋" w:cs="仿宋"/>
                <w:b/>
                <w:bCs/>
                <w:sz w:val="24"/>
                <w:szCs w:val="24"/>
                <w:highlight w:val="none"/>
                <w:vertAlign w:val="baseline"/>
                <w:lang w:eastAsia="zh-CN"/>
              </w:rPr>
              <w:t>制造商公章佐证，并保留</w:t>
            </w:r>
            <w:r>
              <w:rPr>
                <w:rFonts w:hint="eastAsia" w:ascii="仿宋" w:hAnsi="仿宋" w:eastAsia="仿宋" w:cs="仿宋"/>
                <w:b/>
                <w:bCs/>
                <w:sz w:val="24"/>
                <w:szCs w:val="24"/>
                <w:vertAlign w:val="baseline"/>
                <w:lang w:eastAsia="zh-CN"/>
              </w:rPr>
              <w:t>中标后测试功能的权利）</w:t>
            </w:r>
          </w:p>
          <w:p w14:paraId="3E3D6D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9、支持对 TCP、UDP、ICMP、TCP SYN 超时时间，无回应 UDP 超时时间设置并能支持按照新建会话与总会话比例设置老化开始或者结束</w:t>
            </w:r>
            <w:r>
              <w:rPr>
                <w:rFonts w:hint="eastAsia" w:ascii="仿宋" w:hAnsi="仿宋" w:eastAsia="仿宋" w:cs="仿宋"/>
                <w:b/>
                <w:bCs/>
                <w:sz w:val="24"/>
                <w:szCs w:val="24"/>
                <w:vertAlign w:val="baseline"/>
                <w:lang w:eastAsia="zh-CN"/>
              </w:rPr>
              <w:t>（提供能够证明上述功能的具备 CNAS 或 CMA 标识的检测报告扫描件，并加制造商公章佐证，并保留中标后测试功能的权利）</w:t>
            </w:r>
          </w:p>
        </w:tc>
        <w:tc>
          <w:tcPr>
            <w:tcW w:w="829" w:type="dxa"/>
            <w:vAlign w:val="center"/>
          </w:tcPr>
          <w:p w14:paraId="370095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14:paraId="38FD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17DC9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256" w:type="dxa"/>
            <w:vAlign w:val="center"/>
          </w:tcPr>
          <w:p w14:paraId="2C559F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网络安全管理及制度咨询服务</w:t>
            </w:r>
          </w:p>
        </w:tc>
        <w:tc>
          <w:tcPr>
            <w:tcW w:w="5707" w:type="dxa"/>
            <w:vAlign w:val="center"/>
          </w:tcPr>
          <w:p w14:paraId="2E8A2B9B">
            <w:pPr>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结合《江西省卫生健康系统落实党委(党组)网络安全工作责任制评价内容和标准(试行)》的相关要求，梳理单位现有的网络安全管理制度，形成一套符合单位实际情况且满足合规性要求的制度体系材料。</w:t>
            </w:r>
          </w:p>
        </w:tc>
        <w:tc>
          <w:tcPr>
            <w:tcW w:w="829" w:type="dxa"/>
            <w:vAlign w:val="center"/>
          </w:tcPr>
          <w:p w14:paraId="0B8050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14:paraId="6AE5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41D8AF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256" w:type="dxa"/>
            <w:vAlign w:val="center"/>
          </w:tcPr>
          <w:p w14:paraId="3674CF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翻墙行为应急处置</w:t>
            </w:r>
          </w:p>
        </w:tc>
        <w:tc>
          <w:tcPr>
            <w:tcW w:w="5707" w:type="dxa"/>
            <w:vAlign w:val="center"/>
          </w:tcPr>
          <w:p w14:paraId="6BFF7CFC">
            <w:pPr>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基于专用加密流量监测产品和检测分析工具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至少提供200套</w:t>
            </w:r>
            <w:r>
              <w:rPr>
                <w:rFonts w:hint="eastAsia" w:ascii="仿宋" w:hAnsi="仿宋" w:eastAsia="仿宋" w:cs="仿宋"/>
                <w:sz w:val="24"/>
                <w:szCs w:val="24"/>
              </w:rPr>
              <w:t>，</w:t>
            </w:r>
            <w:r>
              <w:rPr>
                <w:rFonts w:hint="eastAsia" w:ascii="仿宋" w:hAnsi="仿宋" w:eastAsia="仿宋" w:cs="仿宋"/>
                <w:sz w:val="24"/>
                <w:szCs w:val="24"/>
                <w:lang w:val="en-US" w:eastAsia="zh-CN"/>
              </w:rPr>
              <w:t>每套工具软件独立封闭）</w:t>
            </w:r>
            <w:bookmarkStart w:id="2" w:name="_GoBack"/>
            <w:bookmarkEnd w:id="2"/>
            <w:r>
              <w:rPr>
                <w:rFonts w:hint="eastAsia" w:ascii="仿宋" w:hAnsi="仿宋" w:eastAsia="仿宋" w:cs="仿宋"/>
                <w:sz w:val="24"/>
                <w:szCs w:val="24"/>
              </w:rPr>
              <w:t>提供人员配合针对异常跨境访问行为进行响应支持，及时发现、定位并配合进行处置服务，同时就异常跨境访问行为配合用户制定相应管理制度。</w:t>
            </w:r>
          </w:p>
        </w:tc>
        <w:tc>
          <w:tcPr>
            <w:tcW w:w="829" w:type="dxa"/>
            <w:vAlign w:val="center"/>
          </w:tcPr>
          <w:p w14:paraId="19EE51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14:paraId="0D89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613B41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256" w:type="dxa"/>
            <w:vAlign w:val="center"/>
          </w:tcPr>
          <w:p w14:paraId="289A36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val="0"/>
                <w:bCs/>
                <w:sz w:val="24"/>
                <w:szCs w:val="24"/>
              </w:rPr>
              <w:t>售后服务</w:t>
            </w:r>
          </w:p>
        </w:tc>
        <w:tc>
          <w:tcPr>
            <w:tcW w:w="5707" w:type="dxa"/>
            <w:vAlign w:val="center"/>
          </w:tcPr>
          <w:p w14:paraId="16CBBCC9">
            <w:pPr>
              <w:jc w:val="left"/>
              <w:rPr>
                <w:rFonts w:hint="eastAsia" w:ascii="仿宋" w:hAnsi="仿宋" w:eastAsia="仿宋" w:cs="仿宋"/>
                <w:sz w:val="24"/>
                <w:szCs w:val="24"/>
              </w:rPr>
            </w:pPr>
            <w:r>
              <w:rPr>
                <w:rFonts w:hint="eastAsia" w:ascii="仿宋" w:hAnsi="仿宋" w:eastAsia="仿宋" w:cs="仿宋"/>
                <w:sz w:val="24"/>
                <w:szCs w:val="24"/>
              </w:rPr>
              <w:t>1.服务期限：</w:t>
            </w:r>
          </w:p>
          <w:p w14:paraId="6AFB6F5D">
            <w:pPr>
              <w:jc w:val="left"/>
              <w:rPr>
                <w:rFonts w:hint="eastAsia" w:ascii="仿宋" w:hAnsi="仿宋" w:eastAsia="仿宋" w:cs="仿宋"/>
                <w:sz w:val="24"/>
                <w:szCs w:val="24"/>
              </w:rPr>
            </w:pPr>
            <w:r>
              <w:rPr>
                <w:rFonts w:hint="eastAsia" w:ascii="仿宋" w:hAnsi="仿宋" w:eastAsia="仿宋" w:cs="仿宋"/>
                <w:sz w:val="24"/>
                <w:szCs w:val="24"/>
              </w:rPr>
              <w:t>提供自验收合格之日起3年免费软硬件升级及售后服务。</w:t>
            </w:r>
          </w:p>
          <w:p w14:paraId="352A004A">
            <w:pPr>
              <w:jc w:val="left"/>
              <w:rPr>
                <w:rFonts w:hint="eastAsia" w:ascii="仿宋" w:hAnsi="仿宋" w:eastAsia="仿宋" w:cs="仿宋"/>
                <w:sz w:val="24"/>
                <w:szCs w:val="24"/>
              </w:rPr>
            </w:pPr>
            <w:r>
              <w:rPr>
                <w:rFonts w:hint="eastAsia" w:ascii="仿宋" w:hAnsi="仿宋" w:eastAsia="仿宋" w:cs="仿宋"/>
                <w:sz w:val="24"/>
                <w:szCs w:val="24"/>
              </w:rPr>
              <w:t>2. 现场服务承诺：</w:t>
            </w:r>
          </w:p>
          <w:p w14:paraId="0346FD33">
            <w:pPr>
              <w:jc w:val="left"/>
              <w:rPr>
                <w:rFonts w:hint="eastAsia" w:ascii="仿宋" w:hAnsi="仿宋" w:eastAsia="仿宋" w:cs="仿宋"/>
                <w:sz w:val="24"/>
                <w:szCs w:val="24"/>
                <w:lang w:eastAsia="zh-CN"/>
              </w:rPr>
            </w:pPr>
            <w:r>
              <w:rPr>
                <w:rFonts w:hint="eastAsia" w:ascii="仿宋" w:hAnsi="仿宋" w:eastAsia="仿宋" w:cs="仿宋"/>
                <w:sz w:val="24"/>
                <w:szCs w:val="24"/>
              </w:rPr>
              <w:t>每月至少一次预防性巡检维护（包含设备清洁、日志分析、配置优化等）</w:t>
            </w:r>
            <w:r>
              <w:rPr>
                <w:rFonts w:hint="eastAsia" w:ascii="仿宋" w:hAnsi="仿宋" w:eastAsia="仿宋" w:cs="仿宋"/>
                <w:sz w:val="24"/>
                <w:szCs w:val="24"/>
                <w:lang w:eastAsia="zh-CN"/>
              </w:rPr>
              <w:t>；</w:t>
            </w:r>
          </w:p>
          <w:p w14:paraId="0ECC9893">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中标后</w:t>
            </w:r>
            <w:r>
              <w:rPr>
                <w:rFonts w:hint="eastAsia" w:ascii="仿宋" w:hAnsi="仿宋" w:eastAsia="仿宋" w:cs="仿宋"/>
                <w:sz w:val="24"/>
                <w:szCs w:val="24"/>
              </w:rPr>
              <w:t>建立本地备件库，储备不低于设备总值10%的常用备件</w:t>
            </w:r>
            <w:r>
              <w:rPr>
                <w:rFonts w:hint="eastAsia" w:ascii="仿宋" w:hAnsi="仿宋" w:eastAsia="仿宋" w:cs="仿宋"/>
                <w:sz w:val="24"/>
                <w:szCs w:val="24"/>
                <w:lang w:eastAsia="zh-CN"/>
              </w:rPr>
              <w:t>；</w:t>
            </w:r>
          </w:p>
          <w:p w14:paraId="3C4F46C8">
            <w:pPr>
              <w:jc w:val="left"/>
              <w:rPr>
                <w:rFonts w:hint="eastAsia" w:ascii="仿宋" w:hAnsi="仿宋" w:eastAsia="仿宋" w:cs="仿宋"/>
                <w:sz w:val="24"/>
                <w:szCs w:val="24"/>
                <w:lang w:eastAsia="zh-CN"/>
              </w:rPr>
            </w:pPr>
            <w:r>
              <w:rPr>
                <w:rFonts w:hint="eastAsia" w:ascii="仿宋" w:hAnsi="仿宋" w:eastAsia="仿宋" w:cs="仿宋"/>
                <w:sz w:val="24"/>
                <w:szCs w:val="24"/>
              </w:rPr>
              <w:t>故障响应：7×24小时技术支持，2小时内工程师抵达现场（主城区）</w:t>
            </w:r>
            <w:r>
              <w:rPr>
                <w:rFonts w:hint="eastAsia" w:ascii="仿宋" w:hAnsi="仿宋" w:eastAsia="仿宋" w:cs="仿宋"/>
                <w:sz w:val="24"/>
                <w:szCs w:val="24"/>
                <w:lang w:eastAsia="zh-CN"/>
              </w:rPr>
              <w:t>；</w:t>
            </w:r>
          </w:p>
          <w:p w14:paraId="506A136A">
            <w:pPr>
              <w:jc w:val="left"/>
              <w:rPr>
                <w:rFonts w:hint="eastAsia" w:ascii="仿宋" w:hAnsi="仿宋" w:eastAsia="仿宋" w:cs="仿宋"/>
                <w:sz w:val="24"/>
                <w:szCs w:val="24"/>
                <w:lang w:eastAsia="zh-CN"/>
              </w:rPr>
            </w:pPr>
            <w:r>
              <w:rPr>
                <w:rFonts w:hint="eastAsia" w:ascii="仿宋" w:hAnsi="仿宋" w:eastAsia="仿宋" w:cs="仿宋"/>
                <w:sz w:val="24"/>
                <w:szCs w:val="24"/>
              </w:rPr>
              <w:t>重大问题提供"先替换后维修"服务，故障设备48小时内修复</w:t>
            </w:r>
            <w:r>
              <w:rPr>
                <w:rFonts w:hint="eastAsia" w:ascii="仿宋" w:hAnsi="仿宋" w:eastAsia="仿宋" w:cs="仿宋"/>
                <w:sz w:val="24"/>
                <w:szCs w:val="24"/>
                <w:lang w:eastAsia="zh-CN"/>
              </w:rPr>
              <w:t>。</w:t>
            </w:r>
          </w:p>
          <w:p w14:paraId="5D407944">
            <w:pPr>
              <w:jc w:val="left"/>
              <w:rPr>
                <w:rFonts w:hint="eastAsia" w:ascii="仿宋" w:hAnsi="仿宋" w:eastAsia="仿宋" w:cs="仿宋"/>
                <w:sz w:val="24"/>
                <w:szCs w:val="24"/>
              </w:rPr>
            </w:pPr>
            <w:r>
              <w:rPr>
                <w:rFonts w:hint="eastAsia" w:ascii="仿宋" w:hAnsi="仿宋" w:eastAsia="仿宋" w:cs="仿宋"/>
                <w:sz w:val="24"/>
                <w:szCs w:val="24"/>
              </w:rPr>
              <w:t>3.多厂商协作机制</w:t>
            </w:r>
          </w:p>
          <w:p w14:paraId="7E9AF41F">
            <w:pPr>
              <w:jc w:val="left"/>
              <w:rPr>
                <w:rFonts w:hint="eastAsia" w:ascii="仿宋" w:hAnsi="仿宋" w:eastAsia="仿宋" w:cs="仿宋"/>
                <w:sz w:val="24"/>
                <w:szCs w:val="24"/>
                <w:lang w:eastAsia="zh-CN"/>
              </w:rPr>
            </w:pPr>
            <w:r>
              <w:rPr>
                <w:rFonts w:hint="eastAsia" w:ascii="仿宋" w:hAnsi="仿宋" w:eastAsia="仿宋" w:cs="仿宋"/>
                <w:sz w:val="24"/>
                <w:szCs w:val="24"/>
              </w:rPr>
              <w:t>设立统一技术接口人，由中标方指定项目经理全权对接信息科</w:t>
            </w:r>
            <w:r>
              <w:rPr>
                <w:rFonts w:hint="eastAsia" w:ascii="仿宋" w:hAnsi="仿宋" w:eastAsia="仿宋" w:cs="仿宋"/>
                <w:sz w:val="24"/>
                <w:szCs w:val="24"/>
                <w:lang w:eastAsia="zh-CN"/>
              </w:rPr>
              <w:t>；</w:t>
            </w:r>
          </w:p>
          <w:p w14:paraId="108F3FC3">
            <w:pPr>
              <w:jc w:val="left"/>
              <w:rPr>
                <w:rFonts w:hint="eastAsia" w:ascii="仿宋" w:hAnsi="仿宋" w:eastAsia="仿宋" w:cs="仿宋"/>
                <w:sz w:val="24"/>
                <w:szCs w:val="24"/>
                <w:lang w:eastAsia="zh-CN"/>
              </w:rPr>
            </w:pPr>
            <w:r>
              <w:rPr>
                <w:rFonts w:hint="eastAsia" w:ascii="仿宋" w:hAnsi="仿宋" w:eastAsia="仿宋" w:cs="仿宋"/>
                <w:sz w:val="24"/>
                <w:szCs w:val="24"/>
              </w:rPr>
              <w:t>当故障涉及多系统时，需主动配合其他厂商进行联合诊断（提供系统日志、接口参数等）</w:t>
            </w:r>
            <w:r>
              <w:rPr>
                <w:rFonts w:hint="eastAsia" w:ascii="仿宋" w:hAnsi="仿宋" w:eastAsia="仿宋" w:cs="仿宋"/>
                <w:sz w:val="24"/>
                <w:szCs w:val="24"/>
                <w:lang w:eastAsia="zh-CN"/>
              </w:rPr>
              <w:t>；</w:t>
            </w:r>
          </w:p>
          <w:p w14:paraId="63B181D5">
            <w:pPr>
              <w:jc w:val="left"/>
              <w:rPr>
                <w:rFonts w:hint="eastAsia" w:ascii="仿宋" w:hAnsi="仿宋" w:eastAsia="仿宋" w:cs="仿宋"/>
                <w:sz w:val="24"/>
                <w:szCs w:val="24"/>
                <w:lang w:eastAsia="zh-CN"/>
              </w:rPr>
            </w:pPr>
            <w:r>
              <w:rPr>
                <w:rFonts w:hint="eastAsia" w:ascii="仿宋" w:hAnsi="仿宋" w:eastAsia="仿宋" w:cs="仿宋"/>
                <w:sz w:val="24"/>
                <w:szCs w:val="24"/>
              </w:rPr>
              <w:t>禁止以"其他厂商责任"为由拒绝初步处置，需共同完成初步故障隔离</w:t>
            </w:r>
            <w:r>
              <w:rPr>
                <w:rFonts w:hint="eastAsia" w:ascii="仿宋" w:hAnsi="仿宋" w:eastAsia="仿宋" w:cs="仿宋"/>
                <w:sz w:val="24"/>
                <w:szCs w:val="24"/>
                <w:lang w:eastAsia="zh-CN"/>
              </w:rPr>
              <w:t>；</w:t>
            </w:r>
          </w:p>
          <w:p w14:paraId="5DB86A52">
            <w:pPr>
              <w:jc w:val="left"/>
              <w:rPr>
                <w:rFonts w:hint="eastAsia" w:ascii="仿宋" w:hAnsi="仿宋" w:eastAsia="仿宋" w:cs="仿宋"/>
                <w:sz w:val="24"/>
                <w:szCs w:val="24"/>
                <w:lang w:eastAsia="zh-CN"/>
              </w:rPr>
            </w:pPr>
            <w:r>
              <w:rPr>
                <w:rFonts w:hint="eastAsia" w:ascii="仿宋" w:hAnsi="仿宋" w:eastAsia="仿宋" w:cs="仿宋"/>
                <w:sz w:val="24"/>
                <w:szCs w:val="24"/>
              </w:rPr>
              <w:t>每季度参与由信息科组织的多厂商运维协调会</w:t>
            </w:r>
            <w:r>
              <w:rPr>
                <w:rFonts w:hint="eastAsia" w:ascii="仿宋" w:hAnsi="仿宋" w:eastAsia="仿宋" w:cs="仿宋"/>
                <w:sz w:val="24"/>
                <w:szCs w:val="24"/>
                <w:lang w:eastAsia="zh-CN"/>
              </w:rPr>
              <w:t>。</w:t>
            </w:r>
          </w:p>
          <w:p w14:paraId="7F0D89E7">
            <w:pPr>
              <w:jc w:val="left"/>
              <w:rPr>
                <w:rFonts w:hint="eastAsia" w:ascii="仿宋" w:hAnsi="仿宋" w:eastAsia="仿宋" w:cs="仿宋"/>
                <w:sz w:val="24"/>
                <w:szCs w:val="24"/>
              </w:rPr>
            </w:pPr>
            <w:r>
              <w:rPr>
                <w:rFonts w:hint="eastAsia" w:ascii="仿宋" w:hAnsi="仿宋" w:eastAsia="仿宋" w:cs="仿宋"/>
                <w:sz w:val="24"/>
                <w:szCs w:val="24"/>
              </w:rPr>
              <w:t>4.服务质量保障</w:t>
            </w:r>
          </w:p>
          <w:p w14:paraId="5FB3B0BD">
            <w:pPr>
              <w:jc w:val="left"/>
              <w:rPr>
                <w:rFonts w:hint="eastAsia" w:ascii="仿宋" w:hAnsi="仿宋" w:eastAsia="仿宋" w:cs="仿宋"/>
                <w:sz w:val="24"/>
                <w:szCs w:val="24"/>
                <w:lang w:eastAsia="zh-CN"/>
              </w:rPr>
            </w:pPr>
            <w:r>
              <w:rPr>
                <w:rFonts w:hint="eastAsia" w:ascii="仿宋" w:hAnsi="仿宋" w:eastAsia="仿宋" w:cs="仿宋"/>
                <w:sz w:val="24"/>
                <w:szCs w:val="24"/>
              </w:rPr>
              <w:t>每次维护需提供带水印照片的电子版维护报告（含设备状态、配置变更记录、隐患分析）</w:t>
            </w:r>
            <w:r>
              <w:rPr>
                <w:rFonts w:hint="eastAsia" w:ascii="仿宋" w:hAnsi="仿宋" w:eastAsia="仿宋" w:cs="仿宋"/>
                <w:sz w:val="24"/>
                <w:szCs w:val="24"/>
                <w:lang w:eastAsia="zh-CN"/>
              </w:rPr>
              <w:t>；</w:t>
            </w:r>
          </w:p>
          <w:p w14:paraId="334D8197">
            <w:pPr>
              <w:jc w:val="left"/>
              <w:rPr>
                <w:rFonts w:hint="eastAsia" w:ascii="仿宋" w:hAnsi="仿宋" w:eastAsia="仿宋" w:cs="仿宋"/>
                <w:sz w:val="24"/>
                <w:szCs w:val="24"/>
                <w:lang w:eastAsia="zh-CN"/>
              </w:rPr>
            </w:pPr>
            <w:r>
              <w:rPr>
                <w:rFonts w:hint="eastAsia" w:ascii="仿宋" w:hAnsi="仿宋" w:eastAsia="仿宋" w:cs="仿宋"/>
                <w:sz w:val="24"/>
                <w:szCs w:val="24"/>
              </w:rPr>
              <w:t>每年开展两次网络安全应急演练，模拟多厂商协同处置场景</w:t>
            </w:r>
            <w:r>
              <w:rPr>
                <w:rFonts w:hint="eastAsia" w:ascii="仿宋" w:hAnsi="仿宋" w:eastAsia="仿宋" w:cs="仿宋"/>
                <w:sz w:val="24"/>
                <w:szCs w:val="24"/>
                <w:lang w:eastAsia="zh-CN"/>
              </w:rPr>
              <w:t>；</w:t>
            </w:r>
          </w:p>
          <w:p w14:paraId="4C007982">
            <w:pPr>
              <w:jc w:val="left"/>
              <w:rPr>
                <w:rFonts w:hint="eastAsia" w:ascii="仿宋" w:hAnsi="仿宋" w:eastAsia="仿宋" w:cs="仿宋"/>
                <w:sz w:val="24"/>
                <w:szCs w:val="24"/>
                <w:lang w:eastAsia="zh-CN"/>
              </w:rPr>
            </w:pPr>
            <w:r>
              <w:rPr>
                <w:rFonts w:hint="eastAsia" w:ascii="仿宋" w:hAnsi="仿宋" w:eastAsia="仿宋" w:cs="仿宋"/>
                <w:sz w:val="24"/>
                <w:szCs w:val="24"/>
              </w:rPr>
              <w:t>建立知识转移机制，每年为信息科提供不少于16课时的专业培训</w:t>
            </w:r>
            <w:r>
              <w:rPr>
                <w:rFonts w:hint="eastAsia" w:ascii="仿宋" w:hAnsi="仿宋" w:eastAsia="仿宋" w:cs="仿宋"/>
                <w:sz w:val="24"/>
                <w:szCs w:val="24"/>
                <w:lang w:eastAsia="zh-CN"/>
              </w:rPr>
              <w:t>。</w:t>
            </w:r>
          </w:p>
          <w:p w14:paraId="260694C3">
            <w:pPr>
              <w:jc w:val="left"/>
              <w:rPr>
                <w:rFonts w:hint="eastAsia" w:ascii="仿宋" w:hAnsi="仿宋" w:eastAsia="仿宋" w:cs="仿宋"/>
                <w:sz w:val="24"/>
                <w:szCs w:val="24"/>
              </w:rPr>
            </w:pPr>
            <w:r>
              <w:rPr>
                <w:rFonts w:hint="eastAsia" w:ascii="仿宋" w:hAnsi="仿宋" w:eastAsia="仿宋" w:cs="仿宋"/>
                <w:sz w:val="24"/>
                <w:szCs w:val="24"/>
              </w:rPr>
              <w:t>5.责任界定条款</w:t>
            </w:r>
          </w:p>
          <w:p w14:paraId="07FEBD46">
            <w:pPr>
              <w:jc w:val="left"/>
              <w:rPr>
                <w:rFonts w:hint="eastAsia" w:ascii="仿宋" w:hAnsi="仿宋" w:eastAsia="仿宋" w:cs="仿宋"/>
                <w:sz w:val="24"/>
                <w:szCs w:val="24"/>
                <w:lang w:eastAsia="zh-CN"/>
              </w:rPr>
            </w:pPr>
            <w:r>
              <w:rPr>
                <w:rFonts w:hint="eastAsia" w:ascii="仿宋" w:hAnsi="仿宋" w:eastAsia="仿宋" w:cs="仿宋"/>
                <w:sz w:val="24"/>
                <w:szCs w:val="24"/>
              </w:rPr>
              <w:t>设备维保范围延伸至上下游关联系统接口</w:t>
            </w:r>
            <w:r>
              <w:rPr>
                <w:rFonts w:hint="eastAsia" w:ascii="仿宋" w:hAnsi="仿宋" w:eastAsia="仿宋" w:cs="仿宋"/>
                <w:sz w:val="24"/>
                <w:szCs w:val="24"/>
                <w:lang w:eastAsia="zh-CN"/>
              </w:rPr>
              <w:t>；</w:t>
            </w:r>
          </w:p>
          <w:p w14:paraId="0A2E5DEE">
            <w:pPr>
              <w:jc w:val="left"/>
              <w:rPr>
                <w:rFonts w:hint="eastAsia" w:ascii="仿宋" w:hAnsi="仿宋" w:eastAsia="仿宋" w:cs="仿宋"/>
                <w:sz w:val="24"/>
                <w:szCs w:val="24"/>
                <w:lang w:eastAsia="zh-CN"/>
              </w:rPr>
            </w:pPr>
            <w:r>
              <w:rPr>
                <w:rFonts w:hint="eastAsia" w:ascii="仿宋" w:hAnsi="仿宋" w:eastAsia="仿宋" w:cs="仿宋"/>
                <w:sz w:val="24"/>
                <w:szCs w:val="24"/>
              </w:rPr>
              <w:t>因系统升级导致其他厂商设备异常的，须在8小时内提供兼容性解决方案</w:t>
            </w:r>
            <w:r>
              <w:rPr>
                <w:rFonts w:hint="eastAsia" w:ascii="仿宋" w:hAnsi="仿宋" w:eastAsia="仿宋" w:cs="仿宋"/>
                <w:sz w:val="24"/>
                <w:szCs w:val="24"/>
                <w:lang w:eastAsia="zh-CN"/>
              </w:rPr>
              <w:t>；</w:t>
            </w:r>
          </w:p>
          <w:p w14:paraId="51C90F4F">
            <w:pPr>
              <w:jc w:val="left"/>
              <w:rPr>
                <w:rFonts w:hint="eastAsia" w:ascii="仿宋" w:hAnsi="仿宋" w:eastAsia="仿宋" w:cs="仿宋"/>
                <w:sz w:val="24"/>
                <w:szCs w:val="24"/>
                <w:lang w:eastAsia="zh-CN"/>
              </w:rPr>
            </w:pPr>
            <w:r>
              <w:rPr>
                <w:rFonts w:hint="eastAsia" w:ascii="仿宋" w:hAnsi="仿宋" w:eastAsia="仿宋" w:cs="仿宋"/>
                <w:sz w:val="24"/>
                <w:szCs w:val="24"/>
              </w:rPr>
              <w:t>争议性故障由第三方检测机构判定责任，责任方承担全部检测费用及违约金</w:t>
            </w:r>
            <w:r>
              <w:rPr>
                <w:rFonts w:hint="eastAsia" w:ascii="仿宋" w:hAnsi="仿宋" w:eastAsia="仿宋" w:cs="仿宋"/>
                <w:sz w:val="24"/>
                <w:szCs w:val="24"/>
                <w:lang w:eastAsia="zh-CN"/>
              </w:rPr>
              <w:t>。</w:t>
            </w:r>
          </w:p>
          <w:p w14:paraId="64B99731">
            <w:pPr>
              <w:jc w:val="left"/>
              <w:rPr>
                <w:rFonts w:hint="eastAsia" w:ascii="仿宋" w:hAnsi="仿宋" w:eastAsia="仿宋" w:cs="仿宋"/>
                <w:sz w:val="24"/>
                <w:szCs w:val="24"/>
              </w:rPr>
            </w:pPr>
            <w:r>
              <w:rPr>
                <w:rFonts w:hint="eastAsia" w:ascii="仿宋" w:hAnsi="仿宋" w:eastAsia="仿宋" w:cs="仿宋"/>
                <w:sz w:val="24"/>
                <w:szCs w:val="24"/>
              </w:rPr>
              <w:t>6.违约条款</w:t>
            </w:r>
          </w:p>
          <w:p w14:paraId="0C916A47">
            <w:pPr>
              <w:jc w:val="left"/>
              <w:rPr>
                <w:rFonts w:hint="eastAsia" w:ascii="仿宋" w:hAnsi="仿宋" w:eastAsia="仿宋" w:cs="仿宋"/>
                <w:sz w:val="24"/>
                <w:szCs w:val="24"/>
              </w:rPr>
            </w:pPr>
            <w:r>
              <w:rPr>
                <w:rFonts w:hint="eastAsia" w:ascii="仿宋" w:hAnsi="仿宋" w:eastAsia="仿宋" w:cs="仿宋"/>
                <w:sz w:val="24"/>
                <w:szCs w:val="24"/>
              </w:rPr>
              <w:t>每出现一次推诿情况，扣除合同金额1%作为违约金</w:t>
            </w:r>
          </w:p>
          <w:p w14:paraId="6D44760C">
            <w:pPr>
              <w:jc w:val="left"/>
              <w:rPr>
                <w:rFonts w:hint="eastAsia" w:ascii="仿宋" w:hAnsi="仿宋" w:eastAsia="仿宋" w:cs="仿宋"/>
                <w:sz w:val="24"/>
                <w:szCs w:val="24"/>
                <w:lang w:eastAsia="zh-CN"/>
              </w:rPr>
            </w:pPr>
            <w:r>
              <w:rPr>
                <w:rFonts w:hint="eastAsia" w:ascii="仿宋" w:hAnsi="仿宋" w:eastAsia="仿宋" w:cs="仿宋"/>
                <w:sz w:val="24"/>
                <w:szCs w:val="24"/>
              </w:rPr>
              <w:t>响应超时每分钟罚款200元，单次故障最高罚金不超过合同总额5%</w:t>
            </w:r>
            <w:r>
              <w:rPr>
                <w:rFonts w:hint="eastAsia" w:ascii="仿宋" w:hAnsi="仿宋" w:eastAsia="仿宋" w:cs="仿宋"/>
                <w:sz w:val="24"/>
                <w:szCs w:val="24"/>
                <w:lang w:eastAsia="zh-CN"/>
              </w:rPr>
              <w:t>；</w:t>
            </w:r>
          </w:p>
          <w:p w14:paraId="155DEC61">
            <w:pPr>
              <w:jc w:val="left"/>
              <w:rPr>
                <w:rFonts w:hint="eastAsia" w:ascii="仿宋" w:hAnsi="仿宋" w:eastAsia="仿宋" w:cs="仿宋"/>
                <w:sz w:val="24"/>
                <w:szCs w:val="24"/>
                <w:lang w:eastAsia="zh-CN"/>
              </w:rPr>
            </w:pPr>
            <w:r>
              <w:rPr>
                <w:rFonts w:hint="eastAsia" w:ascii="仿宋" w:hAnsi="仿宋" w:eastAsia="仿宋" w:cs="仿宋"/>
                <w:sz w:val="24"/>
                <w:szCs w:val="24"/>
              </w:rPr>
              <w:t>累计三次服务不达标，采购方有权单方面终止合同并追索赔偿</w:t>
            </w:r>
            <w:r>
              <w:rPr>
                <w:rFonts w:hint="eastAsia" w:ascii="仿宋" w:hAnsi="仿宋" w:eastAsia="仿宋" w:cs="仿宋"/>
                <w:sz w:val="24"/>
                <w:szCs w:val="24"/>
                <w:lang w:eastAsia="zh-CN"/>
              </w:rPr>
              <w:t>。</w:t>
            </w:r>
          </w:p>
          <w:p w14:paraId="52146C3B">
            <w:pPr>
              <w:jc w:val="left"/>
              <w:rPr>
                <w:rFonts w:hint="eastAsia" w:ascii="仿宋" w:hAnsi="仿宋" w:eastAsia="仿宋" w:cs="仿宋"/>
                <w:sz w:val="24"/>
                <w:szCs w:val="24"/>
              </w:rPr>
            </w:pPr>
            <w:r>
              <w:rPr>
                <w:rFonts w:hint="eastAsia" w:ascii="仿宋" w:hAnsi="仿宋" w:eastAsia="仿宋" w:cs="仿宋"/>
                <w:sz w:val="24"/>
                <w:szCs w:val="24"/>
              </w:rPr>
              <w:t>7.服务延续机制</w:t>
            </w:r>
          </w:p>
          <w:p w14:paraId="5604BDAB">
            <w:pPr>
              <w:jc w:val="left"/>
              <w:rPr>
                <w:rFonts w:hint="eastAsia" w:ascii="仿宋" w:hAnsi="仿宋" w:eastAsia="仿宋" w:cs="仿宋"/>
                <w:sz w:val="24"/>
                <w:szCs w:val="24"/>
                <w:lang w:eastAsia="zh-CN"/>
              </w:rPr>
            </w:pPr>
            <w:r>
              <w:rPr>
                <w:rFonts w:hint="eastAsia" w:ascii="仿宋" w:hAnsi="仿宋" w:eastAsia="仿宋" w:cs="仿宋"/>
                <w:sz w:val="24"/>
                <w:szCs w:val="24"/>
              </w:rPr>
              <w:t>服务期满前三个月提供设备健康状态评估报告</w:t>
            </w:r>
            <w:r>
              <w:rPr>
                <w:rFonts w:hint="eastAsia" w:ascii="仿宋" w:hAnsi="仿宋" w:eastAsia="仿宋" w:cs="仿宋"/>
                <w:sz w:val="24"/>
                <w:szCs w:val="24"/>
                <w:lang w:eastAsia="zh-CN"/>
              </w:rPr>
              <w:t>；</w:t>
            </w:r>
          </w:p>
          <w:p w14:paraId="06D1AB2F">
            <w:pPr>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移交完整知识库（含拓扑图、密码矩阵、应急预案等）</w:t>
            </w:r>
            <w:r>
              <w:rPr>
                <w:rFonts w:hint="eastAsia" w:ascii="仿宋" w:hAnsi="仿宋" w:eastAsia="仿宋" w:cs="仿宋"/>
                <w:sz w:val="24"/>
                <w:szCs w:val="24"/>
                <w:lang w:eastAsia="zh-CN"/>
              </w:rPr>
              <w:t>。</w:t>
            </w:r>
          </w:p>
        </w:tc>
        <w:tc>
          <w:tcPr>
            <w:tcW w:w="829" w:type="dxa"/>
            <w:vAlign w:val="center"/>
          </w:tcPr>
          <w:p w14:paraId="7954BC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bl>
    <w:p w14:paraId="0CEA7E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18064"/>
    <w:multiLevelType w:val="singleLevel"/>
    <w:tmpl w:val="A8718064"/>
    <w:lvl w:ilvl="0" w:tentative="0">
      <w:start w:val="1"/>
      <w:numFmt w:val="decimal"/>
      <w:lvlText w:val="%1."/>
      <w:lvlJc w:val="left"/>
      <w:pPr>
        <w:ind w:left="425" w:hanging="425"/>
      </w:pPr>
      <w:rPr>
        <w:rFonts w:hint="default"/>
      </w:rPr>
    </w:lvl>
  </w:abstractNum>
  <w:abstractNum w:abstractNumId="1">
    <w:nsid w:val="3D386523"/>
    <w:multiLevelType w:val="singleLevel"/>
    <w:tmpl w:val="3D386523"/>
    <w:lvl w:ilvl="0" w:tentative="0">
      <w:start w:val="1"/>
      <w:numFmt w:val="decimal"/>
      <w:lvlText w:val="%1."/>
      <w:lvlJc w:val="left"/>
      <w:pPr>
        <w:ind w:left="425" w:hanging="425"/>
      </w:pPr>
      <w:rPr>
        <w:rFonts w:hint="default"/>
      </w:rPr>
    </w:lvl>
  </w:abstractNum>
  <w:abstractNum w:abstractNumId="2">
    <w:nsid w:val="69945ACE"/>
    <w:multiLevelType w:val="singleLevel"/>
    <w:tmpl w:val="69945AC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15D4"/>
    <w:rsid w:val="066B3511"/>
    <w:rsid w:val="0FBE34A8"/>
    <w:rsid w:val="1AB765E6"/>
    <w:rsid w:val="271D54B6"/>
    <w:rsid w:val="27977369"/>
    <w:rsid w:val="37FE147B"/>
    <w:rsid w:val="3AB42A96"/>
    <w:rsid w:val="3F7811A0"/>
    <w:rsid w:val="5598638F"/>
    <w:rsid w:val="57B74B76"/>
    <w:rsid w:val="58D8399B"/>
    <w:rsid w:val="5D9236E5"/>
    <w:rsid w:val="5EBFDBF6"/>
    <w:rsid w:val="60495F3E"/>
    <w:rsid w:val="60EC2DB9"/>
    <w:rsid w:val="6BDF2C4C"/>
    <w:rsid w:val="6F766B52"/>
    <w:rsid w:val="70C17591"/>
    <w:rsid w:val="77EF7CFF"/>
    <w:rsid w:val="78FFB3EF"/>
    <w:rsid w:val="7DAF24C5"/>
    <w:rsid w:val="7DF7B7C6"/>
    <w:rsid w:val="7FF11612"/>
    <w:rsid w:val="AF66A947"/>
    <w:rsid w:val="B3267B15"/>
    <w:rsid w:val="EB2513F6"/>
    <w:rsid w:val="EBF1B991"/>
    <w:rsid w:val="F7F7172D"/>
    <w:rsid w:val="F8FFE0C2"/>
    <w:rsid w:val="FBEE46EE"/>
    <w:rsid w:val="FDEDC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3465</Words>
  <Characters>3743</Characters>
  <Lines>0</Lines>
  <Paragraphs>0</Paragraphs>
  <TotalTime>2</TotalTime>
  <ScaleCrop>false</ScaleCrop>
  <LinksUpToDate>false</LinksUpToDate>
  <CharactersWithSpaces>3772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2025-04-21T13:39:00Z</dcterms:created>
  <dc:creator>Data</dc:creator>
  <cp:lastModifiedBy>李莹莹</cp:lastModifiedBy>
  <dcterms:modified xsi:type="dcterms:W3CDTF">2025-04-22T07:50:48Z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28C53BF68CE045118D6A9BAC1FDAEAF5_13</vt:lpwstr>
  </property>
  <property fmtid="{D5CDD505-2E9C-101B-9397-08002B2CF9AE}" pid="4" name="KSOTemplateDocerSaveRecord">
    <vt:lpwstr>eyJoZGlkIjoiMjU0MzQxNDI1MGI4Y2JhZmQ5MTZkOGQyNjIwNWMzMjkiLCJ1c2VySWQiOiI1MjQwMzg3NTkifQ==</vt:lpwstr>
  </property>
</Properties>
</file>